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600" w:lineRule="exact"/>
        <w:ind w:right="215"/>
        <w:jc w:val="left"/>
        <w:rPr>
          <w:rFonts w:hint="eastAsia" w:ascii="方正小标宋简体" w:eastAsia="方正小标宋简体"/>
          <w:bCs/>
          <w:color w:val="auto"/>
          <w:spacing w:val="-6"/>
          <w:sz w:val="44"/>
          <w:szCs w:val="44"/>
        </w:rPr>
      </w:pPr>
      <w:r>
        <w:rPr>
          <w:rFonts w:ascii="楷体" w:hAnsi="楷体" w:eastAsia="楷体"/>
          <w:color w:val="auto"/>
          <w:w w:val="90"/>
          <w:sz w:val="28"/>
          <w:szCs w:val="28"/>
        </w:rPr>
        <w:t>资阳区第六届人大常委会第</w:t>
      </w:r>
      <w:r>
        <w:rPr>
          <w:rFonts w:hint="eastAsia" w:ascii="楷体" w:hAnsi="楷体" w:eastAsia="楷体"/>
          <w:color w:val="auto"/>
          <w:w w:val="90"/>
          <w:sz w:val="28"/>
          <w:szCs w:val="28"/>
          <w:lang w:val="en-US" w:eastAsia="zh-CN"/>
        </w:rPr>
        <w:t>三十三</w:t>
      </w:r>
      <w:r>
        <w:rPr>
          <w:rFonts w:ascii="楷体" w:hAnsi="楷体" w:eastAsia="楷体"/>
          <w:color w:val="auto"/>
          <w:w w:val="90"/>
          <w:sz w:val="28"/>
          <w:szCs w:val="28"/>
        </w:rPr>
        <w:t>次会议资料</w:t>
      </w:r>
    </w:p>
    <w:p>
      <w:pPr>
        <w:autoSpaceDE w:val="0"/>
        <w:spacing w:line="560" w:lineRule="exact"/>
        <w:jc w:val="center"/>
        <w:rPr>
          <w:rFonts w:hint="eastAsia" w:ascii="方正小标宋简体" w:hAnsi="Times New Roman" w:eastAsia="方正小标宋简体" w:cs="Times New Roman"/>
          <w:bCs/>
          <w:color w:val="auto"/>
          <w:spacing w:val="-6"/>
          <w:sz w:val="44"/>
          <w:szCs w:val="44"/>
        </w:rPr>
      </w:pPr>
    </w:p>
    <w:p>
      <w:pPr>
        <w:autoSpaceDE w:val="0"/>
        <w:spacing w:line="560" w:lineRule="exact"/>
        <w:jc w:val="center"/>
        <w:rPr>
          <w:rFonts w:ascii="方正小标宋简体" w:hAnsi="Times New Roman" w:eastAsia="方正小标宋简体" w:cs="Times New Roman"/>
          <w:bCs/>
          <w:color w:val="auto"/>
          <w:spacing w:val="-6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Cs/>
          <w:color w:val="auto"/>
          <w:spacing w:val="-6"/>
          <w:sz w:val="44"/>
          <w:szCs w:val="44"/>
        </w:rPr>
        <w:t>关于益阳市资阳区</w:t>
      </w:r>
      <w:r>
        <w:rPr>
          <w:rFonts w:hint="eastAsia" w:ascii="方正小标宋简体" w:hAnsi="Times New Roman" w:eastAsia="方正小标宋简体" w:cs="Times New Roman"/>
          <w:bCs/>
          <w:color w:val="auto"/>
          <w:spacing w:val="-6"/>
          <w:sz w:val="44"/>
          <w:szCs w:val="44"/>
          <w:lang w:eastAsia="zh-CN"/>
        </w:rPr>
        <w:t>202</w:t>
      </w:r>
      <w:r>
        <w:rPr>
          <w:rFonts w:hint="eastAsia" w:ascii="方正小标宋简体" w:hAnsi="Times New Roman" w:eastAsia="方正小标宋简体" w:cs="Times New Roman"/>
          <w:bCs/>
          <w:color w:val="auto"/>
          <w:spacing w:val="-6"/>
          <w:sz w:val="44"/>
          <w:szCs w:val="44"/>
          <w:lang w:val="en-US" w:eastAsia="zh-CN"/>
        </w:rPr>
        <w:t>5</w:t>
      </w:r>
      <w:r>
        <w:rPr>
          <w:rFonts w:hint="eastAsia" w:ascii="方正小标宋简体" w:hAnsi="Times New Roman" w:eastAsia="方正小标宋简体" w:cs="Times New Roman"/>
          <w:bCs/>
          <w:color w:val="auto"/>
          <w:spacing w:val="-6"/>
          <w:sz w:val="44"/>
          <w:szCs w:val="44"/>
        </w:rPr>
        <w:t>年财政决算（草案）和</w:t>
      </w:r>
    </w:p>
    <w:p>
      <w:pPr>
        <w:autoSpaceDE w:val="0"/>
        <w:spacing w:line="560" w:lineRule="exact"/>
        <w:jc w:val="center"/>
        <w:rPr>
          <w:rFonts w:ascii="楷体_GB2312" w:hAnsi="楷体_GB2312" w:eastAsia="楷体_GB2312" w:cs="楷体_GB2312"/>
          <w:bCs/>
          <w:color w:val="auto"/>
          <w:spacing w:val="-6"/>
          <w:sz w:val="28"/>
          <w:szCs w:val="28"/>
        </w:rPr>
      </w:pPr>
      <w:r>
        <w:rPr>
          <w:rFonts w:hint="eastAsia" w:ascii="方正小标宋简体" w:hAnsi="Times New Roman" w:eastAsia="方正小标宋简体" w:cs="Times New Roman"/>
          <w:bCs/>
          <w:color w:val="auto"/>
          <w:spacing w:val="-6"/>
          <w:sz w:val="44"/>
          <w:szCs w:val="44"/>
          <w:lang w:eastAsia="zh-CN"/>
        </w:rPr>
        <w:t>202</w:t>
      </w:r>
      <w:r>
        <w:rPr>
          <w:rFonts w:hint="eastAsia" w:ascii="方正小标宋简体" w:hAnsi="Times New Roman" w:eastAsia="方正小标宋简体" w:cs="Times New Roman"/>
          <w:bCs/>
          <w:color w:val="auto"/>
          <w:spacing w:val="-6"/>
          <w:sz w:val="44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bCs/>
          <w:color w:val="auto"/>
          <w:spacing w:val="-6"/>
          <w:sz w:val="44"/>
          <w:szCs w:val="44"/>
        </w:rPr>
        <w:t>年上半年财政预算执行情况的报告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60" w:lineRule="exact"/>
        <w:jc w:val="distribute"/>
        <w:rPr>
          <w:rFonts w:ascii="楷体" w:hAnsi="楷体" w:eastAsia="楷体" w:cs="仿宋"/>
          <w:bCs/>
          <w:color w:val="auto"/>
          <w:spacing w:val="-6"/>
          <w:w w:val="66"/>
          <w:sz w:val="32"/>
          <w:szCs w:val="32"/>
        </w:rPr>
      </w:pPr>
      <w:r>
        <w:rPr>
          <w:rFonts w:hint="eastAsia" w:ascii="楷体" w:hAnsi="楷体" w:eastAsia="楷体" w:cs="仿宋"/>
          <w:bCs/>
          <w:color w:val="auto"/>
          <w:w w:val="66"/>
          <w:sz w:val="32"/>
          <w:szCs w:val="32"/>
        </w:rPr>
        <w:t>—</w:t>
      </w:r>
      <w:r>
        <w:rPr>
          <w:rFonts w:hint="eastAsia" w:ascii="楷体" w:hAnsi="楷体" w:eastAsia="楷体" w:cs="仿宋"/>
          <w:bCs/>
          <w:color w:val="auto"/>
          <w:spacing w:val="-6"/>
          <w:w w:val="66"/>
          <w:sz w:val="32"/>
          <w:szCs w:val="32"/>
          <w:lang w:eastAsia="zh-CN"/>
        </w:rPr>
        <w:t>202</w:t>
      </w:r>
      <w:r>
        <w:rPr>
          <w:rFonts w:hint="eastAsia" w:ascii="楷体" w:hAnsi="楷体" w:eastAsia="楷体" w:cs="仿宋"/>
          <w:bCs/>
          <w:color w:val="auto"/>
          <w:spacing w:val="-6"/>
          <w:w w:val="66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仿宋"/>
          <w:bCs/>
          <w:color w:val="auto"/>
          <w:spacing w:val="-6"/>
          <w:w w:val="66"/>
          <w:sz w:val="32"/>
          <w:szCs w:val="32"/>
        </w:rPr>
        <w:t>年</w:t>
      </w:r>
      <w:r>
        <w:rPr>
          <w:rFonts w:hint="eastAsia" w:ascii="楷体" w:hAnsi="楷体" w:eastAsia="楷体" w:cs="仿宋"/>
          <w:bCs/>
          <w:color w:val="auto"/>
          <w:spacing w:val="-6"/>
          <w:w w:val="66"/>
          <w:sz w:val="32"/>
          <w:szCs w:val="32"/>
          <w:lang w:val="en-US" w:eastAsia="zh-CN"/>
        </w:rPr>
        <w:t>8</w:t>
      </w:r>
      <w:r>
        <w:rPr>
          <w:rFonts w:hint="eastAsia" w:ascii="楷体" w:hAnsi="楷体" w:eastAsia="楷体" w:cs="仿宋"/>
          <w:bCs/>
          <w:color w:val="auto"/>
          <w:spacing w:val="-6"/>
          <w:w w:val="66"/>
          <w:sz w:val="32"/>
          <w:szCs w:val="32"/>
        </w:rPr>
        <w:t>月</w:t>
      </w:r>
      <w:r>
        <w:rPr>
          <w:rFonts w:hint="eastAsia" w:ascii="楷体" w:hAnsi="楷体" w:eastAsia="楷体" w:cs="仿宋"/>
          <w:bCs/>
          <w:color w:val="auto"/>
          <w:spacing w:val="-6"/>
          <w:w w:val="66"/>
          <w:sz w:val="32"/>
          <w:szCs w:val="32"/>
          <w:lang w:val="en-US" w:eastAsia="zh-CN"/>
        </w:rPr>
        <w:t>18</w:t>
      </w:r>
      <w:r>
        <w:rPr>
          <w:rFonts w:hint="eastAsia" w:ascii="楷体" w:hAnsi="楷体" w:eastAsia="楷体" w:cs="仿宋"/>
          <w:bCs/>
          <w:color w:val="auto"/>
          <w:spacing w:val="-6"/>
          <w:w w:val="66"/>
          <w:sz w:val="32"/>
          <w:szCs w:val="32"/>
        </w:rPr>
        <w:t>日在益阳市资阳区第六届人民代表大会常务委员会第</w:t>
      </w:r>
      <w:r>
        <w:rPr>
          <w:rFonts w:hint="eastAsia" w:ascii="楷体" w:hAnsi="楷体" w:eastAsia="楷体" w:cs="仿宋"/>
          <w:bCs/>
          <w:color w:val="auto"/>
          <w:spacing w:val="-6"/>
          <w:w w:val="66"/>
          <w:sz w:val="32"/>
          <w:szCs w:val="32"/>
          <w:lang w:val="en-US" w:eastAsia="zh-CN"/>
        </w:rPr>
        <w:t>三十三</w:t>
      </w:r>
      <w:r>
        <w:rPr>
          <w:rFonts w:hint="eastAsia" w:ascii="楷体" w:hAnsi="楷体" w:eastAsia="楷体" w:cs="仿宋"/>
          <w:bCs/>
          <w:color w:val="auto"/>
          <w:spacing w:val="-6"/>
          <w:w w:val="66"/>
          <w:sz w:val="32"/>
          <w:szCs w:val="32"/>
        </w:rPr>
        <w:t>次会议上</w:t>
      </w:r>
    </w:p>
    <w:p>
      <w:pPr>
        <w:spacing w:line="560" w:lineRule="exact"/>
        <w:jc w:val="center"/>
        <w:rPr>
          <w:rFonts w:hint="default" w:ascii="楷体" w:hAnsi="楷体" w:eastAsia="楷体" w:cs="楷体_GB2312"/>
          <w:color w:val="auto"/>
          <w:sz w:val="32"/>
          <w:lang w:val="en-US" w:eastAsia="zh-CN"/>
        </w:rPr>
      </w:pPr>
      <w:r>
        <w:rPr>
          <w:rFonts w:hint="eastAsia" w:ascii="楷体" w:hAnsi="楷体" w:eastAsia="楷体" w:cs="楷体_GB2312"/>
          <w:color w:val="auto"/>
          <w:sz w:val="32"/>
        </w:rPr>
        <w:t>资阳区财政局</w:t>
      </w:r>
      <w:r>
        <w:rPr>
          <w:rFonts w:hint="eastAsia" w:ascii="楷体" w:hAnsi="楷体" w:eastAsia="楷体" w:cs="楷体_GB2312"/>
          <w:color w:val="auto"/>
          <w:sz w:val="32"/>
          <w:lang w:eastAsia="zh-CN"/>
        </w:rPr>
        <w:t>副</w:t>
      </w:r>
      <w:r>
        <w:rPr>
          <w:rFonts w:hint="eastAsia" w:ascii="楷体" w:hAnsi="楷体" w:eastAsia="楷体" w:cs="楷体_GB2312"/>
          <w:color w:val="auto"/>
          <w:sz w:val="32"/>
        </w:rPr>
        <w:t xml:space="preserve">局长  </w:t>
      </w:r>
      <w:r>
        <w:rPr>
          <w:rFonts w:hint="eastAsia" w:ascii="楷体" w:hAnsi="楷体" w:eastAsia="楷体" w:cs="楷体_GB2312"/>
          <w:color w:val="auto"/>
          <w:sz w:val="32"/>
          <w:lang w:val="en-US" w:eastAsia="zh-CN"/>
        </w:rPr>
        <w:t>曾立飞</w:t>
      </w:r>
    </w:p>
    <w:p>
      <w:pPr>
        <w:widowControl/>
        <w:spacing w:line="560" w:lineRule="exact"/>
        <w:rPr>
          <w:rFonts w:ascii="仿宋_GB2312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楷体_GB2312" w:hAnsi="Times New Roman" w:eastAsia="楷体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主任、各位副主任、各位委员：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受区人民政府委托，我向本次会议报告全区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</w:rPr>
        <w:t>年财政决算（草案）和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</w:rPr>
        <w:t>年上半年预算执行情况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，请予审议。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ascii="黑体" w:hAnsi="宋体" w:eastAsia="黑体" w:cs="Times New Roman"/>
          <w:color w:val="auto"/>
          <w:sz w:val="32"/>
          <w:szCs w:val="32"/>
        </w:rPr>
      </w:pPr>
      <w:r>
        <w:rPr>
          <w:rFonts w:hint="eastAsia" w:ascii="黑体" w:hAnsi="宋体" w:eastAsia="黑体" w:cs="Times New Roman"/>
          <w:color w:val="auto"/>
          <w:sz w:val="32"/>
          <w:szCs w:val="32"/>
        </w:rPr>
        <w:t>一、</w:t>
      </w:r>
      <w:r>
        <w:rPr>
          <w:rFonts w:hint="eastAsia" w:ascii="黑体" w:hAnsi="宋体" w:eastAsia="黑体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黑体" w:hAnsi="宋体" w:eastAsia="黑体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黑体" w:hAnsi="宋体" w:eastAsia="黑体" w:cs="Times New Roman"/>
          <w:color w:val="auto"/>
          <w:sz w:val="32"/>
          <w:szCs w:val="32"/>
        </w:rPr>
        <w:t>年财政决算情况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2025年既是“十四五”规划的收官之年，也是“十五五”规划谋篇布局之年。我们始终坚持以习近平新时代中国特色社会主义思想为指导，全面贯彻落实党的二十大和二十届历次全会精神，深入落实习近平总书记关于湖南工作的重要讲话和指示批示精神，在区委、区政府坚强领导和区人大监督指导下，扎实推进零基预算改革，深耕财源建设，切实兜牢“三保”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vertAlign w:val="superscript"/>
          <w:lang w:eastAsia="zh-CN"/>
        </w:rPr>
        <w:t>①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底线，有效防范债务风险，充分发挥财政职能作用，202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年财政决算情况总体良好。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ascii="楷体_GB2312" w:hAnsi="Times New Roman" w:eastAsia="楷体_GB2312" w:cs="Times New Roman"/>
          <w:b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color w:val="auto"/>
          <w:sz w:val="32"/>
          <w:szCs w:val="32"/>
        </w:rPr>
        <w:t>（一）一般公共财政收支决算情况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2025年全区累计完成省以下地方一般公共预算收入116695万元，比上年增加14197万元，增长13.85%。其中：完成区级收入80872万元，为调整预算的102.78%，比上年增加18768万元，增长30.22%；完成上划市级收入35823万元，比上年减少4571万元，下降11.32%。完成上划省级收入15484万元，比上年增加658万元，增长4.44%。完成上划中央收入61470万元，比上年增加5332万元，增长9.50%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0" w:firstLineChars="200"/>
        <w:rPr>
          <w:rFonts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2025年全区完成一般公共预算支出302471万元，比上年减少26868万元，下降8.16%。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2025年完成本级一般公共预算支出192610万元，为调整预算的89.05%，比上年增加8871万元。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0" w:firstLineChars="200"/>
        <w:rPr>
          <w:rFonts w:ascii="仿宋_GB2312" w:hAnsi="宋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2025年全区完成地方一般公共预算收入（区级）80872万元，上级补助收入251246万元，债券转贷收入71150万元，上年结余23730万元，调入资金228万元，动用预算稳定调节基金18120万元，收入总计445346万元。2025年全区完成一般公共预算支出302471万元，上解上级支出6767万元，债务还本支出64804万元，安排预算稳定调节基金44326万元，结转下年支出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vertAlign w:val="superscript"/>
          <w:lang w:eastAsia="zh-CN"/>
        </w:rPr>
        <w:t>②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26978万元，支出总计445346万元，当年收支平衡。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0" w:firstLineChars="200"/>
        <w:rPr>
          <w:rFonts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预备费使用情况，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2025年全区年初预算安排预备费3030万元，实际动支预备费2227万元，使用率73.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%。预备费分科目支出使用情况如下：一般公共服务支出804万元，国防支出34万元，公共安全支出143万元，教育支出5万元，文化旅游体育与传媒支出162万元，社会保障和就业支出138万元，卫生健康支出50万元，节能环保支出45万元，城乡社区支出154万元，农林水支出428万元，交通运输支出26万元，商业服务支出50万元，自然资源海洋气候支出30万元，灾害防治及应急管理支出158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3" w:firstLineChars="200"/>
        <w:rPr>
          <w:rFonts w:ascii="楷体_GB2312" w:hAnsi="Times New Roman" w:eastAsia="楷体_GB2312" w:cs="Times New Roman"/>
          <w:b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color w:val="auto"/>
          <w:sz w:val="32"/>
          <w:szCs w:val="32"/>
        </w:rPr>
        <w:t>（二）政府性基金收支决算情况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0" w:firstLineChars="200"/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2025年全区完成政府性基金收入（全口径）141315万元，为调整预算的97.38%。其中：国家电影事业发展专项资金收入4万元，旅游发展基金收入65万元，国有土地使用权出让收入14139万元，大中型水库移民后期扶持基金收入677万元，彩票发行机构和彩票销售机构的业务费用115万元，彩票公益金收入1492万元，城市基础设施配套费收入916万元，其他政府性基金收入35319万元，专项债券收入61600万元，超长期特别国债收入26988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0" w:firstLineChars="200"/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2025年全区完成政府性基金支出97744万元，为调整预算的97.88%。其中：文化旅游体育与传媒支出10万元，节能环保支出200万元，城乡社区支出15956万元（其中：国有土地使用权出让收入安排的支出3829万元，城市基础设施配套费安排的支出340万元，超长期特别国债安排支出11787万元），农林水支出314万元，资源勘探工业信息等支出3589万元，其他支出68449万元（其中：其他政府性基金及对应专项债务收入安排的支出66430万元，彩票发行销售机构业务费安排的支出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32万元，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彩票公益金安排的支出1044万元，超长期特别国债安排的支出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943万元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），债务付息支出9226万元。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0" w:firstLineChars="200"/>
        <w:rPr>
          <w:rFonts w:ascii="仿宋_GB2312" w:hAnsi="宋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政府性基金收入（区级）26000万元，上级补助收入18935万元，债务转贷收入61600万元，上年结余34780万元，收入总计141315万元。政府性基金支出97744万元，上解上级支出52万元，债务还本支出24409万元，调出资金140万元，结转下年支出18970万元，支出总计141315万元，当年收支平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3" w:firstLineChars="200"/>
        <w:rPr>
          <w:rFonts w:ascii="仿宋_GB2312" w:hAnsi="宋体" w:eastAsia="仿宋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color w:val="auto"/>
          <w:sz w:val="32"/>
          <w:szCs w:val="32"/>
        </w:rPr>
        <w:t>（三）社会保险基金收支决算情况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0" w:firstLineChars="200"/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2025年全区完成社会保险基金收入85699万元，为预算的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u w:val="none"/>
          <w:lang w:val="en-US" w:eastAsia="zh-CN"/>
        </w:rPr>
        <w:t>131.01%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。其中：城乡居民基本养老保险基金收入42543万元，机关事业单位基本养老保险基金收入43156万元。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0" w:firstLineChars="200"/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2025年全区完成社会保险基金支出57317万元，为预算的105.28%。其中：城乡居民基本养老保险基金支出16261万元，机关事业单位基本养老保险基金支出41056万元。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0" w:firstLineChars="200"/>
        <w:rPr>
          <w:rFonts w:ascii="仿宋_GB2312" w:hAnsi="宋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社会保险基金收入85699万元，上年结余55106万元，收入总计140805万元；社会保险基金支出57317万元；年末滚存结余83488万元。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3" w:firstLineChars="200"/>
        <w:rPr>
          <w:rFonts w:ascii="仿宋_GB2312" w:hAnsi="宋体" w:eastAsia="仿宋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color w:val="auto"/>
          <w:sz w:val="32"/>
          <w:szCs w:val="32"/>
        </w:rPr>
        <w:t>（四）国有资本经营收支决算情况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24" w:firstLineChars="195"/>
        <w:rPr>
          <w:rFonts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2025年国有资本经营预算收入293万元，上级补助收入5万元，上年结余105万元，国有资本经营支出0万元，调出资金88万元，年终结余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315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ascii="楷体_GB2312" w:hAnsi="Times New Roman" w:eastAsia="楷体_GB2312" w:cs="Times New Roman"/>
          <w:b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color w:val="auto"/>
          <w:sz w:val="32"/>
          <w:szCs w:val="32"/>
        </w:rPr>
        <w:t>（五）全区政府债务情况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2025年，省核定我区政府法定债务限额66.86亿元，其中2025年新增政府债务限额8.28亿元（一般债务2.29亿元，专项债务5.99亿元）。至2025年年末，全区地方政府法定债务余额66.12亿元，控制在债务限额以内。全年法定债务还本付息支出合计2.1亿元，其中债券还本0.54亿元，债券付息1.56亿元（一般债券付息0.64亿元，专项债券付息0.92亿元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ascii="楷体_GB2312" w:hAnsi="Times New Roman" w:eastAsia="楷体_GB2312" w:cs="Times New Roman"/>
          <w:b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color w:val="auto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ascii="楷体_GB2312" w:hAnsi="Times New Roman" w:eastAsia="楷体_GB2312" w:cs="Times New Roman"/>
          <w:b/>
          <w:color w:val="auto"/>
          <w:sz w:val="32"/>
          <w:szCs w:val="32"/>
        </w:rPr>
        <w:t>“三保”执行情况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2025年“三保”执行数为136540万元，其中保民生78507万元，保工资55347万元，保运转2686万元，“三保”预算执行情况良好。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，面对经济承压、收支趋紧的严峻形势，资阳财政紧扣区委中心工作，精准履职、靶向发力，全力稳住财政运行基本盘。我们聚力开源增收，深化部门联动征管，落实惠企纾困举措，积极争取上级资金，盘活存量国有“三资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superscript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夯实财力基础。坚持民生为本，优化财政支出布局，重点保障教育、医疗、就业、安居、文旅等民生领域，持续加大乡村振兴投入，巩固脱贫攻坚成果，切实保障群众切身利益。同时，抓实项目规范管理、预算绩效管理及常态化财会监督，严控政府债务风险、稳妥化解隐性债务，全面提升财政治理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当前财政工作仍存在诸多短板弱项，受宏观经济影响，税源增长疲软，财政增收乏力、收支矛盾尖锐；零基预算改革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superscript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落地难度较大，存量项目清理、经费重新核定统筹难度大，预算精细化水平有待提升；政府债务管控化解任务艰巨，加之基层财会监督力量薄弱，财政监管提质增效仍存在堵点。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下一步，我们将直面问题、攻坚破难，虚心听取吸纳各位意见建议，纵深推进零基预算改革，严控收支风险、强化财源建设、夯实监管基础，以精准高效的财政保障，助推全区经济社会高质量发展。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Times New Roman"/>
          <w:color w:val="auto"/>
          <w:sz w:val="32"/>
          <w:szCs w:val="32"/>
        </w:rPr>
        <w:t>年上半年预算执行情况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3" w:firstLineChars="200"/>
        <w:rPr>
          <w:rFonts w:ascii="楷体_GB2312" w:hAnsi="楷体_GB2312" w:eastAsia="楷体_GB2312" w:cs="楷体_GB2312"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  <w:t>（一）地方一般公共预算收入情况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2026年6月，全区累计完成地方一般公共预算收入73938万元（上划市级22357万元），比上年同期增加2185万元，增长3.05%，进度为年初预期的65.32%，增速居全市第一。其中：税收收入完成38911万元，比上年同期增加1585万元，增长4.25%；非税收入完成35027万元，比上年同期增加600万元，增长1.74%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纯区级地方一般公共预算收入51581万元，同比减少1976万元，下降3.69%。其中：税收收入完成16554万元，同比减少2576万元，下降13.47%；非税收入完成35027万元，同比增加600万元，增长1.74%。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3" w:firstLineChars="200"/>
        <w:rPr>
          <w:rFonts w:ascii="楷体_GB2312" w:hAnsi="楷体_GB2312" w:eastAsia="楷体_GB2312" w:cs="楷体_GB2312"/>
          <w:b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  <w:t>（二）一般公共预算支出情况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" w:leftChars="6"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2026年6月，全区累计完成一般公共预算支出170812万元，同比增加15210万元，增长9.77%。其中主要支出项目有：一般公共服务支出15882万元，公共安全支出1091万元，教育支出24174万元，科学技术支出4103万元，文化旅游体育与传媒支出1829万元，社会保障和就业支出44341万元，卫生健康支出17278万元，节能环保支出3203万元，城乡社区支出17338万元，农林水支出26823万元，交通运输支出2464万元，自然资源海洋气象等支出2653万元，住房保障支出3347万元，粮油物资储备支出800万元，灾害防治及应急管理支出1434万元，债务付息支出3089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ascii="楷体_GB2312" w:hAnsi="楷体_GB2312" w:eastAsia="楷体_GB2312" w:cs="楷体_GB2312"/>
          <w:b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  <w:t>（三）上半年财政工作特点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是实施“十五五”规划开局起步之年，全区财政工作牢牢把握稳中求进工作总基调，统筹抓好财源培育、收入征管、支出保障、债务管控、财会监督等各项工作，积极应对收支紧平衡压力，财政运行保持平稳向好态势，上半年各项重点工作落地见效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抓实收入组织，稳步壮大可用财力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坚持把组织收入作为财政核心任务，从税收征管、非税管理、国资盘活多端发力，持续拓宽区级可用财力来源。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一是税收征管协同推进。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健全财税部门常态化联动机制，按月开展收入进度测算，精准对接征管部门抓实收入入库。聚焦PCB、食品制造等重点税源行业深化精细化管控，依托涉税风险应对机制开展疑点核查，强化政府投资项目全链条税收征管，确保依法依规应收尽收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上半年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资阳区共组织全口径纯税收收入87971万元，同比增收9643万元，增幅12.31%，超全市平均增幅1.39个百分点，全市排名第三。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二是非税收入规范提质。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严格落实非税收入收缴管理要求，常态化清理汇缴沉淀资金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vertAlign w:val="superscript"/>
          <w:lang w:eastAsia="zh-CN"/>
          <w14:textFill>
            <w14:solidFill>
              <w14:schemeClr w14:val="tx1"/>
            </w14:solidFill>
          </w14:textFill>
        </w:rPr>
        <w:t>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，提升非税收入征管规范化水平。国有资源（资产）有偿使用收入占非税收入的74.2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%，是非税收入核心支撑。罚没收入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非税收入的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3.76%，占比大幅降低，非税收入征管规范且质量较高。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三是国有“三资”盘活成效显著。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面开展行政事业单位国有资产拉网式清查盘点，有序推进党政机关办公用房权属登记办证，拓展公共基础设施资产地理信息登记试点成果，摸清资产家底、规范权属管理；严格把控资产配置、使用、处置全流程关口，分类推进闲置资产、低效资源统筹盘活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上半年国有“三资”改革领域类累计入库收益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23446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万元，其中行政事业类资产入库收益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16629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万元，资源类资产入库收益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6817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万元，有效补充区级可用财力，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缓解财政收支紧平衡压力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统筹资金投放，保障重点领域发展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聚焦全区中心工作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优化资金配置，精准撬动产业、基建、乡村振兴等重点领域推进，发挥财政资金支撑作用。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一是产业科创精准赋能。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聚焦PCB主导产业升级，统筹落实技改贴息、研发奖补等惠企政策，支持企业创新发展。上半年全区研发投入达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11.05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亿元，同比增长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7.28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争取省级重大科技攻关专项资金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新增入库科技型中小企业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家，助力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家企业获批知识价值信用贷款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6987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万元，产业创新活力持续释放。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二是投资保障持续加力。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抢抓专项债券、超长期特别国债政策机遇，提前储备优质项目，加快资金拨付落地。上半年遴选发行专项债券项目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个，新增债券资金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3.71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亿元，重点投向产业园区基础设施、市政建设、保障性安居工程等领域；中央、省基本建设投资项目累计争取上级专项资金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24411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万元，其中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经济建设类资金23289万元，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包括支持“两重”“两新”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vertAlign w:val="superscript"/>
          <w:lang w:eastAsia="zh-CN"/>
          <w14:textFill>
            <w14:solidFill>
              <w14:schemeClr w14:val="tx1"/>
            </w14:solidFill>
          </w14:textFill>
        </w:rPr>
        <w:t>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超长期特别国债资金4970万元，中央预算内基金资金2486万元，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为重点项目建设提供了坚实资金支撑。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三是乡村振兴夯实基础。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坚持农业农村优先发展，上半年累计争取上级农业农村领域专项资金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12569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万元，指标下达率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98.6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%。其中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3216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万元推进高标准农田建设，拨付耕地地力补贴资金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4449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万元，安排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常态化帮扶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vertAlign w:val="superscript"/>
          <w14:textFill>
            <w14:solidFill>
              <w14:schemeClr w14:val="tx1"/>
            </w14:solidFill>
          </w14:textFill>
        </w:rPr>
        <w:t>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2750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全力保障粮食安全、产业帮扶、耕地保护等重点工作，坚决守住不发生规模性返贫底线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；争取村级公益事业财政奖补资金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482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万元，完成16个小型农田水利项目申报立项，持续完善农村公益设施、水利配套，夯实乡村发展硬件基础。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四是城乡建管协同推进。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统筹专项债券、上级环保专项资金推进城乡功能完善与环境提升，其中环境资源类上级专项资金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1122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重点用于水体治理、污染防治等项目；依托专项债券资金推进老旧小区改造、市政道路升级、保障性安居工程实施，补齐城市功能短板；统筹推进农村人居环境整治，推动城乡基础设施均衡覆盖，助力城乡融合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强化风险防控，守牢财政运行底线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一是政府债务精准管控。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严格执行政府债务限额管理规定，截至6月末全区政府法定债务余额70.27亿元，始终控制在省核定限额以内；优化存量债务期限与成本结构，降低付息压力，缓解年度偿债峰值压力；严格落实年度化债工作方案，统筹各类资金资源化解存量隐性债务，上半年超额完成阶段性化债任务，债务风险持续收敛；强化新增债务源头管控，严格执行政府投资项目财政承受能力论证制度，同步推进融资平台公司市场化转型，坚决遏制新增隐性债务。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二是“三保”底线牢牢兜实。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严格执行支出五级优先序，足额编制“三保”预算，按月调度库款保障资金拨付，上半年“三保”预算执行平稳，无风险；持续跟踪监测库款保障水平，对大额支出实行预算约束、逐级审批，坚决杜绝挤占挪用“三保”资金行为。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三是资金安全持续加固。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常态化开展第三方对账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vertAlign w:val="superscript"/>
          <w:lang w:eastAsia="zh-CN"/>
          <w14:textFill>
            <w14:solidFill>
              <w14:schemeClr w14:val="tx1"/>
            </w14:solidFill>
          </w14:textFill>
        </w:rPr>
        <w:t>⑧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检查，从严监督资金的审批拨付进度，杜绝截留、挪用等情况发生；上半年国库集中支付覆盖预算单位95家，累计办理支付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28196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笔、支付资金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26.61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亿元，全流程规范管控，未发生资金安全风险事件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深化改革监管，提升财政治理效能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一是零基预算纵深推进。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持续深化零基预算改革，按照“保、压、调、统”思路优化支出结构。坚持“三保”支出第一优先级，足额保障人员经费、民生实事、全区重大项目资金需求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，实现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年全区差额、自收自支人员工资福利支出财政负担比例100%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全面筑牢保工资、保运转底线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连续第6年压减部门行政运行类非刚性专项，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继续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压减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512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万元，从严压缩一般性支出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vertAlign w:val="superscript"/>
          <w14:textFill>
            <w14:solidFill>
              <w14:schemeClr w14:val="tx1"/>
            </w14:solidFill>
          </w14:textFill>
        </w:rPr>
        <w:t>⑨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，降低行政运行成本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清理整合零散低效专项资金，专项资金项目数量较上年减少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129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26%，资金规模较上年压减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2766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万元，破解资金碎片化问题，集中财力保障重点工作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各单位执收非税收入按50%比例统筹用于“三保”及重点民生支出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对收回的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473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万元结转结余资金逐项甄别，统筹投向经济社会发展急需领域，提升资金使用效益。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二是绩效管理走深走实。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牢固树立“花钱必问效、无效必问责”理念，组织全区123家预算单位完成上年度绩效自评并开展全覆盖复核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遴选16个重点项目开展财政重点绩效评价，涉及资金约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2.78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亿元，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进一步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强化评价结果与预算安排挂钩，倒逼资金使用提质增效。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三是财会监督全面覆盖。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深入推进财政基础管理“强基固本”行动，开展分域财会监督专项检查，制定了《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益阳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资阳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区财政局2026年度财会监督工作计划》《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益阳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资阳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区财政局关于开展2026年分域财会监督行动的通知》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 w:cs="Times New Roman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构建“全员参与、全域覆盖、全程管控、全面贯通”的“大监督”机制，规范财经秩序，防范财经风险，提升财会监督效能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开展基层会计基础工作专项检查，发现问题10个全部督促整改到位；常态化组织财会业务培训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次，覆盖财务人员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超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700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人次，基层财务规范化水平持续提升。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四是资金使用效益提高。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严格落实预算评审改革要求，上半年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受理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预算评审项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13个，送审金额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14402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万元，审定金额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12852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万元，审减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1550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万元，审减率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10.76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%，有效节约财政资金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规范政府采购全流程管理，上半年完成限额以上招投标项目18个，预算金额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3706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万元，实际采购金额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3229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万元，资金节约效果明显。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.坚守民生导向，兜牢基本民生底线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持续优化支出结构，加大民生领域财力倾斜，各项惠民政策精准落地，群众基本民生得到有效保障。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一是教育保障稳步提标。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严格落实教育经费“两个只增不减”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vertAlign w:val="superscript"/>
          <w:lang w:eastAsia="zh-CN"/>
          <w14:textFill>
            <w14:solidFill>
              <w14:schemeClr w14:val="tx1"/>
            </w14:solidFill>
          </w14:textFill>
        </w:rPr>
        <w:t>⑩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要求，上半年全区一般公共预算教育支出较上年增加529万元，增长2.24%，各学段生均支出均稳步增长。其中，落实普惠性幼儿园补助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530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万元；支持校园基础设施维修改造、教学设备更新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及教育信息化提质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资金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2199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万元；发放各类助学金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731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万元，惠及困难学生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8728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人次，持续夯实教育公平底线。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二是惠民补贴精准直达。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依托惠民惠农“一卡通”平台，规范补贴资金全流程管理，上半年累计发放各类惠民惠农财政补贴77项，累计发放各类补贴资金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12951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万元，惠及农户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256604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户；稳步提高城乡低保、残疾人“两项补贴”，民生政策兑付保障持续夯实。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三是社会保障坚实有力。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扎实推进居民医保特殊人群资助参保，确保特殊困难群体应保尽保；完成上解2026年城乡居民基本医疗保险财政补助资金2398万元、城乡居民基本养老保险个人账户资金26786万元；统筹调度社保资金保障民生项目与直达资金及时拨付，强化资金监管确保专款专用。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四是文体发展落地见效。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争取上级专项资金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164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万元支持图书馆、文化馆等公共文化场馆免费开放，保障群众文体活动常态化开展；安排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274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万元用于人和巷民居修缮、益阳监狱旧址环境综合整治项目，统筹推进文物本体修缮、历史建筑保护；拨付彩票公益金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486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万元用于支持养老服务设施建设、乡镇全民健身场地补短板等民生项目，持续丰富群众精神文化生活。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楷体_GB2312" w:hAnsi="楷体_GB2312" w:eastAsia="楷体_GB2312" w:cs="楷体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（四）存在的问题和下阶段工作措施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1.主体税种降幅较大。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上半年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  <w:t>企业所得税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累计入库7618万元，同比减收1623万元。主要原因是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湖南口味王集团有限责任公司去年入库企业所得税3024万元，今年入库1296万元，同比减少1728万元；奥士康科技股份有限公司去年入库企业所得税2421万元，今年入库486万元，同比减少1934万元。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  <w:t>耕地占用税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累计入库3364万元，同比减收4677万元。主要原因是涉及耕地占用税项目减少，导致入库减少。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2.非税可持续增收动力不足。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当前我区非税收入占一般公共预算收入较高，且随着可出让土地储备逐步减少，闲置国有资产基本完成盘活处置，常规行政收费标准固化，新增非税增长点稀缺，非税增收空间将进一步收窄。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暂付款消化推进缓慢。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当前我区暂付款规模占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支出比重超过5%，且借款单位创收能力较弱，统筹调度空间有限，清理进度偏慢。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下一阶段，我区将围绕2026年财政平稳运行核心目标，重点从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方面发力：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加强财源培育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聚焦优势主导产业，落实惠企纾困政策，培育壮大骨干税源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深化税费协同共治，强化重点行业、重点税种征管，堵塞征管漏洞，确保依法应收尽收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持续盘活国有“三资”，挖掘资产资源增收潜力，拓宽财政收入来源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积极争取上级转移支付、专项债券和政策试点支持，补充区级财力。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深化改革攻坚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持续深化零基预算改革，全面对标先进地区改革经验，以“保人与保底、统钱与统事、核账与核效”十五字思路为核心，系统性重构预算管理体系，推动零基预算改革全覆盖、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落地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三是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优化支出结构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坚持党政机关过紧日子，严控一般性支出和“三公”经费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vertAlign w:val="superscript"/>
          <w14:textFill>
            <w14:solidFill>
              <w14:schemeClr w14:val="tx1"/>
            </w14:solidFill>
          </w14:textFill>
        </w:rPr>
        <w:t>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，压减低效无效支出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严格落实支出优先序，优先保障“三保”支出，足额兑现各项民生提标政策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统筹资金支持乡村振兴、教育医疗、养老托育等重点民生领域，稳步提升民生保障质效。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四是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严守风险底线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规范政府债务管理，严控新增隐性债务，稳妥化解存量债务，优化债务期限结构，降低债务成本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健全财政运行动态监测机制，强化库款调度和“三保”支出预警，坚决守住基层“三保”底线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加强财会监督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、绩效评价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与审计、纪检监察等监督贯通协同，常态化开展专项检查，严肃财经纪律，保障财政资金安全规范高效使用。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主任，各位副主任，各位委员</w:t>
      </w:r>
      <w:r>
        <w:rPr>
          <w:rFonts w:hint="eastAsia" w:ascii="仿宋_GB2312" w:hAnsi="宋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，2026年是</w:t>
      </w:r>
      <w:r>
        <w:rPr>
          <w:rFonts w:hint="eastAsia" w:ascii="仿宋_GB2312" w:hAnsi="宋体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“十五五”开局之年</w:t>
      </w:r>
      <w:r>
        <w:rPr>
          <w:rFonts w:hint="eastAsia" w:ascii="仿宋_GB2312" w:hAnsi="宋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，也是全区高质量发展提质攻坚的关键一年</w:t>
      </w:r>
      <w:r>
        <w:rPr>
          <w:rFonts w:hint="eastAsia" w:ascii="仿宋_GB2312" w:hAnsi="宋体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下半年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资阳区财政局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坚决落实区委、区政府的决策部署，自觉接受人大及其常委会法律监督和工作监督，统筹抓好各项工作，全力稳住财政运行基本盘，切实保障全区民生福祉与发展大局。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footerReference r:id="rId5" w:type="even"/>
          <w:pgSz w:w="11905" w:h="16838" w:orient="landscape"/>
          <w:pgMar w:top="1984" w:right="1531" w:bottom="1701" w:left="1531" w:header="1134" w:footer="1134" w:gutter="0"/>
          <w:cols w:space="720" w:num="1"/>
          <w:docGrid w:type="lines" w:linePitch="320" w:charSpace="0"/>
        </w:sectPr>
      </w:pP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以上报告，请予审议。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Arial" w:hAnsi="Arial" w:eastAsia="宋体" w:cs="Arial"/>
          <w:color w:val="333333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  词  注  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①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“三保”：</w:t>
      </w:r>
      <w:r>
        <w:rPr>
          <w:rFonts w:hint="eastAsia" w:ascii="仿宋_GB2312" w:hAnsi="仿宋_GB2312" w:eastAsia="仿宋_GB2312" w:cs="仿宋_GB2312"/>
          <w:sz w:val="32"/>
          <w:szCs w:val="32"/>
        </w:rPr>
        <w:t>保基本民生、保工资、保运转。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结转下年支出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受项目进展、工程决算、指标下达时间等因素影响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部分上级专项资金当年支付进度达不到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100%，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按项目支出管理要求，需转到下年度继续安排和使用的支出。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eastAsia="zh-CN"/>
        </w:rPr>
        <w:t>国有“三资”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归属国有的资金（闲置和低效资金），资产（实物、股权、债权、特许经营权、未来收益权），资源（矿产、土地、林业、能源、水利、数据）。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④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零基预算改革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不以历史期经济活动及其预算为基础，以零为起点，从实际需要出发分析预算期经济活动的合理性，经综合平衡，形成预算的预算编制方法。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⑤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沉淀资金：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长期闲置或未得到有效利用的资金。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“两重”“两新”：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国家重大战略实施和重点领域安全能力建设；新一轮大规模设备更新和消费品以旧换新。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⑦常态化帮扶资金：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2026年，衔接期满，财政衔接推进乡村振兴补助资金正式调整为财政常态化帮扶资金。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⑧“三方”对账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依托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预算管理一体化系统财政部门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定期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对账，确保财政部门、银行和预算单位三方数据一致。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⑨一般性支出：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国家权力机关和行政机关的经费支出，主要包括各级人大及人大常委会的活动费用，各级人民政府及其职能部门的活动费用。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⑩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“两个只增不减”：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确保财政一般公共预算教育支出逐年只增不减，确保按在校学生人数平均的一般公共预算教育支出逐年只增不减。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⑪“三公”经费：</w:t>
      </w:r>
      <w:r>
        <w:rPr>
          <w:rFonts w:hint="eastAsia" w:ascii="仿宋_GB2312" w:hAnsi="仿宋_GB2312" w:eastAsia="仿宋_GB2312" w:cs="仿宋_GB2312"/>
          <w:sz w:val="32"/>
          <w:szCs w:val="32"/>
        </w:rPr>
        <w:t>因公出国（境）费、公务接待费、公务用车运行维护费及购置费。</w:t>
      </w:r>
    </w:p>
    <w:sectPr>
      <w:pgSz w:w="11905" w:h="16838"/>
      <w:pgMar w:top="1304" w:right="1474" w:bottom="1304" w:left="1587" w:header="1134" w:footer="1020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="689" w:wrap="around" w:vAnchor="text" w:hAnchor="margin" w:xAlign="center" w:y="1"/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sz w:val="24"/>
      </w:rPr>
    </w:pPr>
    <w:r>
      <w:rPr>
        <w:rFonts w:hint="eastAsia" w:ascii="Times New Roman" w:hAnsi="Times New Roman" w:eastAsia="宋体" w:cs="Times New Roman"/>
        <w:sz w:val="24"/>
      </w:rPr>
      <w:t>-</w:t>
    </w:r>
    <w:r>
      <w:rPr>
        <w:rFonts w:ascii="Times New Roman" w:hAnsi="Times New Roman" w:eastAsia="宋体" w:cs="Times New Roman"/>
        <w:sz w:val="24"/>
      </w:rPr>
      <w:fldChar w:fldCharType="begin"/>
    </w:r>
    <w:r>
      <w:rPr>
        <w:rFonts w:ascii="Times New Roman" w:hAnsi="Times New Roman" w:eastAsia="宋体" w:cs="Times New Roman"/>
        <w:sz w:val="24"/>
      </w:rPr>
      <w:instrText xml:space="preserve">PAGE  </w:instrText>
    </w:r>
    <w:r>
      <w:rPr>
        <w:rFonts w:ascii="Times New Roman" w:hAnsi="Times New Roman" w:eastAsia="宋体" w:cs="Times New Roman"/>
        <w:sz w:val="24"/>
      </w:rPr>
      <w:fldChar w:fldCharType="separate"/>
    </w:r>
    <w:r>
      <w:rPr>
        <w:rFonts w:ascii="Times New Roman" w:hAnsi="Times New Roman" w:eastAsia="宋体" w:cs="Times New Roman"/>
        <w:sz w:val="24"/>
      </w:rPr>
      <w:t>1</w:t>
    </w:r>
    <w:r>
      <w:rPr>
        <w:rFonts w:ascii="Times New Roman" w:hAnsi="Times New Roman" w:eastAsia="宋体" w:cs="Times New Roman"/>
        <w:sz w:val="24"/>
      </w:rPr>
      <w:fldChar w:fldCharType="end"/>
    </w:r>
    <w:r>
      <w:rPr>
        <w:rFonts w:hint="eastAsia" w:ascii="Times New Roman" w:hAnsi="Times New Roman" w:eastAsia="宋体" w:cs="Times New Roman"/>
        <w:sz w:val="24"/>
      </w:rPr>
      <w:t>-</w:t>
    </w:r>
  </w:p>
  <w:p>
    <w:pPr>
      <w:tabs>
        <w:tab w:val="center" w:pos="4153"/>
        <w:tab w:val="right" w:pos="8306"/>
      </w:tabs>
      <w:snapToGrid w:val="0"/>
      <w:rPr>
        <w:rFonts w:ascii="Times New Roman" w:hAnsi="Times New Roman" w:eastAsia="宋体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center" w:y="1"/>
      <w:tabs>
        <w:tab w:val="center" w:pos="4153"/>
        <w:tab w:val="right" w:pos="8306"/>
      </w:tabs>
      <w:snapToGrid w:val="0"/>
      <w:rPr>
        <w:rFonts w:ascii="Times New Roman" w:hAnsi="Times New Roman" w:eastAsia="宋体" w:cs="Times New Roman"/>
        <w:sz w:val="18"/>
        <w:szCs w:val="18"/>
      </w:rPr>
    </w:pPr>
    <w:r>
      <w:rPr>
        <w:rFonts w:ascii="Times New Roman" w:hAnsi="Times New Roman" w:eastAsia="宋体" w:cs="Times New Roman"/>
        <w:sz w:val="18"/>
        <w:szCs w:val="18"/>
      </w:rPr>
      <w:fldChar w:fldCharType="begin"/>
    </w:r>
    <w:r>
      <w:rPr>
        <w:rFonts w:ascii="Times New Roman" w:hAnsi="Times New Roman" w:eastAsia="宋体" w:cs="Times New Roman"/>
      </w:rPr>
      <w:instrText xml:space="preserve">PAGE  </w:instrText>
    </w:r>
    <w:r>
      <w:rPr>
        <w:rFonts w:ascii="Times New Roman" w:hAnsi="Times New Roman" w:eastAsia="宋体" w:cs="Times New Roman"/>
        <w:sz w:val="18"/>
        <w:szCs w:val="18"/>
      </w:rPr>
      <w:fldChar w:fldCharType="separate"/>
    </w:r>
    <w:r>
      <w:rPr>
        <w:rFonts w:ascii="Times New Roman" w:hAnsi="Times New Roman" w:eastAsia="宋体" w:cs="Times New Roman"/>
      </w:rPr>
      <w:t>1</w:t>
    </w:r>
    <w:r>
      <w:rPr>
        <w:rFonts w:ascii="Times New Roman" w:hAnsi="Times New Roman" w:eastAsia="宋体" w:cs="Times New Roman"/>
        <w:sz w:val="18"/>
        <w:szCs w:val="18"/>
      </w:rPr>
      <w:fldChar w:fldCharType="end"/>
    </w:r>
  </w:p>
  <w:p>
    <w:pPr>
      <w:tabs>
        <w:tab w:val="center" w:pos="4153"/>
        <w:tab w:val="right" w:pos="8306"/>
      </w:tabs>
      <w:snapToGrid w:val="0"/>
      <w:rPr>
        <w:rFonts w:ascii="Times New Roman" w:hAnsi="Times New Roman" w:eastAsia="宋体" w:cs="Times New Roman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2OWMyZWE2MWU5M2M5MjNlNDFhOGNmNTdkMzBkZTcifQ=="/>
  </w:docVars>
  <w:rsids>
    <w:rsidRoot w:val="74413B82"/>
    <w:rsid w:val="003D1FE9"/>
    <w:rsid w:val="005E24AC"/>
    <w:rsid w:val="00F703AB"/>
    <w:rsid w:val="012C0A0B"/>
    <w:rsid w:val="02B7624C"/>
    <w:rsid w:val="037E45DD"/>
    <w:rsid w:val="05AC4D9D"/>
    <w:rsid w:val="062B560D"/>
    <w:rsid w:val="06530EA2"/>
    <w:rsid w:val="086554ED"/>
    <w:rsid w:val="08735531"/>
    <w:rsid w:val="08E15A74"/>
    <w:rsid w:val="0B4C0272"/>
    <w:rsid w:val="0CE85CB2"/>
    <w:rsid w:val="0CF43343"/>
    <w:rsid w:val="11676FE8"/>
    <w:rsid w:val="12BB5D66"/>
    <w:rsid w:val="13327ED2"/>
    <w:rsid w:val="163C139B"/>
    <w:rsid w:val="16E268C2"/>
    <w:rsid w:val="180A637F"/>
    <w:rsid w:val="188672C6"/>
    <w:rsid w:val="19B63F45"/>
    <w:rsid w:val="1BD272A0"/>
    <w:rsid w:val="1DBE272D"/>
    <w:rsid w:val="1E472DF5"/>
    <w:rsid w:val="20F954E8"/>
    <w:rsid w:val="24F24C20"/>
    <w:rsid w:val="27861592"/>
    <w:rsid w:val="292B313B"/>
    <w:rsid w:val="29D55B73"/>
    <w:rsid w:val="2B403AFF"/>
    <w:rsid w:val="2C211A5E"/>
    <w:rsid w:val="2E03656B"/>
    <w:rsid w:val="2F4667EF"/>
    <w:rsid w:val="2FE66143"/>
    <w:rsid w:val="2FEF4B67"/>
    <w:rsid w:val="34DA1C79"/>
    <w:rsid w:val="355E216B"/>
    <w:rsid w:val="35F4EAAD"/>
    <w:rsid w:val="39093DB2"/>
    <w:rsid w:val="3A35391F"/>
    <w:rsid w:val="3A9C4B4F"/>
    <w:rsid w:val="3BD45D24"/>
    <w:rsid w:val="3C855C38"/>
    <w:rsid w:val="3CD15CCE"/>
    <w:rsid w:val="3E2A1158"/>
    <w:rsid w:val="3E3234DC"/>
    <w:rsid w:val="40E025BF"/>
    <w:rsid w:val="41F145CF"/>
    <w:rsid w:val="43D41CF3"/>
    <w:rsid w:val="462D1CDB"/>
    <w:rsid w:val="4662289B"/>
    <w:rsid w:val="47A62974"/>
    <w:rsid w:val="48A918FB"/>
    <w:rsid w:val="4A322D98"/>
    <w:rsid w:val="51360415"/>
    <w:rsid w:val="51370419"/>
    <w:rsid w:val="52C765DB"/>
    <w:rsid w:val="52D44440"/>
    <w:rsid w:val="534869F2"/>
    <w:rsid w:val="5593082A"/>
    <w:rsid w:val="55B103CA"/>
    <w:rsid w:val="573E19A8"/>
    <w:rsid w:val="5A271498"/>
    <w:rsid w:val="5AF7390C"/>
    <w:rsid w:val="5EB40B4D"/>
    <w:rsid w:val="5F2D90FC"/>
    <w:rsid w:val="617C2A03"/>
    <w:rsid w:val="62F179FB"/>
    <w:rsid w:val="63154EC7"/>
    <w:rsid w:val="638644A2"/>
    <w:rsid w:val="63A35756"/>
    <w:rsid w:val="65690A8F"/>
    <w:rsid w:val="65FF1B98"/>
    <w:rsid w:val="65FFE032"/>
    <w:rsid w:val="699340ED"/>
    <w:rsid w:val="6BB854A5"/>
    <w:rsid w:val="6C8A16CA"/>
    <w:rsid w:val="6CB206FA"/>
    <w:rsid w:val="6CE27B7C"/>
    <w:rsid w:val="6D42185D"/>
    <w:rsid w:val="71883A90"/>
    <w:rsid w:val="71F64E2E"/>
    <w:rsid w:val="72FE5249"/>
    <w:rsid w:val="739A48BB"/>
    <w:rsid w:val="74413B82"/>
    <w:rsid w:val="77EA7B83"/>
    <w:rsid w:val="78BE184E"/>
    <w:rsid w:val="78CD4377"/>
    <w:rsid w:val="798A1354"/>
    <w:rsid w:val="7E2B746E"/>
    <w:rsid w:val="7E425798"/>
    <w:rsid w:val="7E5F28E6"/>
    <w:rsid w:val="7F80103F"/>
    <w:rsid w:val="7FFBEFED"/>
    <w:rsid w:val="DF1E9164"/>
    <w:rsid w:val="DF7E6617"/>
    <w:rsid w:val="F57F51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qFormat="1" w:unhideWhenUsed="0" w:uiPriority="0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qFormat="1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Normal Indent"/>
    <w:unhideWhenUsed/>
    <w:qFormat/>
    <w:uiPriority w:val="99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Body Text"/>
    <w:basedOn w:val="1"/>
    <w:link w:val="11"/>
    <w:qFormat/>
    <w:uiPriority w:val="0"/>
    <w:pPr>
      <w:adjustRightInd w:val="0"/>
      <w:spacing w:line="312" w:lineRule="atLeast"/>
      <w:ind w:right="214"/>
    </w:pPr>
    <w:rPr>
      <w:rFonts w:ascii="仿宋_GB2312" w:hAnsi="Times New Roman" w:eastAsia="宋体" w:cs="Times New Roman"/>
      <w:kern w:val="0"/>
      <w:szCs w:val="20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正文文本 Char"/>
    <w:basedOn w:val="8"/>
    <w:link w:val="4"/>
    <w:qFormat/>
    <w:uiPriority w:val="0"/>
    <w:rPr>
      <w:rFonts w:ascii="仿宋_GB2312"/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7090</Words>
  <Characters>7975</Characters>
  <Lines>40</Lines>
  <Paragraphs>11</Paragraphs>
  <TotalTime>91</TotalTime>
  <ScaleCrop>false</ScaleCrop>
  <LinksUpToDate>false</LinksUpToDate>
  <CharactersWithSpaces>7977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2024-07-30T18:21:00Z</dcterms:created>
  <dc:creator>企业用户_614130758</dc:creator>
  <cp:lastModifiedBy>Administrator</cp:lastModifiedBy>
  <dcterms:modified xsi:type="dcterms:W3CDTF">2026-08-18T08:11:19Z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55507AD0B8C8410DABD2040A9E9AB0AD_13</vt:lpwstr>
  </property>
  <property fmtid="{D5CDD505-2E9C-101B-9397-08002B2CF9AE}" pid="4" name="KSOTemplateDocerSaveRecord">
    <vt:lpwstr>eyJoZGlkIjoiOThhMGNlYjM2NDI3M2Y3ZjdjNmFiMTAwZmE0NDcwMTQifQ==</vt:lpwstr>
  </property>
</Properties>
</file>