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F07C46">
      <w:pPr>
        <w:spacing w:before="112" w:line="219" w:lineRule="auto"/>
        <w:ind w:left="1195"/>
        <w:rPr>
          <w:rFonts w:ascii="宋体" w:hAnsi="宋体" w:eastAsia="宋体" w:cs="宋体"/>
          <w:sz w:val="44"/>
          <w:szCs w:val="44"/>
        </w:rPr>
      </w:pPr>
      <w:bookmarkStart w:id="0" w:name="_GoBack"/>
      <w:r>
        <w:rPr>
          <w:rFonts w:ascii="宋体" w:hAnsi="宋体" w:eastAsia="宋体" w:cs="宋体"/>
          <w:spacing w:val="-39"/>
          <w:sz w:val="44"/>
          <w:szCs w:val="44"/>
        </w:rPr>
        <w:t>2026</w:t>
      </w:r>
      <w:r>
        <w:rPr>
          <w:rFonts w:ascii="宋体" w:hAnsi="宋体" w:eastAsia="宋体" w:cs="宋体"/>
          <w:b/>
          <w:bCs/>
          <w:spacing w:val="-39"/>
          <w:sz w:val="44"/>
          <w:szCs w:val="44"/>
        </w:rPr>
        <w:t>年省预算内基本建设投资绩效目标表</w:t>
      </w:r>
      <w:bookmarkEnd w:id="0"/>
    </w:p>
    <w:p w14:paraId="6CDC7575">
      <w:pPr>
        <w:spacing w:before="8" w:line="220" w:lineRule="auto"/>
        <w:ind w:left="8035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2"/>
          <w:sz w:val="21"/>
          <w:szCs w:val="21"/>
        </w:rPr>
        <w:t>单位：万元</w:t>
      </w:r>
    </w:p>
    <w:p w14:paraId="606AA85C">
      <w:pPr>
        <w:spacing w:line="55" w:lineRule="auto"/>
        <w:rPr>
          <w:rFonts w:ascii="Arial"/>
          <w:sz w:val="2"/>
        </w:rPr>
      </w:pPr>
    </w:p>
    <w:tbl>
      <w:tblPr>
        <w:tblStyle w:val="7"/>
        <w:tblW w:w="94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4"/>
        <w:gridCol w:w="809"/>
        <w:gridCol w:w="449"/>
        <w:gridCol w:w="1538"/>
        <w:gridCol w:w="2268"/>
        <w:gridCol w:w="1169"/>
        <w:gridCol w:w="1119"/>
        <w:gridCol w:w="1044"/>
      </w:tblGrid>
      <w:tr w14:paraId="03536B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1863" w:type="dxa"/>
            <w:gridSpan w:val="2"/>
            <w:noWrap w:val="0"/>
            <w:vAlign w:val="top"/>
          </w:tcPr>
          <w:p w14:paraId="50DBB8C7">
            <w:pPr>
              <w:pStyle w:val="6"/>
              <w:spacing w:before="304" w:line="220" w:lineRule="auto"/>
              <w:ind w:left="505"/>
            </w:pPr>
            <w:r>
              <w:rPr>
                <w:spacing w:val="5"/>
              </w:rPr>
              <w:t>支出方向</w:t>
            </w:r>
          </w:p>
        </w:tc>
        <w:tc>
          <w:tcPr>
            <w:tcW w:w="1987" w:type="dxa"/>
            <w:gridSpan w:val="2"/>
            <w:noWrap w:val="0"/>
            <w:vAlign w:val="top"/>
          </w:tcPr>
          <w:p w14:paraId="536447AA">
            <w:pPr>
              <w:pStyle w:val="6"/>
              <w:spacing w:before="35" w:line="237" w:lineRule="auto"/>
              <w:ind w:left="142" w:right="144"/>
            </w:pPr>
            <w:r>
              <w:t>易地扶贫搬迁安置</w:t>
            </w:r>
            <w:r>
              <w:rPr>
                <w:spacing w:val="6"/>
              </w:rPr>
              <w:t xml:space="preserve"> </w:t>
            </w:r>
            <w:r>
              <w:rPr>
                <w:spacing w:val="1"/>
              </w:rPr>
              <w:t>区公共服务和配套</w:t>
            </w:r>
          </w:p>
          <w:p w14:paraId="742CACBC">
            <w:pPr>
              <w:pStyle w:val="6"/>
              <w:spacing w:before="1" w:line="201" w:lineRule="auto"/>
              <w:ind w:left="142"/>
            </w:pPr>
            <w:r>
              <w:rPr>
                <w:spacing w:val="1"/>
              </w:rPr>
              <w:t>基础设施提质升级</w:t>
            </w:r>
          </w:p>
        </w:tc>
        <w:tc>
          <w:tcPr>
            <w:tcW w:w="3437" w:type="dxa"/>
            <w:gridSpan w:val="2"/>
            <w:noWrap w:val="0"/>
            <w:vAlign w:val="top"/>
          </w:tcPr>
          <w:p w14:paraId="3DEDEC09">
            <w:pPr>
              <w:pStyle w:val="6"/>
              <w:spacing w:before="304" w:line="220" w:lineRule="auto"/>
              <w:ind w:left="1294"/>
            </w:pPr>
            <w:r>
              <w:rPr>
                <w:spacing w:val="3"/>
              </w:rPr>
              <w:t>所属专项</w:t>
            </w:r>
          </w:p>
        </w:tc>
        <w:tc>
          <w:tcPr>
            <w:tcW w:w="2163" w:type="dxa"/>
            <w:gridSpan w:val="2"/>
            <w:noWrap w:val="0"/>
            <w:vAlign w:val="top"/>
          </w:tcPr>
          <w:p w14:paraId="1EE49BCF">
            <w:pPr>
              <w:pStyle w:val="6"/>
              <w:spacing w:before="302" w:line="219" w:lineRule="auto"/>
              <w:ind w:left="28"/>
            </w:pPr>
            <w:r>
              <w:rPr>
                <w:spacing w:val="1"/>
              </w:rPr>
              <w:t>省预算内基本建设投资</w:t>
            </w:r>
          </w:p>
        </w:tc>
      </w:tr>
      <w:tr w14:paraId="40554F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863" w:type="dxa"/>
            <w:gridSpan w:val="2"/>
            <w:noWrap w:val="0"/>
            <w:vAlign w:val="top"/>
          </w:tcPr>
          <w:p w14:paraId="707EBD55">
            <w:pPr>
              <w:pStyle w:val="6"/>
              <w:spacing w:before="129" w:line="219" w:lineRule="auto"/>
              <w:ind w:left="294"/>
            </w:pPr>
            <w:r>
              <w:rPr>
                <w:spacing w:val="3"/>
              </w:rPr>
              <w:t>省级主管部门</w:t>
            </w:r>
          </w:p>
        </w:tc>
        <w:tc>
          <w:tcPr>
            <w:tcW w:w="1987" w:type="dxa"/>
            <w:gridSpan w:val="2"/>
            <w:noWrap w:val="0"/>
            <w:vAlign w:val="top"/>
          </w:tcPr>
          <w:p w14:paraId="6B54F454">
            <w:pPr>
              <w:pStyle w:val="6"/>
              <w:spacing w:before="129" w:line="219" w:lineRule="auto"/>
              <w:ind w:left="351"/>
            </w:pPr>
            <w:r>
              <w:rPr>
                <w:spacing w:val="1"/>
              </w:rPr>
              <w:t>省发展改革委</w:t>
            </w:r>
          </w:p>
        </w:tc>
        <w:tc>
          <w:tcPr>
            <w:tcW w:w="3437" w:type="dxa"/>
            <w:gridSpan w:val="2"/>
            <w:noWrap w:val="0"/>
            <w:vAlign w:val="top"/>
          </w:tcPr>
          <w:p w14:paraId="30CC29F4">
            <w:pPr>
              <w:pStyle w:val="6"/>
              <w:spacing w:before="130" w:line="220" w:lineRule="auto"/>
              <w:ind w:left="974"/>
            </w:pPr>
            <w:r>
              <w:rPr>
                <w:spacing w:val="1"/>
              </w:rPr>
              <w:t>专项资金实施期</w:t>
            </w:r>
          </w:p>
        </w:tc>
        <w:tc>
          <w:tcPr>
            <w:tcW w:w="2163" w:type="dxa"/>
            <w:gridSpan w:val="2"/>
            <w:noWrap w:val="0"/>
            <w:vAlign w:val="top"/>
          </w:tcPr>
          <w:p w14:paraId="2378531B">
            <w:pPr>
              <w:pStyle w:val="6"/>
              <w:spacing w:before="150"/>
              <w:ind w:left="598"/>
            </w:pPr>
            <w:r>
              <w:rPr>
                <w:spacing w:val="-2"/>
              </w:rPr>
              <w:t>2026-2027</w:t>
            </w:r>
          </w:p>
        </w:tc>
      </w:tr>
      <w:tr w14:paraId="01F51F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863" w:type="dxa"/>
            <w:gridSpan w:val="2"/>
            <w:noWrap w:val="0"/>
            <w:vAlign w:val="top"/>
          </w:tcPr>
          <w:p w14:paraId="7E8B71FD">
            <w:pPr>
              <w:pStyle w:val="6"/>
              <w:spacing w:before="99" w:line="219" w:lineRule="auto"/>
              <w:ind w:left="185"/>
            </w:pPr>
            <w:r>
              <w:rPr>
                <w:spacing w:val="-2"/>
              </w:rPr>
              <w:t>支出方向总金额</w:t>
            </w:r>
          </w:p>
        </w:tc>
        <w:tc>
          <w:tcPr>
            <w:tcW w:w="1987" w:type="dxa"/>
            <w:gridSpan w:val="2"/>
            <w:noWrap w:val="0"/>
            <w:vAlign w:val="top"/>
          </w:tcPr>
          <w:p w14:paraId="5C349980">
            <w:pPr>
              <w:pStyle w:val="6"/>
              <w:spacing w:before="120"/>
              <w:ind w:left="722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-4"/>
                <w:lang w:val="en-US" w:eastAsia="zh-CN"/>
              </w:rPr>
              <w:t>100</w:t>
            </w:r>
          </w:p>
        </w:tc>
        <w:tc>
          <w:tcPr>
            <w:tcW w:w="3437" w:type="dxa"/>
            <w:gridSpan w:val="2"/>
            <w:noWrap w:val="0"/>
            <w:vAlign w:val="top"/>
          </w:tcPr>
          <w:p w14:paraId="55F05AD2">
            <w:pPr>
              <w:pStyle w:val="6"/>
              <w:spacing w:before="99" w:line="219" w:lineRule="auto"/>
              <w:ind w:left="875"/>
            </w:pPr>
            <w:r>
              <w:rPr>
                <w:spacing w:val="-2"/>
              </w:rPr>
              <w:t>省级专项资金总额</w:t>
            </w:r>
          </w:p>
        </w:tc>
        <w:tc>
          <w:tcPr>
            <w:tcW w:w="2163" w:type="dxa"/>
            <w:gridSpan w:val="2"/>
            <w:noWrap w:val="0"/>
            <w:vAlign w:val="top"/>
          </w:tcPr>
          <w:p w14:paraId="325EDF95">
            <w:pPr>
              <w:pStyle w:val="6"/>
              <w:spacing w:before="120"/>
              <w:ind w:left="757"/>
            </w:pPr>
            <w:r>
              <w:rPr>
                <w:spacing w:val="-2"/>
              </w:rPr>
              <w:t>260000</w:t>
            </w:r>
          </w:p>
        </w:tc>
      </w:tr>
      <w:tr w14:paraId="7713AA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863" w:type="dxa"/>
            <w:gridSpan w:val="2"/>
            <w:noWrap w:val="0"/>
            <w:vAlign w:val="top"/>
          </w:tcPr>
          <w:p w14:paraId="1A0EBA2D">
            <w:pPr>
              <w:pStyle w:val="6"/>
              <w:spacing w:before="38" w:line="212" w:lineRule="auto"/>
              <w:ind w:left="294"/>
            </w:pPr>
            <w:r>
              <w:rPr>
                <w:spacing w:val="-2"/>
              </w:rPr>
              <w:t>省级支出金额</w:t>
            </w:r>
          </w:p>
        </w:tc>
        <w:tc>
          <w:tcPr>
            <w:tcW w:w="1987" w:type="dxa"/>
            <w:gridSpan w:val="2"/>
            <w:noWrap w:val="0"/>
            <w:vAlign w:val="top"/>
          </w:tcPr>
          <w:p w14:paraId="1D5175FF">
            <w:pPr>
              <w:pStyle w:val="6"/>
              <w:spacing w:before="60" w:line="193" w:lineRule="auto"/>
              <w:ind w:left="881"/>
            </w:pPr>
          </w:p>
        </w:tc>
        <w:tc>
          <w:tcPr>
            <w:tcW w:w="3437" w:type="dxa"/>
            <w:gridSpan w:val="2"/>
            <w:noWrap w:val="0"/>
            <w:vAlign w:val="top"/>
          </w:tcPr>
          <w:p w14:paraId="5361166A">
            <w:pPr>
              <w:pStyle w:val="6"/>
              <w:spacing w:before="38" w:line="212" w:lineRule="auto"/>
              <w:ind w:left="454"/>
            </w:pPr>
            <w:r>
              <w:rPr>
                <w:spacing w:val="-1"/>
              </w:rPr>
              <w:t>对市、县专项转移支付金额</w:t>
            </w:r>
          </w:p>
        </w:tc>
        <w:tc>
          <w:tcPr>
            <w:tcW w:w="2163" w:type="dxa"/>
            <w:gridSpan w:val="2"/>
            <w:noWrap w:val="0"/>
            <w:vAlign w:val="top"/>
          </w:tcPr>
          <w:p w14:paraId="7325E676">
            <w:pPr>
              <w:pStyle w:val="6"/>
              <w:spacing w:before="60" w:line="193" w:lineRule="auto"/>
              <w:ind w:left="807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-4"/>
                <w:lang w:val="en-US" w:eastAsia="zh-CN"/>
              </w:rPr>
              <w:t>100</w:t>
            </w:r>
          </w:p>
        </w:tc>
      </w:tr>
      <w:tr w14:paraId="2D33EC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1054" w:type="dxa"/>
            <w:noWrap w:val="0"/>
            <w:vAlign w:val="top"/>
          </w:tcPr>
          <w:p w14:paraId="62921374">
            <w:pPr>
              <w:pStyle w:val="6"/>
              <w:spacing w:before="169"/>
              <w:ind w:left="204" w:right="101" w:hanging="110"/>
            </w:pPr>
            <w:r>
              <w:rPr>
                <w:spacing w:val="1"/>
              </w:rPr>
              <w:t>实施期绩</w:t>
            </w:r>
            <w:r>
              <w:rPr>
                <w:spacing w:val="2"/>
              </w:rPr>
              <w:t xml:space="preserve"> 效目标</w:t>
            </w:r>
          </w:p>
        </w:tc>
        <w:tc>
          <w:tcPr>
            <w:tcW w:w="8396" w:type="dxa"/>
            <w:gridSpan w:val="7"/>
            <w:noWrap w:val="0"/>
            <w:vAlign w:val="top"/>
          </w:tcPr>
          <w:p w14:paraId="4CB5D2D2">
            <w:pPr>
              <w:pStyle w:val="6"/>
              <w:spacing w:before="27" w:line="226" w:lineRule="auto"/>
              <w:ind w:left="11"/>
              <w:jc w:val="both"/>
            </w:pPr>
            <w:r>
              <w:rPr>
                <w:spacing w:val="-3"/>
              </w:rPr>
              <w:t>通过易地搬迁安置区提质升级专项的实施，拟用5年时间对全省范围内问</w:t>
            </w:r>
            <w:r>
              <w:rPr>
                <w:spacing w:val="-4"/>
              </w:rPr>
              <w:t>题较集中、群众呼声</w:t>
            </w:r>
            <w:r>
              <w:t xml:space="preserve"> </w:t>
            </w:r>
            <w:r>
              <w:rPr>
                <w:spacing w:val="-6"/>
              </w:rPr>
              <w:t>较高的安置区进行提质升级，切实改善群众居住环境，让搬迁群众住得安心、住得放心、住得</w:t>
            </w:r>
            <w:r>
              <w:rPr>
                <w:spacing w:val="4"/>
              </w:rPr>
              <w:t xml:space="preserve"> </w:t>
            </w:r>
            <w:r>
              <w:rPr>
                <w:spacing w:val="28"/>
              </w:rPr>
              <w:t>舒心。</w:t>
            </w:r>
          </w:p>
        </w:tc>
      </w:tr>
      <w:tr w14:paraId="49BC02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1054" w:type="dxa"/>
            <w:noWrap w:val="0"/>
            <w:vAlign w:val="top"/>
          </w:tcPr>
          <w:p w14:paraId="5D62611B">
            <w:pPr>
              <w:pStyle w:val="6"/>
              <w:spacing w:before="190" w:line="241" w:lineRule="auto"/>
              <w:ind w:left="94" w:right="120" w:firstLine="110"/>
            </w:pPr>
            <w:r>
              <w:rPr>
                <w:spacing w:val="4"/>
              </w:rPr>
              <w:t>本年度</w:t>
            </w:r>
            <w:r>
              <w:t xml:space="preserve"> </w:t>
            </w:r>
            <w:r>
              <w:rPr>
                <w:spacing w:val="-3"/>
              </w:rPr>
              <w:t>绩效目标</w:t>
            </w:r>
          </w:p>
        </w:tc>
        <w:tc>
          <w:tcPr>
            <w:tcW w:w="8396" w:type="dxa"/>
            <w:gridSpan w:val="7"/>
            <w:noWrap w:val="0"/>
            <w:vAlign w:val="top"/>
          </w:tcPr>
          <w:p w14:paraId="6BB88CCF">
            <w:pPr>
              <w:pStyle w:val="6"/>
              <w:spacing w:before="10" w:line="231" w:lineRule="auto"/>
              <w:ind w:left="11"/>
              <w:jc w:val="both"/>
            </w:pPr>
            <w:r>
              <w:rPr>
                <w:spacing w:val="-6"/>
              </w:rPr>
              <w:t>支持全省范围内易地搬迁安置区污水管网、供水排水系统(含溢洪道)、消防设施、充电设施、</w:t>
            </w:r>
            <w:r>
              <w:rPr>
                <w:spacing w:val="15"/>
              </w:rPr>
              <w:t xml:space="preserve"> </w:t>
            </w:r>
            <w:r>
              <w:rPr>
                <w:spacing w:val="-8"/>
              </w:rPr>
              <w:t>护坡堡坎等建设内容。开展易地搬迁安置区后续扶持现场观摩活动、项目评审以及相关政</w:t>
            </w:r>
            <w:r>
              <w:rPr>
                <w:spacing w:val="-9"/>
              </w:rPr>
              <w:t>策前</w:t>
            </w:r>
            <w:r>
              <w:t xml:space="preserve">  </w:t>
            </w:r>
            <w:r>
              <w:rPr>
                <w:spacing w:val="8"/>
              </w:rPr>
              <w:t>期研究等工作。</w:t>
            </w:r>
          </w:p>
        </w:tc>
      </w:tr>
      <w:tr w14:paraId="213A22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05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6D546CA2">
            <w:pPr>
              <w:spacing w:line="344" w:lineRule="auto"/>
              <w:rPr>
                <w:rFonts w:ascii="Arial"/>
                <w:sz w:val="21"/>
              </w:rPr>
            </w:pPr>
          </w:p>
          <w:p w14:paraId="2FCC5C7B">
            <w:pPr>
              <w:pStyle w:val="6"/>
              <w:spacing w:before="71" w:line="202" w:lineRule="auto"/>
              <w:ind w:left="2792"/>
            </w:pPr>
            <w:r>
              <w:t>本</w:t>
            </w:r>
            <w:r>
              <w:rPr>
                <w:spacing w:val="-41"/>
              </w:rPr>
              <w:t xml:space="preserve"> </w:t>
            </w:r>
            <w:r>
              <w:t>年</w:t>
            </w:r>
            <w:r>
              <w:rPr>
                <w:spacing w:val="-41"/>
              </w:rPr>
              <w:t xml:space="preserve"> </w:t>
            </w:r>
            <w:r>
              <w:t>度</w:t>
            </w:r>
            <w:r>
              <w:rPr>
                <w:spacing w:val="-41"/>
              </w:rPr>
              <w:t xml:space="preserve"> </w:t>
            </w:r>
            <w:r>
              <w:t>绩</w:t>
            </w:r>
            <w:r>
              <w:rPr>
                <w:spacing w:val="-41"/>
              </w:rPr>
              <w:t xml:space="preserve"> </w:t>
            </w:r>
            <w:r>
              <w:t>效</w:t>
            </w:r>
            <w:r>
              <w:rPr>
                <w:spacing w:val="-41"/>
              </w:rPr>
              <w:t xml:space="preserve"> </w:t>
            </w:r>
            <w:r>
              <w:t>指</w:t>
            </w:r>
            <w:r>
              <w:rPr>
                <w:spacing w:val="-41"/>
              </w:rPr>
              <w:t xml:space="preserve"> </w:t>
            </w:r>
            <w:r>
              <w:t>标</w:t>
            </w:r>
          </w:p>
        </w:tc>
        <w:tc>
          <w:tcPr>
            <w:tcW w:w="1258" w:type="dxa"/>
            <w:gridSpan w:val="2"/>
            <w:noWrap w:val="0"/>
            <w:vAlign w:val="top"/>
          </w:tcPr>
          <w:p w14:paraId="798FBB80">
            <w:pPr>
              <w:pStyle w:val="6"/>
              <w:spacing w:before="252" w:line="220" w:lineRule="auto"/>
              <w:ind w:left="200"/>
            </w:pPr>
            <w:r>
              <w:rPr>
                <w:spacing w:val="-3"/>
              </w:rPr>
              <w:t>一级指标</w:t>
            </w:r>
          </w:p>
        </w:tc>
        <w:tc>
          <w:tcPr>
            <w:tcW w:w="1538" w:type="dxa"/>
            <w:noWrap w:val="0"/>
            <w:vAlign w:val="top"/>
          </w:tcPr>
          <w:p w14:paraId="2A373119">
            <w:pPr>
              <w:pStyle w:val="6"/>
              <w:spacing w:before="252" w:line="220" w:lineRule="auto"/>
              <w:ind w:left="343"/>
            </w:pPr>
            <w:r>
              <w:rPr>
                <w:spacing w:val="-3"/>
              </w:rPr>
              <w:t>二级指标</w:t>
            </w:r>
          </w:p>
        </w:tc>
        <w:tc>
          <w:tcPr>
            <w:tcW w:w="2268" w:type="dxa"/>
            <w:noWrap w:val="0"/>
            <w:vAlign w:val="top"/>
          </w:tcPr>
          <w:p w14:paraId="579DFDF5">
            <w:pPr>
              <w:pStyle w:val="6"/>
              <w:spacing w:before="252" w:line="220" w:lineRule="auto"/>
              <w:ind w:left="704"/>
            </w:pPr>
            <w:r>
              <w:rPr>
                <w:spacing w:val="-2"/>
              </w:rPr>
              <w:t>三级指标</w:t>
            </w:r>
          </w:p>
        </w:tc>
        <w:tc>
          <w:tcPr>
            <w:tcW w:w="1169" w:type="dxa"/>
            <w:noWrap w:val="0"/>
            <w:vAlign w:val="top"/>
          </w:tcPr>
          <w:p w14:paraId="5FDF7939">
            <w:pPr>
              <w:pStyle w:val="6"/>
              <w:spacing w:before="251" w:line="219" w:lineRule="auto"/>
              <w:ind w:left="156"/>
            </w:pPr>
            <w:r>
              <w:rPr>
                <w:spacing w:val="3"/>
              </w:rPr>
              <w:t>指标类型</w:t>
            </w:r>
          </w:p>
        </w:tc>
        <w:tc>
          <w:tcPr>
            <w:tcW w:w="1119" w:type="dxa"/>
            <w:noWrap w:val="0"/>
            <w:vAlign w:val="top"/>
          </w:tcPr>
          <w:p w14:paraId="27C542AF">
            <w:pPr>
              <w:pStyle w:val="6"/>
              <w:spacing w:before="251" w:line="219" w:lineRule="auto"/>
              <w:ind w:left="237"/>
            </w:pPr>
            <w:r>
              <w:rPr>
                <w:spacing w:val="-3"/>
              </w:rPr>
              <w:t>指标值</w:t>
            </w:r>
          </w:p>
        </w:tc>
        <w:tc>
          <w:tcPr>
            <w:tcW w:w="1044" w:type="dxa"/>
            <w:noWrap w:val="0"/>
            <w:vAlign w:val="top"/>
          </w:tcPr>
          <w:p w14:paraId="155254DB">
            <w:pPr>
              <w:pStyle w:val="6"/>
              <w:spacing w:before="252" w:line="220" w:lineRule="auto"/>
              <w:ind w:left="99"/>
            </w:pPr>
            <w:r>
              <w:rPr>
                <w:spacing w:val="-2"/>
              </w:rPr>
              <w:t>计量单位</w:t>
            </w:r>
          </w:p>
        </w:tc>
      </w:tr>
      <w:tr w14:paraId="02EA1A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89FE2F5"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gridSpan w:val="2"/>
            <w:vMerge w:val="restart"/>
            <w:tcBorders>
              <w:bottom w:val="nil"/>
            </w:tcBorders>
            <w:noWrap w:val="0"/>
            <w:vAlign w:val="top"/>
          </w:tcPr>
          <w:p w14:paraId="1799AD1B">
            <w:pPr>
              <w:spacing w:line="264" w:lineRule="auto"/>
              <w:rPr>
                <w:rFonts w:ascii="Arial"/>
                <w:sz w:val="21"/>
              </w:rPr>
            </w:pPr>
          </w:p>
          <w:p w14:paraId="247B1100">
            <w:pPr>
              <w:spacing w:line="265" w:lineRule="auto"/>
              <w:rPr>
                <w:rFonts w:ascii="Arial"/>
                <w:sz w:val="21"/>
              </w:rPr>
            </w:pPr>
          </w:p>
          <w:p w14:paraId="1213C5B8">
            <w:pPr>
              <w:pStyle w:val="6"/>
              <w:spacing w:before="69" w:line="219" w:lineRule="auto"/>
              <w:ind w:left="200"/>
            </w:pPr>
            <w:r>
              <w:rPr>
                <w:spacing w:val="-2"/>
              </w:rPr>
              <w:t>成本指标</w:t>
            </w:r>
          </w:p>
        </w:tc>
        <w:tc>
          <w:tcPr>
            <w:tcW w:w="1538" w:type="dxa"/>
            <w:vMerge w:val="restart"/>
            <w:tcBorders>
              <w:bottom w:val="nil"/>
            </w:tcBorders>
            <w:noWrap w:val="0"/>
            <w:vAlign w:val="top"/>
          </w:tcPr>
          <w:p w14:paraId="38B43106">
            <w:pPr>
              <w:spacing w:line="261" w:lineRule="auto"/>
              <w:rPr>
                <w:rFonts w:ascii="Arial"/>
                <w:sz w:val="21"/>
              </w:rPr>
            </w:pPr>
          </w:p>
          <w:p w14:paraId="5C7B2D02">
            <w:pPr>
              <w:pStyle w:val="6"/>
              <w:spacing w:before="68" w:line="219" w:lineRule="auto"/>
              <w:ind w:left="132"/>
            </w:pPr>
            <w:r>
              <w:rPr>
                <w:spacing w:val="-2"/>
              </w:rPr>
              <w:t>经济成本指标</w:t>
            </w:r>
          </w:p>
        </w:tc>
        <w:tc>
          <w:tcPr>
            <w:tcW w:w="2268" w:type="dxa"/>
            <w:noWrap w:val="0"/>
            <w:vAlign w:val="top"/>
          </w:tcPr>
          <w:p w14:paraId="44413C7A">
            <w:pPr>
              <w:pStyle w:val="6"/>
              <w:spacing w:before="123" w:line="220" w:lineRule="auto"/>
              <w:ind w:left="74"/>
            </w:pPr>
            <w:r>
              <w:rPr>
                <w:spacing w:val="1"/>
              </w:rPr>
              <w:t>实际投资占计划投资比</w:t>
            </w:r>
          </w:p>
        </w:tc>
        <w:tc>
          <w:tcPr>
            <w:tcW w:w="1169" w:type="dxa"/>
            <w:noWrap w:val="0"/>
            <w:vAlign w:val="top"/>
          </w:tcPr>
          <w:p w14:paraId="2D131619">
            <w:pPr>
              <w:pStyle w:val="6"/>
              <w:spacing w:before="123" w:line="220" w:lineRule="auto"/>
              <w:ind w:left="156"/>
            </w:pPr>
            <w:r>
              <w:rPr>
                <w:spacing w:val="2"/>
              </w:rPr>
              <w:t>定量指标</w:t>
            </w:r>
          </w:p>
        </w:tc>
        <w:tc>
          <w:tcPr>
            <w:tcW w:w="1119" w:type="dxa"/>
            <w:noWrap w:val="0"/>
            <w:vAlign w:val="top"/>
          </w:tcPr>
          <w:p w14:paraId="0EC0B72A">
            <w:pPr>
              <w:pStyle w:val="6"/>
              <w:spacing w:before="141" w:line="236" w:lineRule="auto"/>
              <w:ind w:left="287"/>
            </w:pPr>
            <w:r>
              <w:rPr>
                <w:spacing w:val="-5"/>
              </w:rPr>
              <w:t>≤100</w:t>
            </w:r>
          </w:p>
        </w:tc>
        <w:tc>
          <w:tcPr>
            <w:tcW w:w="1044" w:type="dxa"/>
            <w:noWrap w:val="0"/>
            <w:vAlign w:val="top"/>
          </w:tcPr>
          <w:p w14:paraId="634CE04C">
            <w:pPr>
              <w:pStyle w:val="6"/>
              <w:spacing w:before="143"/>
              <w:ind w:left="459"/>
            </w:pPr>
            <w:r>
              <w:t>%</w:t>
            </w:r>
          </w:p>
        </w:tc>
      </w:tr>
      <w:tr w14:paraId="5BCAA6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3BCAAD9"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gridSpan w:val="2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133FD56">
            <w:pPr>
              <w:rPr>
                <w:rFonts w:ascii="Arial"/>
                <w:sz w:val="21"/>
              </w:rPr>
            </w:pPr>
          </w:p>
        </w:tc>
        <w:tc>
          <w:tcPr>
            <w:tcW w:w="1538" w:type="dxa"/>
            <w:vMerge w:val="continue"/>
            <w:tcBorders>
              <w:top w:val="nil"/>
            </w:tcBorders>
            <w:noWrap w:val="0"/>
            <w:vAlign w:val="top"/>
          </w:tcPr>
          <w:p w14:paraId="5879BE88">
            <w:pPr>
              <w:rPr>
                <w:rFonts w:ascii="Arial"/>
                <w:sz w:val="21"/>
              </w:rPr>
            </w:pPr>
          </w:p>
        </w:tc>
        <w:tc>
          <w:tcPr>
            <w:tcW w:w="2268" w:type="dxa"/>
            <w:noWrap w:val="0"/>
            <w:vAlign w:val="top"/>
          </w:tcPr>
          <w:p w14:paraId="792913A5">
            <w:pPr>
              <w:pStyle w:val="6"/>
              <w:spacing w:before="102" w:line="219" w:lineRule="auto"/>
              <w:ind w:left="605"/>
            </w:pPr>
            <w:r>
              <w:rPr>
                <w:spacing w:val="1"/>
              </w:rPr>
              <w:t>工程变更率</w:t>
            </w:r>
          </w:p>
        </w:tc>
        <w:tc>
          <w:tcPr>
            <w:tcW w:w="1169" w:type="dxa"/>
            <w:noWrap w:val="0"/>
            <w:vAlign w:val="top"/>
          </w:tcPr>
          <w:p w14:paraId="17BC7F3B">
            <w:pPr>
              <w:pStyle w:val="6"/>
              <w:spacing w:before="103" w:line="220" w:lineRule="auto"/>
              <w:ind w:left="156"/>
            </w:pPr>
            <w:r>
              <w:rPr>
                <w:spacing w:val="2"/>
              </w:rPr>
              <w:t>定量指标</w:t>
            </w:r>
          </w:p>
        </w:tc>
        <w:tc>
          <w:tcPr>
            <w:tcW w:w="1119" w:type="dxa"/>
            <w:noWrap w:val="0"/>
            <w:vAlign w:val="top"/>
          </w:tcPr>
          <w:p w14:paraId="3375B633">
            <w:pPr>
              <w:pStyle w:val="6"/>
              <w:spacing w:before="121" w:line="236" w:lineRule="auto"/>
              <w:ind w:left="348"/>
            </w:pPr>
            <w:r>
              <w:rPr>
                <w:spacing w:val="-6"/>
              </w:rPr>
              <w:t>≤15</w:t>
            </w:r>
          </w:p>
        </w:tc>
        <w:tc>
          <w:tcPr>
            <w:tcW w:w="1044" w:type="dxa"/>
            <w:noWrap w:val="0"/>
            <w:vAlign w:val="top"/>
          </w:tcPr>
          <w:p w14:paraId="215C4713">
            <w:pPr>
              <w:pStyle w:val="6"/>
              <w:spacing w:before="123"/>
              <w:ind w:left="459"/>
            </w:pPr>
            <w:r>
              <w:t>%</w:t>
            </w:r>
          </w:p>
        </w:tc>
      </w:tr>
      <w:tr w14:paraId="455A09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A455274"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gridSpan w:val="2"/>
            <w:vMerge w:val="continue"/>
            <w:tcBorders>
              <w:top w:val="nil"/>
            </w:tcBorders>
            <w:noWrap w:val="0"/>
            <w:vAlign w:val="top"/>
          </w:tcPr>
          <w:p w14:paraId="5DA6E1A2">
            <w:pPr>
              <w:rPr>
                <w:rFonts w:ascii="Arial"/>
                <w:sz w:val="21"/>
              </w:rPr>
            </w:pPr>
          </w:p>
        </w:tc>
        <w:tc>
          <w:tcPr>
            <w:tcW w:w="1538" w:type="dxa"/>
            <w:noWrap w:val="0"/>
            <w:vAlign w:val="top"/>
          </w:tcPr>
          <w:p w14:paraId="68E99CFF">
            <w:pPr>
              <w:pStyle w:val="6"/>
              <w:spacing w:before="161" w:line="219" w:lineRule="auto"/>
              <w:ind w:left="132"/>
            </w:pPr>
            <w:r>
              <w:rPr>
                <w:spacing w:val="-2"/>
              </w:rPr>
              <w:t>生态成本指标</w:t>
            </w:r>
          </w:p>
        </w:tc>
        <w:tc>
          <w:tcPr>
            <w:tcW w:w="2268" w:type="dxa"/>
            <w:noWrap w:val="0"/>
            <w:vAlign w:val="top"/>
          </w:tcPr>
          <w:p w14:paraId="73CC4A4D">
            <w:pPr>
              <w:pStyle w:val="6"/>
              <w:spacing w:before="73" w:line="196" w:lineRule="auto"/>
              <w:ind w:left="74" w:right="73"/>
            </w:pPr>
            <w:r>
              <w:rPr>
                <w:spacing w:val="-1"/>
              </w:rPr>
              <w:t>支持项目建设过程中重</w:t>
            </w:r>
            <w:r>
              <w:t xml:space="preserve"> 大环境污染事项发生率</w:t>
            </w:r>
          </w:p>
        </w:tc>
        <w:tc>
          <w:tcPr>
            <w:tcW w:w="1169" w:type="dxa"/>
            <w:noWrap w:val="0"/>
            <w:vAlign w:val="top"/>
          </w:tcPr>
          <w:p w14:paraId="5A68BF75">
            <w:pPr>
              <w:pStyle w:val="6"/>
              <w:spacing w:before="163" w:line="220" w:lineRule="auto"/>
              <w:ind w:left="156"/>
            </w:pPr>
            <w:r>
              <w:rPr>
                <w:spacing w:val="2"/>
              </w:rPr>
              <w:t>定量指标</w:t>
            </w:r>
          </w:p>
        </w:tc>
        <w:tc>
          <w:tcPr>
            <w:tcW w:w="1119" w:type="dxa"/>
            <w:noWrap w:val="0"/>
            <w:vAlign w:val="top"/>
          </w:tcPr>
          <w:p w14:paraId="2B1ED3D8">
            <w:pPr>
              <w:pStyle w:val="6"/>
              <w:spacing w:before="183"/>
              <w:ind w:left="447"/>
            </w:pPr>
            <w:r>
              <w:rPr>
                <w:spacing w:val="-2"/>
              </w:rPr>
              <w:t>=0</w:t>
            </w:r>
          </w:p>
        </w:tc>
        <w:tc>
          <w:tcPr>
            <w:tcW w:w="1044" w:type="dxa"/>
            <w:noWrap w:val="0"/>
            <w:vAlign w:val="top"/>
          </w:tcPr>
          <w:p w14:paraId="2C02C26A">
            <w:pPr>
              <w:pStyle w:val="6"/>
              <w:spacing w:before="183"/>
              <w:ind w:left="459"/>
            </w:pPr>
            <w:r>
              <w:t>%</w:t>
            </w:r>
          </w:p>
        </w:tc>
      </w:tr>
      <w:tr w14:paraId="4AE329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865506C"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gridSpan w:val="2"/>
            <w:vMerge w:val="restart"/>
            <w:tcBorders>
              <w:bottom w:val="nil"/>
            </w:tcBorders>
            <w:noWrap w:val="0"/>
            <w:vAlign w:val="top"/>
          </w:tcPr>
          <w:p w14:paraId="498285A9">
            <w:pPr>
              <w:spacing w:line="251" w:lineRule="auto"/>
              <w:rPr>
                <w:rFonts w:ascii="Arial"/>
                <w:sz w:val="21"/>
              </w:rPr>
            </w:pPr>
          </w:p>
          <w:p w14:paraId="2FDE127C">
            <w:pPr>
              <w:spacing w:line="251" w:lineRule="auto"/>
              <w:rPr>
                <w:rFonts w:ascii="Arial"/>
                <w:sz w:val="21"/>
              </w:rPr>
            </w:pPr>
          </w:p>
          <w:p w14:paraId="76C5C3F5">
            <w:pPr>
              <w:spacing w:line="251" w:lineRule="auto"/>
              <w:rPr>
                <w:rFonts w:ascii="Arial"/>
                <w:sz w:val="21"/>
              </w:rPr>
            </w:pPr>
          </w:p>
          <w:p w14:paraId="322F26FA">
            <w:pPr>
              <w:spacing w:line="252" w:lineRule="auto"/>
              <w:rPr>
                <w:rFonts w:ascii="Arial"/>
                <w:sz w:val="21"/>
              </w:rPr>
            </w:pPr>
          </w:p>
          <w:p w14:paraId="185B5AC4">
            <w:pPr>
              <w:spacing w:line="252" w:lineRule="auto"/>
              <w:rPr>
                <w:rFonts w:ascii="Arial"/>
                <w:sz w:val="21"/>
              </w:rPr>
            </w:pPr>
          </w:p>
          <w:p w14:paraId="525041D6">
            <w:pPr>
              <w:pStyle w:val="6"/>
              <w:spacing w:before="69" w:line="219" w:lineRule="auto"/>
              <w:ind w:left="200"/>
            </w:pPr>
            <w:r>
              <w:rPr>
                <w:spacing w:val="-2"/>
              </w:rPr>
              <w:t>产出指标</w:t>
            </w:r>
          </w:p>
        </w:tc>
        <w:tc>
          <w:tcPr>
            <w:tcW w:w="1538" w:type="dxa"/>
            <w:noWrap w:val="0"/>
            <w:vAlign w:val="top"/>
          </w:tcPr>
          <w:p w14:paraId="79349E70">
            <w:pPr>
              <w:pStyle w:val="6"/>
              <w:spacing w:before="133" w:line="219" w:lineRule="auto"/>
              <w:ind w:left="343"/>
            </w:pPr>
            <w:r>
              <w:rPr>
                <w:spacing w:val="-2"/>
              </w:rPr>
              <w:t>数量指标</w:t>
            </w:r>
          </w:p>
        </w:tc>
        <w:tc>
          <w:tcPr>
            <w:tcW w:w="2268" w:type="dxa"/>
            <w:noWrap w:val="0"/>
            <w:vAlign w:val="top"/>
          </w:tcPr>
          <w:p w14:paraId="43B3C9E1">
            <w:pPr>
              <w:pStyle w:val="6"/>
              <w:spacing w:before="133" w:line="219" w:lineRule="auto"/>
              <w:ind w:left="285"/>
            </w:pPr>
            <w:r>
              <w:rPr>
                <w:spacing w:val="-1"/>
              </w:rPr>
              <w:t>支持项目建设数量</w:t>
            </w:r>
          </w:p>
        </w:tc>
        <w:tc>
          <w:tcPr>
            <w:tcW w:w="1169" w:type="dxa"/>
            <w:noWrap w:val="0"/>
            <w:vAlign w:val="top"/>
          </w:tcPr>
          <w:p w14:paraId="2AC5DC54">
            <w:pPr>
              <w:pStyle w:val="6"/>
              <w:spacing w:before="134" w:line="220" w:lineRule="auto"/>
              <w:ind w:left="156"/>
            </w:pPr>
            <w:r>
              <w:rPr>
                <w:spacing w:val="2"/>
              </w:rPr>
              <w:t>定量指标</w:t>
            </w:r>
          </w:p>
        </w:tc>
        <w:tc>
          <w:tcPr>
            <w:tcW w:w="1119" w:type="dxa"/>
            <w:noWrap w:val="0"/>
            <w:vAlign w:val="top"/>
          </w:tcPr>
          <w:p w14:paraId="07918716">
            <w:pPr>
              <w:pStyle w:val="6"/>
              <w:spacing w:before="154"/>
              <w:ind w:left="398"/>
              <w:rPr>
                <w:rFonts w:hint="eastAsia" w:eastAsia="宋体"/>
                <w:lang w:eastAsia="zh-CN"/>
              </w:rPr>
            </w:pPr>
            <w:r>
              <w:rPr>
                <w:spacing w:val="-2"/>
              </w:rPr>
              <w:t>=</w:t>
            </w:r>
            <w:r>
              <w:rPr>
                <w:rFonts w:hint="eastAsia"/>
                <w:spacing w:val="-2"/>
                <w:lang w:val="en-US" w:eastAsia="zh-CN"/>
              </w:rPr>
              <w:t>1</w:t>
            </w:r>
          </w:p>
        </w:tc>
        <w:tc>
          <w:tcPr>
            <w:tcW w:w="1044" w:type="dxa"/>
            <w:noWrap w:val="0"/>
            <w:vAlign w:val="top"/>
          </w:tcPr>
          <w:p w14:paraId="3533819E">
            <w:pPr>
              <w:pStyle w:val="6"/>
              <w:spacing w:before="133" w:line="219" w:lineRule="auto"/>
              <w:ind w:left="409"/>
            </w:pPr>
            <w:r>
              <w:t>个</w:t>
            </w:r>
          </w:p>
        </w:tc>
      </w:tr>
      <w:tr w14:paraId="66618B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39DC074"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gridSpan w:val="2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FF365E4">
            <w:pPr>
              <w:rPr>
                <w:rFonts w:ascii="Arial"/>
                <w:sz w:val="21"/>
              </w:rPr>
            </w:pPr>
          </w:p>
        </w:tc>
        <w:tc>
          <w:tcPr>
            <w:tcW w:w="1538" w:type="dxa"/>
            <w:vMerge w:val="restart"/>
            <w:tcBorders>
              <w:bottom w:val="nil"/>
            </w:tcBorders>
            <w:noWrap w:val="0"/>
            <w:vAlign w:val="top"/>
          </w:tcPr>
          <w:p w14:paraId="72D31E33">
            <w:pPr>
              <w:spacing w:line="274" w:lineRule="auto"/>
              <w:rPr>
                <w:rFonts w:ascii="Arial"/>
                <w:sz w:val="21"/>
              </w:rPr>
            </w:pPr>
          </w:p>
          <w:p w14:paraId="0FF2D876">
            <w:pPr>
              <w:pStyle w:val="6"/>
              <w:spacing w:before="68" w:line="220" w:lineRule="auto"/>
              <w:ind w:left="343"/>
            </w:pPr>
            <w:r>
              <w:rPr>
                <w:spacing w:val="-2"/>
              </w:rPr>
              <w:t>质量指标</w:t>
            </w:r>
          </w:p>
        </w:tc>
        <w:tc>
          <w:tcPr>
            <w:tcW w:w="2268" w:type="dxa"/>
            <w:noWrap w:val="0"/>
            <w:vAlign w:val="top"/>
          </w:tcPr>
          <w:p w14:paraId="1544101B">
            <w:pPr>
              <w:pStyle w:val="6"/>
              <w:spacing w:before="63" w:line="217" w:lineRule="auto"/>
              <w:ind w:left="74"/>
            </w:pPr>
            <w:r>
              <w:t>阶段性工程验收合格率</w:t>
            </w:r>
          </w:p>
        </w:tc>
        <w:tc>
          <w:tcPr>
            <w:tcW w:w="1169" w:type="dxa"/>
            <w:noWrap w:val="0"/>
            <w:vAlign w:val="top"/>
          </w:tcPr>
          <w:p w14:paraId="2BA4B1C2">
            <w:pPr>
              <w:pStyle w:val="6"/>
              <w:spacing w:before="64" w:line="216" w:lineRule="auto"/>
              <w:ind w:left="156"/>
            </w:pPr>
            <w:r>
              <w:rPr>
                <w:spacing w:val="2"/>
              </w:rPr>
              <w:t>定量指标</w:t>
            </w:r>
          </w:p>
        </w:tc>
        <w:tc>
          <w:tcPr>
            <w:tcW w:w="1119" w:type="dxa"/>
            <w:noWrap w:val="0"/>
            <w:vAlign w:val="top"/>
          </w:tcPr>
          <w:p w14:paraId="669CE80F">
            <w:pPr>
              <w:pStyle w:val="6"/>
              <w:spacing w:before="84" w:line="198" w:lineRule="auto"/>
              <w:ind w:left="348"/>
            </w:pPr>
            <w:r>
              <w:rPr>
                <w:spacing w:val="-2"/>
              </w:rPr>
              <w:t>=100</w:t>
            </w:r>
          </w:p>
        </w:tc>
        <w:tc>
          <w:tcPr>
            <w:tcW w:w="1044" w:type="dxa"/>
            <w:noWrap w:val="0"/>
            <w:vAlign w:val="top"/>
          </w:tcPr>
          <w:p w14:paraId="232BCB41">
            <w:pPr>
              <w:pStyle w:val="6"/>
              <w:spacing w:before="84" w:line="198" w:lineRule="auto"/>
              <w:ind w:left="459"/>
            </w:pPr>
            <w:r>
              <w:t>%</w:t>
            </w:r>
          </w:p>
        </w:tc>
      </w:tr>
      <w:tr w14:paraId="5E515B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961A9FA"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gridSpan w:val="2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111D596">
            <w:pPr>
              <w:rPr>
                <w:rFonts w:ascii="Arial"/>
                <w:sz w:val="21"/>
              </w:rPr>
            </w:pPr>
          </w:p>
        </w:tc>
        <w:tc>
          <w:tcPr>
            <w:tcW w:w="1538" w:type="dxa"/>
            <w:vMerge w:val="continue"/>
            <w:tcBorders>
              <w:top w:val="nil"/>
            </w:tcBorders>
            <w:noWrap w:val="0"/>
            <w:vAlign w:val="top"/>
          </w:tcPr>
          <w:p w14:paraId="29E3EFAE">
            <w:pPr>
              <w:rPr>
                <w:rFonts w:ascii="Arial"/>
                <w:sz w:val="21"/>
              </w:rPr>
            </w:pPr>
          </w:p>
        </w:tc>
        <w:tc>
          <w:tcPr>
            <w:tcW w:w="2268" w:type="dxa"/>
            <w:noWrap w:val="0"/>
            <w:vAlign w:val="top"/>
          </w:tcPr>
          <w:p w14:paraId="7C05BC59">
            <w:pPr>
              <w:pStyle w:val="6"/>
              <w:spacing w:before="42" w:line="212" w:lineRule="auto"/>
              <w:ind w:left="514" w:right="92" w:hanging="440"/>
            </w:pPr>
            <w:r>
              <w:rPr>
                <w:spacing w:val="-1"/>
              </w:rPr>
              <w:t>支持项目在建过程发生</w:t>
            </w:r>
            <w:r>
              <w:t xml:space="preserve"> </w:t>
            </w:r>
            <w:r>
              <w:rPr>
                <w:spacing w:val="-2"/>
              </w:rPr>
              <w:t>重大质量事故</w:t>
            </w:r>
          </w:p>
        </w:tc>
        <w:tc>
          <w:tcPr>
            <w:tcW w:w="1169" w:type="dxa"/>
            <w:noWrap w:val="0"/>
            <w:vAlign w:val="top"/>
          </w:tcPr>
          <w:p w14:paraId="4892E1C6">
            <w:pPr>
              <w:pStyle w:val="6"/>
              <w:spacing w:before="174" w:line="220" w:lineRule="auto"/>
              <w:ind w:left="156"/>
            </w:pPr>
            <w:r>
              <w:rPr>
                <w:spacing w:val="2"/>
              </w:rPr>
              <w:t>定量指标</w:t>
            </w:r>
          </w:p>
        </w:tc>
        <w:tc>
          <w:tcPr>
            <w:tcW w:w="1119" w:type="dxa"/>
            <w:noWrap w:val="0"/>
            <w:vAlign w:val="top"/>
          </w:tcPr>
          <w:p w14:paraId="158CDEF0">
            <w:pPr>
              <w:pStyle w:val="6"/>
              <w:spacing w:before="194"/>
              <w:ind w:left="447"/>
            </w:pPr>
            <w:r>
              <w:rPr>
                <w:spacing w:val="-2"/>
              </w:rPr>
              <w:t>=0</w:t>
            </w:r>
          </w:p>
        </w:tc>
        <w:tc>
          <w:tcPr>
            <w:tcW w:w="1044" w:type="dxa"/>
            <w:noWrap w:val="0"/>
            <w:vAlign w:val="top"/>
          </w:tcPr>
          <w:p w14:paraId="19A1BC2C">
            <w:pPr>
              <w:pStyle w:val="6"/>
              <w:spacing w:before="194"/>
              <w:ind w:left="459"/>
            </w:pPr>
            <w:r>
              <w:t>%</w:t>
            </w:r>
          </w:p>
        </w:tc>
      </w:tr>
      <w:tr w14:paraId="5BDE78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C7C8D60"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gridSpan w:val="2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5150925">
            <w:pPr>
              <w:rPr>
                <w:rFonts w:ascii="Arial"/>
                <w:sz w:val="21"/>
              </w:rPr>
            </w:pPr>
          </w:p>
        </w:tc>
        <w:tc>
          <w:tcPr>
            <w:tcW w:w="1538" w:type="dxa"/>
            <w:vMerge w:val="restart"/>
            <w:tcBorders>
              <w:bottom w:val="nil"/>
            </w:tcBorders>
            <w:noWrap w:val="0"/>
            <w:vAlign w:val="top"/>
          </w:tcPr>
          <w:p w14:paraId="21CBC03C">
            <w:pPr>
              <w:spacing w:line="291" w:lineRule="auto"/>
              <w:rPr>
                <w:rFonts w:ascii="Arial"/>
                <w:sz w:val="21"/>
              </w:rPr>
            </w:pPr>
          </w:p>
          <w:p w14:paraId="71D5AA42">
            <w:pPr>
              <w:spacing w:line="292" w:lineRule="auto"/>
              <w:rPr>
                <w:rFonts w:ascii="Arial"/>
                <w:sz w:val="21"/>
              </w:rPr>
            </w:pPr>
          </w:p>
          <w:p w14:paraId="4DF291E4">
            <w:pPr>
              <w:pStyle w:val="6"/>
              <w:spacing w:before="68" w:line="220" w:lineRule="auto"/>
              <w:ind w:left="343"/>
            </w:pPr>
            <w:r>
              <w:rPr>
                <w:spacing w:val="2"/>
              </w:rPr>
              <w:t>时效指标</w:t>
            </w:r>
          </w:p>
        </w:tc>
        <w:tc>
          <w:tcPr>
            <w:tcW w:w="2268" w:type="dxa"/>
            <w:noWrap w:val="0"/>
            <w:vAlign w:val="top"/>
          </w:tcPr>
          <w:p w14:paraId="6B6BD8A9">
            <w:pPr>
              <w:pStyle w:val="6"/>
              <w:spacing w:before="165" w:line="220" w:lineRule="auto"/>
              <w:ind w:left="74"/>
            </w:pPr>
            <w:r>
              <w:rPr>
                <w:spacing w:val="2"/>
              </w:rPr>
              <w:t>投资计划转发下达时间</w:t>
            </w:r>
          </w:p>
        </w:tc>
        <w:tc>
          <w:tcPr>
            <w:tcW w:w="1169" w:type="dxa"/>
            <w:noWrap w:val="0"/>
            <w:vAlign w:val="top"/>
          </w:tcPr>
          <w:p w14:paraId="4B0C05A0">
            <w:pPr>
              <w:pStyle w:val="6"/>
              <w:spacing w:before="165" w:line="220" w:lineRule="auto"/>
              <w:ind w:left="156"/>
            </w:pPr>
            <w:r>
              <w:rPr>
                <w:spacing w:val="2"/>
              </w:rPr>
              <w:t>定量指标</w:t>
            </w:r>
          </w:p>
        </w:tc>
        <w:tc>
          <w:tcPr>
            <w:tcW w:w="1119" w:type="dxa"/>
            <w:noWrap w:val="0"/>
            <w:vAlign w:val="top"/>
          </w:tcPr>
          <w:p w14:paraId="44D4648B">
            <w:pPr>
              <w:pStyle w:val="6"/>
              <w:spacing w:before="183" w:line="236" w:lineRule="auto"/>
              <w:ind w:left="398"/>
            </w:pPr>
            <w:r>
              <w:rPr>
                <w:spacing w:val="-8"/>
              </w:rPr>
              <w:t>≤5</w:t>
            </w:r>
          </w:p>
        </w:tc>
        <w:tc>
          <w:tcPr>
            <w:tcW w:w="1044" w:type="dxa"/>
            <w:noWrap w:val="0"/>
            <w:vAlign w:val="top"/>
          </w:tcPr>
          <w:p w14:paraId="0F771BE7">
            <w:pPr>
              <w:pStyle w:val="6"/>
              <w:spacing w:before="165" w:line="220" w:lineRule="auto"/>
              <w:ind w:left="199"/>
            </w:pPr>
            <w:r>
              <w:rPr>
                <w:spacing w:val="12"/>
              </w:rPr>
              <w:t>工作日</w:t>
            </w:r>
          </w:p>
        </w:tc>
      </w:tr>
      <w:tr w14:paraId="39EB4B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37FAE6D"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gridSpan w:val="2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B7C1447">
            <w:pPr>
              <w:rPr>
                <w:rFonts w:ascii="Arial"/>
                <w:sz w:val="21"/>
              </w:rPr>
            </w:pPr>
          </w:p>
        </w:tc>
        <w:tc>
          <w:tcPr>
            <w:tcW w:w="153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C227A75">
            <w:pPr>
              <w:rPr>
                <w:rFonts w:ascii="Arial"/>
                <w:sz w:val="21"/>
              </w:rPr>
            </w:pPr>
          </w:p>
        </w:tc>
        <w:tc>
          <w:tcPr>
            <w:tcW w:w="2268" w:type="dxa"/>
            <w:noWrap w:val="0"/>
            <w:vAlign w:val="top"/>
          </w:tcPr>
          <w:p w14:paraId="64989628">
            <w:pPr>
              <w:pStyle w:val="6"/>
              <w:spacing w:before="145" w:line="219" w:lineRule="auto"/>
              <w:ind w:left="394"/>
            </w:pPr>
            <w:r>
              <w:rPr>
                <w:spacing w:val="1"/>
              </w:rPr>
              <w:t>资金指标下达率</w:t>
            </w:r>
          </w:p>
        </w:tc>
        <w:tc>
          <w:tcPr>
            <w:tcW w:w="1169" w:type="dxa"/>
            <w:noWrap w:val="0"/>
            <w:vAlign w:val="top"/>
          </w:tcPr>
          <w:p w14:paraId="2C2F631A">
            <w:pPr>
              <w:pStyle w:val="6"/>
              <w:spacing w:before="146" w:line="220" w:lineRule="auto"/>
              <w:ind w:left="156"/>
            </w:pPr>
            <w:r>
              <w:rPr>
                <w:spacing w:val="2"/>
              </w:rPr>
              <w:t>定量指标</w:t>
            </w:r>
          </w:p>
        </w:tc>
        <w:tc>
          <w:tcPr>
            <w:tcW w:w="1119" w:type="dxa"/>
            <w:noWrap w:val="0"/>
            <w:vAlign w:val="top"/>
          </w:tcPr>
          <w:p w14:paraId="20810CF4">
            <w:pPr>
              <w:pStyle w:val="6"/>
              <w:spacing w:before="166" w:line="237" w:lineRule="auto"/>
              <w:ind w:left="348"/>
            </w:pPr>
            <w:r>
              <w:rPr>
                <w:spacing w:val="-8"/>
              </w:rPr>
              <w:t>≥90</w:t>
            </w:r>
          </w:p>
        </w:tc>
        <w:tc>
          <w:tcPr>
            <w:tcW w:w="1044" w:type="dxa"/>
            <w:noWrap w:val="0"/>
            <w:vAlign w:val="top"/>
          </w:tcPr>
          <w:p w14:paraId="4FC3FA3F">
            <w:pPr>
              <w:pStyle w:val="6"/>
              <w:spacing w:before="166"/>
              <w:ind w:left="459"/>
            </w:pPr>
            <w:r>
              <w:t>%</w:t>
            </w:r>
          </w:p>
        </w:tc>
      </w:tr>
      <w:tr w14:paraId="39D20F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9839349"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gridSpan w:val="2"/>
            <w:vMerge w:val="continue"/>
            <w:tcBorders>
              <w:top w:val="nil"/>
            </w:tcBorders>
            <w:noWrap w:val="0"/>
            <w:vAlign w:val="top"/>
          </w:tcPr>
          <w:p w14:paraId="1BF930FD">
            <w:pPr>
              <w:rPr>
                <w:rFonts w:ascii="Arial"/>
                <w:sz w:val="21"/>
              </w:rPr>
            </w:pPr>
          </w:p>
        </w:tc>
        <w:tc>
          <w:tcPr>
            <w:tcW w:w="1538" w:type="dxa"/>
            <w:vMerge w:val="continue"/>
            <w:tcBorders>
              <w:top w:val="nil"/>
            </w:tcBorders>
            <w:noWrap w:val="0"/>
            <w:vAlign w:val="top"/>
          </w:tcPr>
          <w:p w14:paraId="3970ED7A">
            <w:pPr>
              <w:rPr>
                <w:rFonts w:ascii="Arial"/>
                <w:sz w:val="21"/>
              </w:rPr>
            </w:pPr>
          </w:p>
        </w:tc>
        <w:tc>
          <w:tcPr>
            <w:tcW w:w="2268" w:type="dxa"/>
            <w:noWrap w:val="0"/>
            <w:vAlign w:val="top"/>
          </w:tcPr>
          <w:p w14:paraId="2073BBEF">
            <w:pPr>
              <w:pStyle w:val="6"/>
              <w:spacing w:before="145" w:line="219" w:lineRule="auto"/>
              <w:ind w:left="394"/>
            </w:pPr>
            <w:r>
              <w:rPr>
                <w:spacing w:val="1"/>
              </w:rPr>
              <w:t>项目按时开工率</w:t>
            </w:r>
          </w:p>
        </w:tc>
        <w:tc>
          <w:tcPr>
            <w:tcW w:w="1169" w:type="dxa"/>
            <w:noWrap w:val="0"/>
            <w:vAlign w:val="top"/>
          </w:tcPr>
          <w:p w14:paraId="3C37F8C2">
            <w:pPr>
              <w:pStyle w:val="6"/>
              <w:spacing w:before="146" w:line="220" w:lineRule="auto"/>
              <w:ind w:left="156"/>
            </w:pPr>
            <w:r>
              <w:rPr>
                <w:spacing w:val="2"/>
              </w:rPr>
              <w:t>定量指标</w:t>
            </w:r>
          </w:p>
        </w:tc>
        <w:tc>
          <w:tcPr>
            <w:tcW w:w="1119" w:type="dxa"/>
            <w:noWrap w:val="0"/>
            <w:vAlign w:val="top"/>
          </w:tcPr>
          <w:p w14:paraId="0020B3C7">
            <w:pPr>
              <w:pStyle w:val="6"/>
              <w:spacing w:before="166" w:line="237" w:lineRule="auto"/>
              <w:ind w:left="348"/>
            </w:pPr>
            <w:r>
              <w:rPr>
                <w:spacing w:val="-8"/>
              </w:rPr>
              <w:t>≥85</w:t>
            </w:r>
          </w:p>
        </w:tc>
        <w:tc>
          <w:tcPr>
            <w:tcW w:w="1044" w:type="dxa"/>
            <w:noWrap w:val="0"/>
            <w:vAlign w:val="top"/>
          </w:tcPr>
          <w:p w14:paraId="0DB6960D">
            <w:pPr>
              <w:pStyle w:val="6"/>
              <w:spacing w:before="166"/>
              <w:ind w:left="459"/>
            </w:pPr>
            <w:r>
              <w:t>%</w:t>
            </w:r>
          </w:p>
        </w:tc>
      </w:tr>
      <w:tr w14:paraId="7FFD29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A59BB4C"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gridSpan w:val="2"/>
            <w:vMerge w:val="restart"/>
            <w:tcBorders>
              <w:bottom w:val="nil"/>
            </w:tcBorders>
            <w:noWrap w:val="0"/>
            <w:vAlign w:val="top"/>
          </w:tcPr>
          <w:p w14:paraId="07FF4A7D">
            <w:pPr>
              <w:spacing w:line="322" w:lineRule="auto"/>
              <w:rPr>
                <w:rFonts w:ascii="Arial"/>
                <w:sz w:val="21"/>
              </w:rPr>
            </w:pPr>
          </w:p>
          <w:p w14:paraId="3D785B48">
            <w:pPr>
              <w:spacing w:line="323" w:lineRule="auto"/>
              <w:rPr>
                <w:rFonts w:ascii="Arial"/>
                <w:sz w:val="21"/>
              </w:rPr>
            </w:pPr>
          </w:p>
          <w:p w14:paraId="18B87F5F">
            <w:pPr>
              <w:pStyle w:val="6"/>
              <w:spacing w:before="68" w:line="220" w:lineRule="auto"/>
              <w:ind w:left="200"/>
            </w:pPr>
            <w:r>
              <w:rPr>
                <w:spacing w:val="2"/>
              </w:rPr>
              <w:t>效益指标</w:t>
            </w:r>
          </w:p>
        </w:tc>
        <w:tc>
          <w:tcPr>
            <w:tcW w:w="1538" w:type="dxa"/>
            <w:noWrap w:val="0"/>
            <w:vAlign w:val="top"/>
          </w:tcPr>
          <w:p w14:paraId="4FD32393">
            <w:pPr>
              <w:pStyle w:val="6"/>
              <w:spacing w:before="167" w:line="220" w:lineRule="auto"/>
              <w:ind w:left="132"/>
            </w:pPr>
            <w:r>
              <w:rPr>
                <w:spacing w:val="-2"/>
              </w:rPr>
              <w:t>经济效益指标</w:t>
            </w:r>
          </w:p>
        </w:tc>
        <w:tc>
          <w:tcPr>
            <w:tcW w:w="2268" w:type="dxa"/>
            <w:noWrap w:val="0"/>
            <w:vAlign w:val="top"/>
          </w:tcPr>
          <w:p w14:paraId="62A7656A">
            <w:pPr>
              <w:pStyle w:val="6"/>
              <w:spacing w:before="55" w:line="204" w:lineRule="auto"/>
              <w:ind w:left="494" w:right="74" w:hanging="420"/>
            </w:pPr>
            <w:r>
              <w:t>带动参与项目低收入群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体人均年收入</w:t>
            </w:r>
          </w:p>
        </w:tc>
        <w:tc>
          <w:tcPr>
            <w:tcW w:w="1169" w:type="dxa"/>
            <w:noWrap w:val="0"/>
            <w:vAlign w:val="top"/>
          </w:tcPr>
          <w:p w14:paraId="0377EE2F">
            <w:pPr>
              <w:pStyle w:val="6"/>
              <w:spacing w:before="167" w:line="220" w:lineRule="auto"/>
              <w:ind w:left="156"/>
            </w:pPr>
            <w:r>
              <w:rPr>
                <w:spacing w:val="2"/>
              </w:rPr>
              <w:t>定量指标</w:t>
            </w:r>
          </w:p>
        </w:tc>
        <w:tc>
          <w:tcPr>
            <w:tcW w:w="1119" w:type="dxa"/>
            <w:noWrap w:val="0"/>
            <w:vAlign w:val="top"/>
          </w:tcPr>
          <w:p w14:paraId="0D9E45B4">
            <w:pPr>
              <w:pStyle w:val="6"/>
              <w:spacing w:before="187" w:line="237" w:lineRule="auto"/>
              <w:ind w:left="237"/>
            </w:pPr>
            <w:r>
              <w:rPr>
                <w:spacing w:val="-5"/>
              </w:rPr>
              <w:t>≥3000</w:t>
            </w:r>
          </w:p>
        </w:tc>
        <w:tc>
          <w:tcPr>
            <w:tcW w:w="1044" w:type="dxa"/>
            <w:noWrap w:val="0"/>
            <w:vAlign w:val="top"/>
          </w:tcPr>
          <w:p w14:paraId="575FDF57">
            <w:pPr>
              <w:pStyle w:val="6"/>
              <w:spacing w:before="167" w:line="220" w:lineRule="auto"/>
              <w:ind w:left="409"/>
            </w:pPr>
            <w:r>
              <w:t>元</w:t>
            </w:r>
          </w:p>
        </w:tc>
      </w:tr>
      <w:tr w14:paraId="52269E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7DBAC18"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gridSpan w:val="2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1FE278B">
            <w:pPr>
              <w:rPr>
                <w:rFonts w:ascii="Arial"/>
                <w:sz w:val="21"/>
              </w:rPr>
            </w:pPr>
          </w:p>
        </w:tc>
        <w:tc>
          <w:tcPr>
            <w:tcW w:w="1538" w:type="dxa"/>
            <w:vMerge w:val="restart"/>
            <w:tcBorders>
              <w:bottom w:val="nil"/>
            </w:tcBorders>
            <w:noWrap w:val="0"/>
            <w:vAlign w:val="top"/>
          </w:tcPr>
          <w:p w14:paraId="68E6DE98">
            <w:pPr>
              <w:spacing w:line="374" w:lineRule="auto"/>
              <w:rPr>
                <w:rFonts w:ascii="Arial"/>
                <w:sz w:val="21"/>
              </w:rPr>
            </w:pPr>
          </w:p>
          <w:p w14:paraId="50DC6269">
            <w:pPr>
              <w:pStyle w:val="6"/>
              <w:spacing w:before="69" w:line="219" w:lineRule="auto"/>
              <w:ind w:left="132"/>
            </w:pPr>
            <w:r>
              <w:rPr>
                <w:spacing w:val="-2"/>
              </w:rPr>
              <w:t>社会效益指标</w:t>
            </w:r>
          </w:p>
        </w:tc>
        <w:tc>
          <w:tcPr>
            <w:tcW w:w="2268" w:type="dxa"/>
            <w:noWrap w:val="0"/>
            <w:vAlign w:val="top"/>
          </w:tcPr>
          <w:p w14:paraId="38C07ED5">
            <w:pPr>
              <w:pStyle w:val="6"/>
              <w:spacing w:before="45" w:line="213" w:lineRule="auto"/>
              <w:ind w:left="814" w:right="92" w:hanging="740"/>
            </w:pPr>
            <w:r>
              <w:rPr>
                <w:spacing w:val="-1"/>
              </w:rPr>
              <w:t>支持项目建成后年度服</w:t>
            </w:r>
            <w:r>
              <w:t xml:space="preserve"> </w:t>
            </w:r>
            <w:r>
              <w:rPr>
                <w:spacing w:val="-3"/>
              </w:rPr>
              <w:t>务人数</w:t>
            </w:r>
          </w:p>
        </w:tc>
        <w:tc>
          <w:tcPr>
            <w:tcW w:w="1169" w:type="dxa"/>
            <w:noWrap w:val="0"/>
            <w:vAlign w:val="top"/>
          </w:tcPr>
          <w:p w14:paraId="15FD4E3F">
            <w:pPr>
              <w:pStyle w:val="6"/>
              <w:spacing w:before="177" w:line="220" w:lineRule="auto"/>
              <w:ind w:left="156"/>
            </w:pPr>
            <w:r>
              <w:rPr>
                <w:spacing w:val="2"/>
              </w:rPr>
              <w:t>定量指标</w:t>
            </w:r>
          </w:p>
        </w:tc>
        <w:tc>
          <w:tcPr>
            <w:tcW w:w="1119" w:type="dxa"/>
            <w:noWrap w:val="0"/>
            <w:vAlign w:val="top"/>
          </w:tcPr>
          <w:p w14:paraId="41D2F239">
            <w:pPr>
              <w:pStyle w:val="6"/>
              <w:spacing w:before="197" w:line="237" w:lineRule="auto"/>
              <w:ind w:left="398"/>
              <w:rPr>
                <w:rFonts w:hint="default" w:eastAsia="宋体"/>
                <w:lang w:val="en-US" w:eastAsia="zh-CN"/>
              </w:rPr>
            </w:pPr>
            <w:r>
              <w:rPr>
                <w:spacing w:val="-10"/>
              </w:rPr>
              <w:t>≥2</w:t>
            </w:r>
            <w:r>
              <w:rPr>
                <w:rFonts w:hint="eastAsia"/>
                <w:spacing w:val="-10"/>
                <w:lang w:val="en-US" w:eastAsia="zh-CN"/>
              </w:rPr>
              <w:t>58</w:t>
            </w:r>
          </w:p>
        </w:tc>
        <w:tc>
          <w:tcPr>
            <w:tcW w:w="1044" w:type="dxa"/>
            <w:noWrap w:val="0"/>
            <w:vAlign w:val="top"/>
          </w:tcPr>
          <w:p w14:paraId="2B63AA1C">
            <w:pPr>
              <w:pStyle w:val="6"/>
              <w:spacing w:before="176" w:line="219" w:lineRule="auto"/>
              <w:ind w:left="199"/>
            </w:pPr>
            <w:r>
              <w:rPr>
                <w:spacing w:val="2"/>
              </w:rPr>
              <w:t>人次</w:t>
            </w:r>
          </w:p>
        </w:tc>
      </w:tr>
      <w:tr w14:paraId="256EFA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CD1EBA7"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gridSpan w:val="2"/>
            <w:vMerge w:val="continue"/>
            <w:tcBorders>
              <w:top w:val="nil"/>
            </w:tcBorders>
            <w:noWrap w:val="0"/>
            <w:vAlign w:val="top"/>
          </w:tcPr>
          <w:p w14:paraId="00205938">
            <w:pPr>
              <w:rPr>
                <w:rFonts w:ascii="Arial"/>
                <w:sz w:val="21"/>
              </w:rPr>
            </w:pPr>
          </w:p>
        </w:tc>
        <w:tc>
          <w:tcPr>
            <w:tcW w:w="1538" w:type="dxa"/>
            <w:vMerge w:val="continue"/>
            <w:tcBorders>
              <w:top w:val="nil"/>
            </w:tcBorders>
            <w:noWrap w:val="0"/>
            <w:vAlign w:val="top"/>
          </w:tcPr>
          <w:p w14:paraId="551BB7FF">
            <w:pPr>
              <w:rPr>
                <w:rFonts w:ascii="Arial"/>
                <w:sz w:val="21"/>
              </w:rPr>
            </w:pPr>
          </w:p>
        </w:tc>
        <w:tc>
          <w:tcPr>
            <w:tcW w:w="2268" w:type="dxa"/>
            <w:noWrap w:val="0"/>
            <w:vAlign w:val="top"/>
          </w:tcPr>
          <w:p w14:paraId="087E8C34">
            <w:pPr>
              <w:pStyle w:val="6"/>
              <w:spacing w:before="55" w:line="208" w:lineRule="auto"/>
              <w:ind w:left="284" w:right="92" w:hanging="210"/>
            </w:pPr>
            <w:r>
              <w:rPr>
                <w:spacing w:val="-1"/>
              </w:rPr>
              <w:t>支持项目建设过程中重</w:t>
            </w:r>
            <w:r>
              <w:t xml:space="preserve"> </w:t>
            </w:r>
            <w:r>
              <w:rPr>
                <w:spacing w:val="1"/>
              </w:rPr>
              <w:t>大安全事故发生率</w:t>
            </w:r>
          </w:p>
        </w:tc>
        <w:tc>
          <w:tcPr>
            <w:tcW w:w="1169" w:type="dxa"/>
            <w:noWrap w:val="0"/>
            <w:vAlign w:val="top"/>
          </w:tcPr>
          <w:p w14:paraId="7CC11B46">
            <w:pPr>
              <w:pStyle w:val="6"/>
              <w:spacing w:before="177" w:line="220" w:lineRule="auto"/>
              <w:ind w:left="156"/>
            </w:pPr>
            <w:r>
              <w:rPr>
                <w:spacing w:val="2"/>
              </w:rPr>
              <w:t>定量指标</w:t>
            </w:r>
          </w:p>
        </w:tc>
        <w:tc>
          <w:tcPr>
            <w:tcW w:w="1119" w:type="dxa"/>
            <w:noWrap w:val="0"/>
            <w:vAlign w:val="top"/>
          </w:tcPr>
          <w:p w14:paraId="5CB678EF">
            <w:pPr>
              <w:pStyle w:val="6"/>
              <w:spacing w:before="197"/>
              <w:ind w:left="447"/>
            </w:pPr>
            <w:r>
              <w:rPr>
                <w:spacing w:val="-2"/>
              </w:rPr>
              <w:t>=0</w:t>
            </w:r>
          </w:p>
        </w:tc>
        <w:tc>
          <w:tcPr>
            <w:tcW w:w="1044" w:type="dxa"/>
            <w:noWrap w:val="0"/>
            <w:vAlign w:val="top"/>
          </w:tcPr>
          <w:p w14:paraId="747ED9BF">
            <w:pPr>
              <w:pStyle w:val="6"/>
              <w:spacing w:before="197"/>
              <w:ind w:left="459"/>
            </w:pPr>
            <w:r>
              <w:t>%</w:t>
            </w:r>
          </w:p>
        </w:tc>
      </w:tr>
      <w:tr w14:paraId="1841CB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105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48A902A5">
            <w:pPr>
              <w:rPr>
                <w:rFonts w:ascii="Arial"/>
                <w:sz w:val="21"/>
              </w:rPr>
            </w:pPr>
          </w:p>
        </w:tc>
        <w:tc>
          <w:tcPr>
            <w:tcW w:w="1258" w:type="dxa"/>
            <w:gridSpan w:val="2"/>
            <w:noWrap w:val="0"/>
            <w:vAlign w:val="top"/>
          </w:tcPr>
          <w:p w14:paraId="77398BBC">
            <w:pPr>
              <w:pStyle w:val="6"/>
              <w:spacing w:before="307" w:line="219" w:lineRule="auto"/>
              <w:ind w:left="91"/>
            </w:pPr>
            <w:r>
              <w:rPr>
                <w:spacing w:val="-2"/>
              </w:rPr>
              <w:t>满意度指标</w:t>
            </w:r>
          </w:p>
        </w:tc>
        <w:tc>
          <w:tcPr>
            <w:tcW w:w="1538" w:type="dxa"/>
            <w:noWrap w:val="0"/>
            <w:vAlign w:val="top"/>
          </w:tcPr>
          <w:p w14:paraId="191992B6">
            <w:pPr>
              <w:pStyle w:val="6"/>
              <w:spacing w:before="56" w:line="219" w:lineRule="auto"/>
              <w:ind w:left="132"/>
            </w:pPr>
            <w:r>
              <w:rPr>
                <w:spacing w:val="-2"/>
              </w:rPr>
              <w:t>社会公众或服</w:t>
            </w:r>
          </w:p>
          <w:p w14:paraId="03512864">
            <w:pPr>
              <w:pStyle w:val="6"/>
              <w:spacing w:before="41" w:line="203" w:lineRule="auto"/>
              <w:ind w:left="132"/>
            </w:pPr>
            <w:r>
              <w:rPr>
                <w:spacing w:val="2"/>
              </w:rPr>
              <w:t>务对象满意度</w:t>
            </w:r>
          </w:p>
          <w:p w14:paraId="6923A3DF">
            <w:pPr>
              <w:pStyle w:val="6"/>
              <w:spacing w:line="198" w:lineRule="auto"/>
              <w:ind w:left="553"/>
            </w:pPr>
            <w:r>
              <w:rPr>
                <w:spacing w:val="-3"/>
              </w:rPr>
              <w:t>指标</w:t>
            </w:r>
          </w:p>
        </w:tc>
        <w:tc>
          <w:tcPr>
            <w:tcW w:w="2268" w:type="dxa"/>
            <w:noWrap w:val="0"/>
            <w:vAlign w:val="top"/>
          </w:tcPr>
          <w:p w14:paraId="4D6BD761">
            <w:pPr>
              <w:pStyle w:val="6"/>
              <w:spacing w:before="306" w:line="219" w:lineRule="auto"/>
              <w:ind w:left="394"/>
            </w:pPr>
            <w:r>
              <w:rPr>
                <w:spacing w:val="1"/>
              </w:rPr>
              <w:t>社会公众满意度</w:t>
            </w:r>
          </w:p>
        </w:tc>
        <w:tc>
          <w:tcPr>
            <w:tcW w:w="1169" w:type="dxa"/>
            <w:noWrap w:val="0"/>
            <w:vAlign w:val="top"/>
          </w:tcPr>
          <w:p w14:paraId="21C244AE">
            <w:pPr>
              <w:pStyle w:val="6"/>
              <w:spacing w:before="308" w:line="220" w:lineRule="auto"/>
              <w:ind w:left="156"/>
            </w:pPr>
            <w:r>
              <w:rPr>
                <w:spacing w:val="2"/>
              </w:rPr>
              <w:t>定量指标</w:t>
            </w:r>
          </w:p>
        </w:tc>
        <w:tc>
          <w:tcPr>
            <w:tcW w:w="1119" w:type="dxa"/>
            <w:noWrap w:val="0"/>
            <w:vAlign w:val="top"/>
          </w:tcPr>
          <w:p w14:paraId="68D89412">
            <w:pPr>
              <w:spacing w:line="258" w:lineRule="auto"/>
              <w:rPr>
                <w:rFonts w:ascii="Arial"/>
                <w:sz w:val="21"/>
              </w:rPr>
            </w:pPr>
          </w:p>
          <w:p w14:paraId="25FB51FD">
            <w:pPr>
              <w:pStyle w:val="6"/>
              <w:spacing w:before="68" w:line="237" w:lineRule="auto"/>
              <w:ind w:left="348"/>
            </w:pPr>
            <w:r>
              <w:rPr>
                <w:spacing w:val="-8"/>
              </w:rPr>
              <w:t>≥95</w:t>
            </w:r>
          </w:p>
        </w:tc>
        <w:tc>
          <w:tcPr>
            <w:tcW w:w="1044" w:type="dxa"/>
            <w:noWrap w:val="0"/>
            <w:vAlign w:val="top"/>
          </w:tcPr>
          <w:p w14:paraId="01C70DDA">
            <w:pPr>
              <w:spacing w:line="258" w:lineRule="auto"/>
              <w:rPr>
                <w:rFonts w:ascii="Arial"/>
                <w:sz w:val="21"/>
              </w:rPr>
            </w:pPr>
          </w:p>
          <w:p w14:paraId="1774907F">
            <w:pPr>
              <w:pStyle w:val="6"/>
              <w:spacing w:before="68"/>
              <w:ind w:left="459"/>
            </w:pPr>
            <w:r>
              <w:t>%</w:t>
            </w:r>
          </w:p>
        </w:tc>
      </w:tr>
    </w:tbl>
    <w:p w14:paraId="1A13576D">
      <w:pPr>
        <w:sectPr>
          <w:headerReference r:id="rId3" w:type="default"/>
          <w:footerReference r:id="rId4" w:type="default"/>
          <w:pgSz w:w="11900" w:h="16830"/>
          <w:pgMar w:top="1531" w:right="1254" w:bottom="1786" w:left="1185" w:header="1644" w:footer="1474" w:gutter="0"/>
          <w:cols w:space="720" w:num="1"/>
        </w:sectPr>
      </w:pPr>
    </w:p>
    <w:p w14:paraId="7508A64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1582AA">
    <w:pPr>
      <w:spacing w:before="1" w:line="231" w:lineRule="auto"/>
      <w:rPr>
        <w:rFonts w:ascii="宋体" w:hAnsi="宋体" w:eastAsia="宋体" w:cs="宋体"/>
        <w:sz w:val="24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FD635B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750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小标宋简体" w:cs="Times New Roman"/>
      <w:bCs/>
      <w:snapToGrid w:val="0"/>
      <w:kern w:val="2"/>
      <w:sz w:val="44"/>
      <w:szCs w:val="4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方正小标宋简体" w:cs="Times New Roman"/>
      <w:bCs/>
      <w:snapToGrid w:val="0"/>
      <w:kern w:val="2"/>
      <w:sz w:val="18"/>
      <w:szCs w:val="18"/>
      <w:lang w:val="en-US" w:eastAsia="zh-CN" w:bidi="ar-SA"/>
    </w:rPr>
  </w:style>
  <w:style w:type="paragraph" w:styleId="3">
    <w:name w:val="header"/>
    <w:qFormat/>
    <w:uiPriority w:val="0"/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 w:eastAsia="方正小标宋简体" w:cs="Times New Roman"/>
      <w:bCs/>
      <w:snapToGrid w:val="0"/>
      <w:kern w:val="2"/>
      <w:sz w:val="18"/>
      <w:szCs w:val="44"/>
      <w:lang w:val="en-US" w:eastAsia="zh-CN" w:bidi="ar-SA"/>
    </w:rPr>
  </w:style>
  <w:style w:type="paragraph" w:customStyle="1" w:styleId="6">
    <w:name w:val="Table Text"/>
    <w:semiHidden/>
    <w:qFormat/>
    <w:uiPriority w:val="0"/>
    <w:pPr>
      <w:widowControl w:val="0"/>
      <w:jc w:val="both"/>
    </w:pPr>
    <w:rPr>
      <w:rFonts w:ascii="宋体" w:hAnsi="宋体" w:eastAsia="宋体" w:cs="宋体"/>
      <w:bCs/>
      <w:snapToGrid w:val="0"/>
      <w:kern w:val="2"/>
      <w:sz w:val="21"/>
      <w:szCs w:val="21"/>
      <w:lang w:val="en-US" w:eastAsia="en-US" w:bidi="ar-SA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2026-07-17T07:53:27Z</dcterms:created>
  <dc:creator>Administrator</dc:creator>
  <cp:lastModifiedBy>Edenmsy.</cp:lastModifiedBy>
  <dcterms:modified xsi:type="dcterms:W3CDTF">2026-07-17T07:54:17Z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eyJoZGlkIjoiMDc0MWRiNGY3MzRiYjNkZDQwOGU2ZjgxOGUxYTUxN2YiLCJ1c2VySWQiOiI2NTU5NDk5NDYifQ==</vt:lpwstr>
  </property>
  <property fmtid="{D5CDD505-2E9C-101B-9397-08002B2CF9AE}" pid="4" name="ICV">
    <vt:lpwstr>2A75630BEB1645DCBC7C42F0B0C8D44F_12</vt:lpwstr>
  </property>
</Properties>
</file>