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4182">
      <w:pPr>
        <w:pStyle w:val="15"/>
        <w:widowControl/>
        <w:jc w:val="center"/>
      </w:pPr>
      <w:r>
        <w:t>益阳市资阳区关于加快推进农村产权流转</w:t>
      </w:r>
    </w:p>
    <w:p w14:paraId="419FAF47">
      <w:pPr>
        <w:pStyle w:val="15"/>
        <w:widowControl/>
        <w:jc w:val="center"/>
      </w:pPr>
      <w:r>
        <w:t>交易市场提升发展的意见</w:t>
      </w:r>
    </w:p>
    <w:p w14:paraId="56E27DD8">
      <w:pPr>
        <w:pStyle w:val="15"/>
        <w:widowControl/>
        <w:jc w:val="center"/>
        <w:rPr>
          <w:rFonts w:hint="eastAsia" w:eastAsia="方正小标宋简体"/>
          <w:lang w:eastAsia="zh-CN"/>
        </w:rPr>
      </w:pPr>
      <w:r>
        <w:rPr>
          <w:rFonts w:hint="eastAsia"/>
          <w:lang w:eastAsia="zh-CN"/>
        </w:rPr>
        <w:t>（</w:t>
      </w:r>
      <w:r>
        <w:rPr>
          <w:rFonts w:hint="eastAsia"/>
          <w:lang w:val="en-US" w:eastAsia="zh-CN"/>
        </w:rPr>
        <w:t>征求意见稿</w:t>
      </w:r>
      <w:r>
        <w:rPr>
          <w:rFonts w:hint="eastAsia"/>
          <w:lang w:eastAsia="zh-CN"/>
        </w:rPr>
        <w:t>）</w:t>
      </w:r>
    </w:p>
    <w:p w14:paraId="5F08970B">
      <w:pPr>
        <w:pStyle w:val="11"/>
        <w:bidi w:val="0"/>
        <w:spacing w:beforeAutospacing="0" w:afterAutospacing="0" w:line="300" w:lineRule="exact"/>
      </w:pPr>
    </w:p>
    <w:p w14:paraId="3C1A34D2">
      <w:pPr>
        <w:pStyle w:val="19"/>
        <w:widowControl/>
        <w:pBdr>
          <w:top w:val="none" w:color="auto" w:sz="0" w:space="0"/>
          <w:left w:val="none" w:color="auto" w:sz="0" w:space="0"/>
          <w:bottom w:val="none" w:color="auto" w:sz="0" w:space="0"/>
          <w:right w:val="none" w:color="auto" w:sz="0" w:space="0"/>
        </w:pBdr>
        <w:rPr>
          <w:color w:val="000000"/>
        </w:rPr>
      </w:pPr>
      <w:r>
        <w:rPr>
          <w:color w:val="000000"/>
        </w:rPr>
        <w:t>各乡镇人民政府、街道办事处，区直相关单位：</w:t>
      </w:r>
    </w:p>
    <w:p w14:paraId="3B61763C">
      <w:pPr>
        <w:pStyle w:val="19"/>
        <w:widowControl/>
        <w:pBdr>
          <w:top w:val="none" w:color="auto" w:sz="0" w:space="0"/>
          <w:left w:val="none" w:color="auto" w:sz="0" w:space="0"/>
          <w:bottom w:val="none" w:color="auto" w:sz="0" w:space="0"/>
          <w:right w:val="none" w:color="auto" w:sz="0" w:space="0"/>
        </w:pBdr>
        <w:ind w:firstLine="640" w:firstLineChars="200"/>
        <w:rPr>
          <w:color w:val="000000"/>
        </w:rPr>
      </w:pPr>
      <w:r>
        <w:rPr>
          <w:color w:val="000000"/>
        </w:rPr>
        <w:t>为深化农村集体产权制度改革，畅通城乡要素双向流动渠道，进一步规范农村产权流转交易行为，盘活农村存量资源，提升农村集体“三资”管理水平，助力乡村全面振兴，</w:t>
      </w:r>
      <w:r>
        <w:rPr>
          <w:rFonts w:hint="eastAsia"/>
          <w:color w:val="000000"/>
        </w:rPr>
        <w:t>根据《湖南省人民政府办公厅关于推进农村产权流转交易市场体系建设的指导意见》（湘政办发〔2022〕44号）、《益阳市人民政府办公室关于印发〈益阳市农村产权流转交易市场体系建设实施方案〉的通知》（益政办发〔2024〕13号）精神</w:t>
      </w:r>
      <w:r>
        <w:rPr>
          <w:color w:val="000000"/>
        </w:rPr>
        <w:t>，结合我区实际，借鉴先进地区经验，现就加快推进全区农村产权流转交易市场提升发展，提出如下意见。</w:t>
      </w:r>
    </w:p>
    <w:p w14:paraId="7E5B0B2C">
      <w:pPr>
        <w:pStyle w:val="2"/>
        <w:widowControl/>
        <w:numPr>
          <w:ilvl w:val="0"/>
          <w:numId w:val="0"/>
        </w:numPr>
        <w:topLinePunct w:val="0"/>
        <w:ind w:left="0" w:leftChars="0" w:firstLine="640" w:firstLineChars="0"/>
        <w:rPr>
          <w:b w:val="0"/>
        </w:rPr>
      </w:pPr>
      <w:r>
        <w:rPr>
          <w:rFonts w:hint="eastAsia" w:ascii="黑体" w:hAnsi="黑体" w:eastAsia="黑体" w:cs="黑体"/>
          <w:b w:val="0"/>
          <w:kern w:val="44"/>
          <w:sz w:val="32"/>
          <w:szCs w:val="32"/>
        </w:rPr>
        <w:t>一、</w:t>
      </w:r>
      <w:r>
        <w:t>总体要求</w:t>
      </w:r>
    </w:p>
    <w:p w14:paraId="17513148">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（一）</w:t>
      </w:r>
      <w:r>
        <w:t>指导思想</w:t>
      </w:r>
    </w:p>
    <w:p w14:paraId="7D5D8F2A">
      <w:pPr>
        <w:pStyle w:val="11"/>
        <w:widowControl/>
        <w:pBdr>
          <w:top w:val="none" w:color="auto" w:sz="0" w:space="0"/>
          <w:left w:val="none" w:color="auto" w:sz="0" w:space="0"/>
          <w:bottom w:val="none" w:color="auto" w:sz="0" w:space="0"/>
          <w:right w:val="none" w:color="auto" w:sz="0" w:space="0"/>
        </w:pBdr>
        <w:rPr>
          <w:color w:val="000000"/>
        </w:rPr>
      </w:pPr>
      <w:r>
        <w:rPr>
          <w:color w:val="000000"/>
        </w:rPr>
        <w:t>以习近平新时代中国特色社会主义思想为指导，全面贯彻落实党的二十大及二十届三中全会精神，</w:t>
      </w:r>
      <w:r>
        <w:rPr>
          <w:rFonts w:hint="eastAsia"/>
          <w:color w:val="000000"/>
          <w:lang w:val="en-US" w:eastAsia="zh-CN"/>
        </w:rPr>
        <w:t>巩固</w:t>
      </w:r>
      <w:r>
        <w:rPr>
          <w:color w:val="000000"/>
        </w:rPr>
        <w:t>和完善农村基本经营制度，以保障农村集体经济组织和</w:t>
      </w:r>
      <w:r>
        <w:rPr>
          <w:rFonts w:ascii="Times New Roman" w:hAnsi="Times New Roman" w:eastAsia="仿宋_GB2312" w:cs="仿宋_GB2312"/>
          <w:i w:val="0"/>
          <w:iCs w:val="0"/>
          <w:caps w:val="0"/>
          <w:color w:val="000000"/>
          <w:spacing w:val="-6"/>
          <w:sz w:val="32"/>
          <w:szCs w:val="32"/>
          <w:shd w:val="clear" w:fill="auto"/>
        </w:rPr>
        <w:t>农村各类生产经营主体</w:t>
      </w:r>
      <w:r>
        <w:rPr>
          <w:rFonts w:hint="eastAsia" w:cs="仿宋_GB2312"/>
          <w:i w:val="0"/>
          <w:iCs w:val="0"/>
          <w:caps w:val="0"/>
          <w:color w:val="000000"/>
          <w:spacing w:val="-6"/>
          <w:sz w:val="32"/>
          <w:szCs w:val="32"/>
          <w:shd w:val="clear"/>
          <w:lang w:val="en-US" w:eastAsia="zh-CN"/>
        </w:rPr>
        <w:t>的</w:t>
      </w:r>
      <w:r>
        <w:rPr>
          <w:color w:val="000000"/>
        </w:rPr>
        <w:t>财产权益为根本，以</w:t>
      </w:r>
      <w:r>
        <w:rPr>
          <w:rFonts w:hint="eastAsia"/>
          <w:color w:val="000000"/>
          <w:lang w:eastAsia="zh-CN"/>
        </w:rPr>
        <w:t>“</w:t>
      </w:r>
      <w:r>
        <w:rPr>
          <w:color w:val="000000"/>
        </w:rPr>
        <w:t>应进必进、阳光交易</w:t>
      </w:r>
      <w:r>
        <w:rPr>
          <w:rFonts w:hint="eastAsia"/>
          <w:color w:val="000000"/>
          <w:lang w:eastAsia="zh-CN"/>
        </w:rPr>
        <w:t>”</w:t>
      </w:r>
      <w:r>
        <w:rPr>
          <w:color w:val="000000"/>
        </w:rPr>
        <w:t>为导向，严格遵循市级</w:t>
      </w:r>
      <w:r>
        <w:rPr>
          <w:rFonts w:hint="eastAsia"/>
          <w:color w:val="000000"/>
          <w:lang w:eastAsia="zh-CN"/>
        </w:rPr>
        <w:t>“</w:t>
      </w:r>
      <w:r>
        <w:rPr>
          <w:color w:val="000000"/>
        </w:rPr>
        <w:t>八统一分</w:t>
      </w:r>
      <w:r>
        <w:rPr>
          <w:rFonts w:hint="eastAsia"/>
          <w:color w:val="000000"/>
          <w:lang w:eastAsia="zh-CN"/>
        </w:rPr>
        <w:t>”</w:t>
      </w:r>
      <w:r>
        <w:rPr>
          <w:color w:val="000000"/>
        </w:rPr>
        <w:t>建设要求，通过完善交易体系、建立交易目录、强化数字监管、创新金融服务等举措，推动农村产权流转交易市场规范化、专业化、市场化提升，实现集体资产保值增值和农民增收致富。</w:t>
      </w:r>
    </w:p>
    <w:p w14:paraId="5D032E13">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（二）</w:t>
      </w:r>
      <w:r>
        <w:t>总体目标</w:t>
      </w:r>
    </w:p>
    <w:p w14:paraId="2B54C9D4">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ascii="Times New Roman" w:hAnsi="Times New Roman" w:eastAsia="仿宋_GB2312" w:cs="仿宋_GB2312"/>
          <w:color w:val="000000"/>
          <w:sz w:val="32"/>
          <w:szCs w:val="32"/>
        </w:rPr>
      </w:pPr>
      <w:r>
        <w:rPr>
          <w:rStyle w:val="20"/>
        </w:rPr>
        <w:t>到2026年底</w:t>
      </w:r>
      <w:r>
        <w:rPr>
          <w:color w:val="000000"/>
        </w:rPr>
        <w:t>：</w:t>
      </w:r>
      <w:r>
        <w:rPr>
          <w:rFonts w:hint="eastAsia"/>
          <w:color w:val="000000"/>
          <w:lang w:val="en-US" w:eastAsia="zh-CN"/>
        </w:rPr>
        <w:t>完</w:t>
      </w:r>
      <w:r>
        <w:rPr>
          <w:color w:val="000000"/>
        </w:rPr>
        <w:t>成</w:t>
      </w:r>
      <w:r>
        <w:rPr>
          <w:rFonts w:hint="eastAsia"/>
          <w:color w:val="000000"/>
          <w:lang w:eastAsia="zh-CN"/>
        </w:rPr>
        <w:t>“</w:t>
      </w:r>
      <w:r>
        <w:rPr>
          <w:color w:val="000000"/>
        </w:rPr>
        <w:t>区、</w:t>
      </w:r>
      <w:r>
        <w:rPr>
          <w:rFonts w:hint="eastAsia"/>
          <w:color w:val="000000"/>
          <w:lang w:val="en-US" w:eastAsia="zh-CN"/>
        </w:rPr>
        <w:t>镇</w:t>
      </w:r>
      <w:r>
        <w:rPr>
          <w:color w:val="000000"/>
        </w:rPr>
        <w:t>（街道）、村（社区）</w:t>
      </w:r>
      <w:r>
        <w:rPr>
          <w:rFonts w:hint="eastAsia"/>
          <w:color w:val="000000"/>
          <w:lang w:eastAsia="zh-CN"/>
        </w:rPr>
        <w:t>”</w:t>
      </w:r>
      <w:r>
        <w:rPr>
          <w:color w:val="000000"/>
        </w:rPr>
        <w:t>三级联动服务体系，实现农村集体资源资产交易范围全覆盖、流程</w:t>
      </w:r>
      <w:r>
        <w:rPr>
          <w:rFonts w:hint="eastAsia"/>
          <w:color w:val="000000"/>
          <w:lang w:eastAsia="zh-CN"/>
        </w:rPr>
        <w:t>规范化</w:t>
      </w:r>
      <w:r>
        <w:rPr>
          <w:color w:val="000000"/>
        </w:rPr>
        <w:t>、交易</w:t>
      </w:r>
      <w:r>
        <w:rPr>
          <w:rFonts w:hint="eastAsia"/>
          <w:color w:val="000000"/>
          <w:lang w:val="en-US" w:eastAsia="zh-CN"/>
        </w:rPr>
        <w:t>阳光</w:t>
      </w:r>
      <w:r>
        <w:rPr>
          <w:rFonts w:hint="eastAsia"/>
          <w:color w:val="000000"/>
          <w:lang w:eastAsia="zh-CN"/>
        </w:rPr>
        <w:t>化</w:t>
      </w:r>
      <w:r>
        <w:rPr>
          <w:color w:val="000000"/>
        </w:rPr>
        <w:t>；建立健全动态更新的交易目录清单，镇</w:t>
      </w:r>
      <w:r>
        <w:rPr>
          <w:rFonts w:hint="eastAsia"/>
          <w:color w:val="000000"/>
          <w:lang w:val="en-US" w:eastAsia="zh-CN"/>
        </w:rPr>
        <w:t>村</w:t>
      </w:r>
      <w:r>
        <w:rPr>
          <w:color w:val="000000"/>
        </w:rPr>
        <w:t>级交易服务站点功能全面达标，线上交易知晓率和群众满意度显著提升。</w:t>
      </w:r>
      <w:r>
        <w:rPr>
          <w:rStyle w:val="20"/>
        </w:rPr>
        <w:t>到2030年底</w:t>
      </w:r>
      <w:r>
        <w:rPr>
          <w:color w:val="000000"/>
        </w:rPr>
        <w:t>：实现农村各类产权“应进必进”，交易市场功能全面拓展，金融服务配套机制成熟完善，农村产权流转交易规范化建设水平走在全市前列。</w:t>
      </w:r>
    </w:p>
    <w:p w14:paraId="24FF99D3">
      <w:pPr>
        <w:pStyle w:val="2"/>
        <w:widowControl/>
        <w:numPr>
          <w:ilvl w:val="0"/>
          <w:numId w:val="0"/>
        </w:numPr>
        <w:topLinePunct w:val="0"/>
        <w:ind w:left="0" w:leftChars="0" w:firstLine="640" w:firstLineChars="0"/>
        <w:rPr>
          <w:b w:val="0"/>
        </w:rPr>
      </w:pPr>
      <w:r>
        <w:rPr>
          <w:rFonts w:hint="eastAsia" w:ascii="黑体" w:hAnsi="黑体" w:eastAsia="黑体" w:cs="黑体"/>
          <w:b w:val="0"/>
          <w:kern w:val="44"/>
          <w:sz w:val="32"/>
          <w:szCs w:val="32"/>
        </w:rPr>
        <w:t>二、</w:t>
      </w:r>
      <w:r>
        <w:t>重点工作措施</w:t>
      </w:r>
    </w:p>
    <w:p w14:paraId="1D064305">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（一）</w:t>
      </w:r>
      <w:r>
        <w:t>强化平台建设，完善四级联动服务体系</w:t>
      </w:r>
    </w:p>
    <w:p w14:paraId="4306BB8B">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color w:val="000000"/>
          <w:lang w:eastAsia="zh-CN"/>
        </w:rPr>
      </w:pPr>
      <w:r>
        <w:rPr>
          <w:rFonts w:hint="eastAsia" w:cs="仿宋_GB2312"/>
          <w:color w:val="000000"/>
          <w:spacing w:val="-6"/>
          <w:sz w:val="32"/>
          <w:szCs w:val="32"/>
          <w:lang w:eastAsia="zh-CN"/>
        </w:rPr>
        <w:t>1.</w:t>
      </w:r>
      <w:r>
        <w:rPr>
          <w:rStyle w:val="20"/>
        </w:rPr>
        <w:t>明确平台职能定位</w:t>
      </w:r>
      <w:r>
        <w:rPr>
          <w:color w:val="000000"/>
        </w:rPr>
        <w:t>：全区农村产权流转交易</w:t>
      </w:r>
      <w:r>
        <w:rPr>
          <w:b w:val="0"/>
          <w:bCs w:val="0"/>
          <w:color w:val="000000"/>
        </w:rPr>
        <w:t>统一依托益阳市农村产权交易中心流转交易平台</w:t>
      </w:r>
      <w:r>
        <w:rPr>
          <w:color w:val="000000"/>
        </w:rPr>
        <w:t>开展，遵循</w:t>
      </w:r>
      <w:r>
        <w:rPr>
          <w:rFonts w:hint="eastAsia"/>
          <w:color w:val="000000"/>
          <w:lang w:eastAsia="zh-CN"/>
        </w:rPr>
        <w:t>“</w:t>
      </w:r>
      <w:r>
        <w:rPr>
          <w:color w:val="000000"/>
        </w:rPr>
        <w:t>政府主导、市场运作、公开公正、便捷高效</w:t>
      </w:r>
      <w:r>
        <w:rPr>
          <w:rFonts w:hint="eastAsia"/>
          <w:color w:val="000000"/>
          <w:lang w:eastAsia="zh-CN"/>
        </w:rPr>
        <w:t>”</w:t>
      </w:r>
      <w:r>
        <w:rPr>
          <w:color w:val="000000"/>
        </w:rPr>
        <w:t>原则，严格落实市级</w:t>
      </w:r>
      <w:r>
        <w:rPr>
          <w:rFonts w:hint="eastAsia"/>
          <w:color w:val="000000"/>
          <w:lang w:eastAsia="zh-CN"/>
        </w:rPr>
        <w:t>“</w:t>
      </w:r>
      <w:r>
        <w:rPr>
          <w:color w:val="000000"/>
        </w:rPr>
        <w:t>八统一分</w:t>
      </w:r>
      <w:r>
        <w:rPr>
          <w:rFonts w:hint="eastAsia"/>
          <w:color w:val="000000"/>
          <w:lang w:eastAsia="zh-CN"/>
        </w:rPr>
        <w:t>”</w:t>
      </w:r>
      <w:r>
        <w:rPr>
          <w:color w:val="000000"/>
        </w:rPr>
        <w:t>管理要求，发挥平台信息发布、价格发现、交易鉴证、资金结算等核心功能，为集体经济组织、农户、合作社、涉农企业等交易主体提供一站式、全流程专业化服务</w:t>
      </w:r>
      <w:r>
        <w:rPr>
          <w:rFonts w:hint="eastAsia"/>
          <w:color w:val="000000"/>
          <w:lang w:eastAsia="zh-CN"/>
        </w:rPr>
        <w:t>。</w:t>
      </w:r>
    </w:p>
    <w:p w14:paraId="289B98ED">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eastAsia="仿宋_GB2312"/>
          <w:color w:val="000000"/>
          <w:lang w:val="en-US" w:eastAsia="zh-CN"/>
        </w:rPr>
      </w:pPr>
      <w:r>
        <w:rPr>
          <w:rFonts w:ascii="Times New Roman" w:hAnsi="Times New Roman" w:eastAsia="仿宋_GB2312" w:cs="仿宋_GB2312"/>
          <w:color w:val="000000"/>
          <w:spacing w:val="-6"/>
          <w:sz w:val="32"/>
          <w:szCs w:val="32"/>
        </w:rPr>
        <w:t>2.</w:t>
      </w:r>
      <w:r>
        <w:rPr>
          <w:rStyle w:val="20"/>
          <w:rFonts w:hint="eastAsia"/>
          <w:lang w:val="en-US" w:eastAsia="zh-CN"/>
        </w:rPr>
        <w:t>强化交易鉴证书效能</w:t>
      </w:r>
      <w:r>
        <w:rPr>
          <w:color w:val="000000"/>
        </w:rPr>
        <w:t>：</w:t>
      </w:r>
      <w:r>
        <w:rPr>
          <w:rFonts w:hint="eastAsia"/>
          <w:color w:val="000000"/>
          <w:lang w:eastAsia="zh-CN"/>
        </w:rPr>
        <w:t>强化</w:t>
      </w:r>
      <w:r>
        <w:rPr>
          <w:color w:val="000000"/>
        </w:rPr>
        <w:t>区农业农村局、区自然资源局、等部门的涉农产权交易业务</w:t>
      </w:r>
      <w:r>
        <w:rPr>
          <w:rFonts w:hint="eastAsia"/>
          <w:color w:val="000000"/>
          <w:lang w:eastAsia="zh-CN"/>
        </w:rPr>
        <w:t>监管职能</w:t>
      </w:r>
      <w:r>
        <w:rPr>
          <w:color w:val="000000"/>
        </w:rPr>
        <w:t>，农村产权交易鉴证书作为</w:t>
      </w:r>
      <w:r>
        <w:rPr>
          <w:rFonts w:hint="eastAsia"/>
          <w:color w:val="000000"/>
          <w:lang w:val="en-US" w:eastAsia="zh-CN"/>
        </w:rPr>
        <w:t>经营主体</w:t>
      </w:r>
      <w:r>
        <w:rPr>
          <w:color w:val="000000"/>
        </w:rPr>
        <w:t>确认流转资源权属、权属变更、项目申报、补贴申领的必备依据</w:t>
      </w:r>
      <w:r>
        <w:rPr>
          <w:rFonts w:hint="eastAsia"/>
          <w:color w:val="000000"/>
          <w:lang w:eastAsia="zh-CN"/>
        </w:rPr>
        <w:t>，</w:t>
      </w:r>
      <w:r>
        <w:rPr>
          <w:color w:val="000000"/>
        </w:rPr>
        <w:t>后续新增涉农</w:t>
      </w:r>
      <w:r>
        <w:rPr>
          <w:rFonts w:hint="eastAsia"/>
          <w:color w:val="000000"/>
          <w:lang w:eastAsia="zh-CN"/>
        </w:rPr>
        <w:t>产权</w:t>
      </w:r>
      <w:r>
        <w:rPr>
          <w:color w:val="000000"/>
        </w:rPr>
        <w:t>交</w:t>
      </w:r>
      <w:r>
        <w:rPr>
          <w:color w:val="000000"/>
          <w:spacing w:val="0"/>
        </w:rPr>
        <w:t>易业务同步纳入，无交易鉴证书的，相关部门</w:t>
      </w:r>
      <w:r>
        <w:rPr>
          <w:rFonts w:hint="eastAsia"/>
          <w:color w:val="000000"/>
          <w:spacing w:val="0"/>
          <w:lang w:eastAsia="zh-CN"/>
        </w:rPr>
        <w:t>在其取得交易鉴证书后</w:t>
      </w:r>
      <w:r>
        <w:rPr>
          <w:color w:val="000000"/>
          <w:spacing w:val="0"/>
        </w:rPr>
        <w:t>办理上</w:t>
      </w:r>
      <w:r>
        <w:rPr>
          <w:color w:val="000000"/>
          <w:spacing w:val="-6"/>
        </w:rPr>
        <w:t>述</w:t>
      </w:r>
      <w:r>
        <w:rPr>
          <w:color w:val="000000"/>
        </w:rPr>
        <w:t>业务。</w:t>
      </w:r>
    </w:p>
    <w:p w14:paraId="28DA5232">
      <w:pPr>
        <w:pStyle w:val="4"/>
        <w:numPr>
          <w:ilvl w:val="0"/>
          <w:numId w:val="0"/>
        </w:numPr>
        <w:topLinePunct w:val="0"/>
        <w:bidi w:val="0"/>
        <w:ind w:left="0" w:leftChars="0" w:firstLine="616" w:firstLineChars="0"/>
        <w:rPr>
          <w:b w:val="0"/>
          <w:color w:val="auto"/>
        </w:rPr>
      </w:pPr>
      <w:r>
        <w:rPr>
          <w:rFonts w:hint="eastAsia" w:cs="仿宋_GB2312"/>
          <w:b w:val="0"/>
          <w:color w:val="auto"/>
          <w:sz w:val="32"/>
          <w:szCs w:val="32"/>
          <w:lang w:eastAsia="zh-CN"/>
        </w:rPr>
        <w:t>3.</w:t>
      </w:r>
      <w:r>
        <w:t>健全三级服务网络</w:t>
      </w:r>
    </w:p>
    <w:p w14:paraId="3F668233">
      <w:pPr>
        <w:pStyle w:val="11"/>
        <w:widowControl/>
        <w:numPr>
          <w:ilvl w:val="0"/>
          <w:numId w:val="0"/>
        </w:numPr>
        <w:pBdr>
          <w:top w:val="none" w:color="auto" w:sz="0" w:space="0"/>
          <w:left w:val="none" w:color="auto" w:sz="0" w:space="0"/>
          <w:bottom w:val="none" w:color="auto" w:sz="0" w:space="0"/>
          <w:right w:val="none" w:color="auto" w:sz="0" w:space="0"/>
        </w:pBdr>
        <w:topLinePunct w:val="0"/>
        <w:ind w:firstLine="616"/>
        <w:rPr>
          <w:b w:val="0"/>
          <w:color w:val="auto"/>
        </w:rPr>
      </w:pPr>
      <w:r>
        <w:rPr>
          <w:rFonts w:hint="eastAsia" w:cs="仿宋_GB2312"/>
          <w:b w:val="0"/>
          <w:color w:val="auto"/>
          <w:spacing w:val="-6"/>
          <w:sz w:val="32"/>
          <w:szCs w:val="32"/>
          <w:lang w:eastAsia="zh-CN"/>
        </w:rPr>
        <w:t>（</w:t>
      </w:r>
      <w:r>
        <w:rPr>
          <w:rFonts w:hint="default" w:ascii="Times New Roman" w:hAnsi="Times New Roman" w:eastAsia="仿宋_GB2312" w:cs="仿宋_GB2312"/>
          <w:b w:val="0"/>
          <w:color w:val="auto"/>
          <w:spacing w:val="-6"/>
          <w:sz w:val="32"/>
          <w:szCs w:val="32"/>
        </w:rPr>
        <w:t>1</w:t>
      </w:r>
      <w:r>
        <w:rPr>
          <w:rFonts w:hint="eastAsia" w:cs="仿宋_GB2312"/>
          <w:b w:val="0"/>
          <w:color w:val="auto"/>
          <w:spacing w:val="-6"/>
          <w:sz w:val="32"/>
          <w:szCs w:val="32"/>
          <w:lang w:eastAsia="zh-CN"/>
        </w:rPr>
        <w:t>）</w:t>
      </w:r>
      <w:r>
        <w:rPr>
          <w:rStyle w:val="20"/>
        </w:rPr>
        <w:t>区级协调服务机构</w:t>
      </w:r>
      <w:r>
        <w:rPr>
          <w:color w:val="000000"/>
        </w:rPr>
        <w:t>：由</w:t>
      </w:r>
      <w:r>
        <w:rPr>
          <w:rFonts w:hint="eastAsia"/>
          <w:color w:val="000000"/>
          <w:lang w:eastAsia="zh-CN"/>
        </w:rPr>
        <w:t>区经管站</w:t>
      </w:r>
      <w:r>
        <w:rPr>
          <w:color w:val="000000"/>
        </w:rPr>
        <w:t>牵头，负责统筹协调全区交易工作，精准对接市级平台，制定区级交易操作细则指导乡镇（街道）</w:t>
      </w:r>
      <w:r>
        <w:rPr>
          <w:rFonts w:hint="eastAsia"/>
          <w:color w:val="000000"/>
          <w:lang w:eastAsia="zh-CN"/>
        </w:rPr>
        <w:t>、</w:t>
      </w:r>
      <w:r>
        <w:rPr>
          <w:rFonts w:hint="eastAsia"/>
          <w:color w:val="000000"/>
          <w:lang w:val="en-US" w:eastAsia="zh-CN"/>
        </w:rPr>
        <w:t>村</w:t>
      </w:r>
      <w:r>
        <w:rPr>
          <w:color w:val="000000"/>
        </w:rPr>
        <w:t>规范业务流程，开展常态化监督检查和人员培训。</w:t>
      </w:r>
    </w:p>
    <w:p w14:paraId="6D870927">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b w:val="0"/>
          <w:color w:val="auto"/>
        </w:rPr>
      </w:pPr>
      <w:r>
        <w:rPr>
          <w:rFonts w:hint="eastAsia" w:cs="仿宋_GB2312"/>
          <w:b w:val="0"/>
          <w:color w:val="auto"/>
          <w:spacing w:val="-6"/>
          <w:sz w:val="32"/>
          <w:szCs w:val="32"/>
          <w:lang w:eastAsia="zh-CN"/>
        </w:rPr>
        <w:t>（</w:t>
      </w:r>
      <w:r>
        <w:rPr>
          <w:rFonts w:hint="default" w:ascii="Times New Roman" w:hAnsi="Times New Roman" w:eastAsia="仿宋_GB2312" w:cs="仿宋_GB2312"/>
          <w:b w:val="0"/>
          <w:color w:val="auto"/>
          <w:spacing w:val="-6"/>
          <w:sz w:val="32"/>
          <w:szCs w:val="32"/>
        </w:rPr>
        <w:t>2</w:t>
      </w:r>
      <w:r>
        <w:rPr>
          <w:rFonts w:hint="eastAsia" w:cs="仿宋_GB2312"/>
          <w:b w:val="0"/>
          <w:color w:val="auto"/>
          <w:spacing w:val="-6"/>
          <w:sz w:val="32"/>
          <w:szCs w:val="32"/>
          <w:lang w:eastAsia="zh-CN"/>
        </w:rPr>
        <w:t>）</w:t>
      </w:r>
      <w:r>
        <w:rPr>
          <w:rStyle w:val="20"/>
        </w:rPr>
        <w:t>乡镇（街道）服务站</w:t>
      </w:r>
      <w:r>
        <w:rPr>
          <w:color w:val="000000"/>
        </w:rPr>
        <w:t>：明确1名分管领导和</w:t>
      </w:r>
      <w:r>
        <w:rPr>
          <w:rFonts w:hint="eastAsia"/>
          <w:color w:val="000000"/>
          <w:lang w:val="en-US" w:eastAsia="zh-CN"/>
        </w:rPr>
        <w:t>1</w:t>
      </w:r>
      <w:r>
        <w:rPr>
          <w:color w:val="000000"/>
        </w:rPr>
        <w:t>名以上专职工作人员，负责本辖区交易项目的信息收集、组织</w:t>
      </w:r>
      <w:r>
        <w:rPr>
          <w:rFonts w:hint="eastAsia"/>
          <w:color w:val="000000"/>
          <w:lang w:val="en-US" w:eastAsia="zh-CN"/>
        </w:rPr>
        <w:t>进场</w:t>
      </w:r>
      <w:r>
        <w:rPr>
          <w:color w:val="000000"/>
        </w:rPr>
        <w:t>交易、纠纷调解、档案归档等工作；对提交的项目真实性、合法性进行实质性审核，审核通过后</w:t>
      </w:r>
      <w:r>
        <w:rPr>
          <w:rFonts w:hint="eastAsia"/>
          <w:color w:val="000000"/>
          <w:lang w:val="en-US" w:eastAsia="zh-CN"/>
        </w:rPr>
        <w:t>3</w:t>
      </w:r>
      <w:r>
        <w:rPr>
          <w:color w:val="000000"/>
        </w:rPr>
        <w:t>个工作日内报市级平台，整体审核时限不超过</w:t>
      </w:r>
      <w:r>
        <w:rPr>
          <w:rFonts w:hint="eastAsia"/>
          <w:color w:val="000000"/>
          <w:lang w:val="en-US" w:eastAsia="zh-CN"/>
        </w:rPr>
        <w:t>5</w:t>
      </w:r>
      <w:r>
        <w:rPr>
          <w:color w:val="000000"/>
        </w:rPr>
        <w:t>个工作日。</w:t>
      </w:r>
    </w:p>
    <w:p w14:paraId="742D8617">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000000"/>
        </w:rPr>
      </w:pPr>
      <w:r>
        <w:rPr>
          <w:rFonts w:hint="eastAsia" w:cs="仿宋_GB2312"/>
          <w:b w:val="0"/>
          <w:color w:val="auto"/>
          <w:spacing w:val="-6"/>
          <w:sz w:val="32"/>
          <w:szCs w:val="32"/>
          <w:lang w:eastAsia="zh-CN"/>
        </w:rPr>
        <w:t>（</w:t>
      </w:r>
      <w:r>
        <w:rPr>
          <w:rFonts w:hint="default" w:ascii="Times New Roman" w:hAnsi="Times New Roman" w:eastAsia="仿宋_GB2312" w:cs="仿宋_GB2312"/>
          <w:b w:val="0"/>
          <w:color w:val="auto"/>
          <w:spacing w:val="-6"/>
          <w:sz w:val="32"/>
          <w:szCs w:val="32"/>
        </w:rPr>
        <w:t>3</w:t>
      </w:r>
      <w:r>
        <w:rPr>
          <w:rFonts w:hint="eastAsia" w:cs="仿宋_GB2312"/>
          <w:b w:val="0"/>
          <w:color w:val="auto"/>
          <w:spacing w:val="-6"/>
          <w:sz w:val="32"/>
          <w:szCs w:val="32"/>
          <w:lang w:eastAsia="zh-CN"/>
        </w:rPr>
        <w:t>）</w:t>
      </w:r>
      <w:r>
        <w:rPr>
          <w:rStyle w:val="20"/>
        </w:rPr>
        <w:t>村（社区）服务点</w:t>
      </w:r>
      <w:r>
        <w:rPr>
          <w:color w:val="000000"/>
        </w:rPr>
        <w:t>：</w:t>
      </w:r>
      <w:r>
        <w:rPr>
          <w:rFonts w:hint="eastAsia"/>
          <w:color w:val="000000"/>
          <w:lang w:val="en-US" w:eastAsia="zh-CN"/>
        </w:rPr>
        <w:t>由村支书具体负责，另</w:t>
      </w:r>
      <w:r>
        <w:rPr>
          <w:color w:val="000000"/>
        </w:rPr>
        <w:t>明确1名专职信息员，负责交易项目的信息收集、初审上报、现场勘察，对进场交易项目严格执行</w:t>
      </w:r>
      <w:r>
        <w:rPr>
          <w:rFonts w:hint="eastAsia"/>
          <w:color w:val="000000"/>
          <w:lang w:eastAsia="zh-CN"/>
        </w:rPr>
        <w:t>“</w:t>
      </w:r>
      <w:r>
        <w:rPr>
          <w:color w:val="000000"/>
        </w:rPr>
        <w:t>四议两公开</w:t>
      </w:r>
      <w:r>
        <w:rPr>
          <w:rFonts w:hint="eastAsia"/>
          <w:color w:val="000000"/>
          <w:lang w:eastAsia="zh-CN"/>
        </w:rPr>
        <w:t>”</w:t>
      </w:r>
      <w:r>
        <w:rPr>
          <w:color w:val="000000"/>
        </w:rPr>
        <w:t>制度；跟踪项目审核进度，对交易过程进行现场监督，交易结果在村（社区）公示栏公示，公示期不少于5个工作日。</w:t>
      </w:r>
    </w:p>
    <w:p w14:paraId="7A5C8BDF">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（二）</w:t>
      </w:r>
      <w:r>
        <w:t>建立交易目录，推进“应进必进”全覆盖</w:t>
      </w:r>
    </w:p>
    <w:p w14:paraId="35784901">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auto"/>
          <w:highlight w:val="none"/>
        </w:rPr>
      </w:pPr>
      <w:r>
        <w:rPr>
          <w:rFonts w:hint="eastAsia" w:cs="仿宋_GB2312"/>
          <w:color w:val="auto"/>
          <w:spacing w:val="-6"/>
          <w:sz w:val="32"/>
          <w:szCs w:val="32"/>
          <w:lang w:eastAsia="zh-CN"/>
        </w:rPr>
        <w:t>1.</w:t>
      </w:r>
      <w:r>
        <w:rPr>
          <w:color w:val="000000"/>
        </w:rPr>
        <w:t>在全区农村集体“三资”清产核实的基础上，严格对照市级交易品种范围，编制《益阳市资阳区农村产权</w:t>
      </w:r>
      <w:r>
        <w:rPr>
          <w:rFonts w:hint="eastAsia"/>
          <w:color w:val="000000"/>
          <w:lang w:eastAsia="zh-CN"/>
        </w:rPr>
        <w:t>“</w:t>
      </w:r>
      <w:r>
        <w:rPr>
          <w:color w:val="000000"/>
        </w:rPr>
        <w:t>应进必进</w:t>
      </w:r>
      <w:r>
        <w:rPr>
          <w:rFonts w:hint="eastAsia"/>
          <w:color w:val="000000"/>
          <w:lang w:eastAsia="zh-CN"/>
        </w:rPr>
        <w:t>”</w:t>
      </w:r>
      <w:r>
        <w:rPr>
          <w:color w:val="000000"/>
        </w:rPr>
        <w:t>流转交易目录》，实行动态更新（每年调整1次）。目录涵盖</w:t>
      </w:r>
      <w:r>
        <w:rPr>
          <w:rFonts w:hint="eastAsia"/>
          <w:color w:val="auto"/>
          <w:highlight w:val="none"/>
          <w:lang w:val="en-US" w:eastAsia="zh-CN"/>
        </w:rPr>
        <w:t>农村承包土地经营权</w:t>
      </w:r>
      <w:r>
        <w:rPr>
          <w:color w:val="auto"/>
          <w:highlight w:val="none"/>
        </w:rPr>
        <w:t>、</w:t>
      </w:r>
      <w:r>
        <w:rPr>
          <w:rFonts w:hint="eastAsia"/>
          <w:color w:val="auto"/>
          <w:highlight w:val="none"/>
          <w:lang w:val="en-US" w:eastAsia="zh-CN"/>
        </w:rPr>
        <w:t>林权</w:t>
      </w:r>
      <w:r>
        <w:rPr>
          <w:color w:val="auto"/>
          <w:highlight w:val="none"/>
        </w:rPr>
        <w:t>、</w:t>
      </w:r>
      <w:r>
        <w:rPr>
          <w:rFonts w:hint="eastAsia"/>
          <w:color w:val="auto"/>
          <w:highlight w:val="none"/>
          <w:lang w:eastAsia="zh-CN"/>
        </w:rPr>
        <w:t>“</w:t>
      </w:r>
      <w:r>
        <w:rPr>
          <w:rFonts w:hint="eastAsia"/>
          <w:color w:val="auto"/>
          <w:highlight w:val="none"/>
          <w:lang w:val="en-US" w:eastAsia="zh-CN"/>
        </w:rPr>
        <w:t>四荒”使用权</w:t>
      </w:r>
      <w:r>
        <w:rPr>
          <w:color w:val="auto"/>
          <w:highlight w:val="none"/>
        </w:rPr>
        <w:t>、集体工程建设项目、大宗物资采购、</w:t>
      </w:r>
      <w:r>
        <w:rPr>
          <w:rFonts w:hint="eastAsia"/>
          <w:color w:val="auto"/>
          <w:highlight w:val="none"/>
          <w:lang w:val="en-US" w:eastAsia="zh-CN"/>
        </w:rPr>
        <w:t>农村集体资源性资产</w:t>
      </w:r>
      <w:r>
        <w:rPr>
          <w:color w:val="auto"/>
          <w:highlight w:val="none"/>
        </w:rPr>
        <w:t>、</w:t>
      </w:r>
      <w:r>
        <w:rPr>
          <w:rFonts w:hint="eastAsia"/>
          <w:color w:val="auto"/>
          <w:highlight w:val="none"/>
          <w:lang w:val="en-US" w:eastAsia="zh-CN"/>
        </w:rPr>
        <w:t>农村集体经营性资产</w:t>
      </w:r>
      <w:r>
        <w:rPr>
          <w:color w:val="auto"/>
          <w:highlight w:val="none"/>
        </w:rPr>
        <w:t>、</w:t>
      </w:r>
      <w:r>
        <w:rPr>
          <w:rFonts w:hint="eastAsia"/>
          <w:color w:val="auto"/>
          <w:highlight w:val="none"/>
          <w:lang w:val="en-US" w:eastAsia="zh-CN"/>
        </w:rPr>
        <w:t>小型水利设施使用权</w:t>
      </w:r>
      <w:r>
        <w:rPr>
          <w:color w:val="auto"/>
          <w:highlight w:val="none"/>
        </w:rPr>
        <w:t>、农业生产设施设备、农业类知识产权等类别，做到应列尽列、全面覆盖。</w:t>
      </w:r>
    </w:p>
    <w:p w14:paraId="09E19268">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color w:val="auto"/>
          <w:lang w:eastAsia="zh-CN"/>
        </w:rPr>
      </w:pPr>
      <w:r>
        <w:rPr>
          <w:rFonts w:hint="eastAsia" w:cs="仿宋_GB2312"/>
          <w:color w:val="auto"/>
          <w:spacing w:val="-6"/>
          <w:sz w:val="32"/>
          <w:szCs w:val="32"/>
          <w:lang w:val="en-US" w:eastAsia="zh-CN"/>
        </w:rPr>
        <w:t>2</w:t>
      </w:r>
      <w:r>
        <w:rPr>
          <w:rFonts w:hint="eastAsia" w:ascii="Times New Roman" w:hAnsi="Times New Roman" w:eastAsia="仿宋_GB2312" w:cs="仿宋_GB2312"/>
          <w:color w:val="auto"/>
          <w:spacing w:val="-6"/>
          <w:sz w:val="32"/>
          <w:szCs w:val="32"/>
          <w:lang w:eastAsia="zh-CN"/>
        </w:rPr>
        <w:t>.</w:t>
      </w:r>
      <w:r>
        <w:rPr>
          <w:rFonts w:hint="eastAsia"/>
          <w:color w:val="auto"/>
          <w:lang w:eastAsia="zh-CN"/>
        </w:rPr>
        <w:t>明确</w:t>
      </w:r>
      <w:r>
        <w:rPr>
          <w:rFonts w:hint="eastAsia"/>
          <w:color w:val="auto"/>
          <w:lang w:val="en-US" w:eastAsia="zh-CN"/>
        </w:rPr>
        <w:t>刚性</w:t>
      </w:r>
      <w:r>
        <w:rPr>
          <w:rFonts w:hint="eastAsia"/>
          <w:color w:val="auto"/>
          <w:lang w:eastAsia="zh-CN"/>
        </w:rPr>
        <w:t>进场交易限额：凡属本辖区农村集体经济组织实施的项目，符合《益阳市资阳区农村产权“应进必进”流转交易目录》</w:t>
      </w:r>
      <w:r>
        <w:rPr>
          <w:rFonts w:hint="eastAsia"/>
          <w:color w:val="auto"/>
          <w:lang w:val="en-US" w:eastAsia="zh-CN"/>
        </w:rPr>
        <w:t>目录限额内</w:t>
      </w:r>
      <w:r>
        <w:rPr>
          <w:rFonts w:hint="eastAsia"/>
          <w:color w:val="auto"/>
          <w:lang w:eastAsia="zh-CN"/>
        </w:rPr>
        <w:t>的必须进入市级平台公开交易，严禁化整为零、拆分项目规避进场。限额以下项目开通“绿色通道”，经集体经济组织集体决策后，可采取协商、询价等方式交易，交易信息需在市级平台即时公示备案，备案信息留存不少于</w:t>
      </w:r>
      <w:r>
        <w:rPr>
          <w:rFonts w:hint="eastAsia"/>
          <w:color w:val="auto"/>
          <w:lang w:val="en-US" w:eastAsia="zh-CN"/>
        </w:rPr>
        <w:t>3</w:t>
      </w:r>
      <w:r>
        <w:rPr>
          <w:rFonts w:hint="eastAsia"/>
          <w:color w:val="auto"/>
          <w:lang w:eastAsia="zh-CN"/>
        </w:rPr>
        <w:t>年，确保全程可追溯。</w:t>
      </w:r>
    </w:p>
    <w:p w14:paraId="728BB04F">
      <w:pPr>
        <w:pStyle w:val="11"/>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b w:val="0"/>
          <w:color w:val="auto"/>
        </w:rPr>
      </w:pPr>
      <w:r>
        <w:rPr>
          <w:rFonts w:hint="eastAsia" w:cs="仿宋_GB2312"/>
          <w:b w:val="0"/>
          <w:color w:val="auto"/>
          <w:spacing w:val="-6"/>
          <w:sz w:val="32"/>
          <w:szCs w:val="32"/>
          <w:lang w:eastAsia="zh-CN"/>
        </w:rPr>
        <w:t>3.</w:t>
      </w:r>
      <w:r>
        <w:rPr>
          <w:rStyle w:val="20"/>
        </w:rPr>
        <w:t>实行全程阳光交易</w:t>
      </w:r>
      <w:r>
        <w:rPr>
          <w:color w:val="000000"/>
        </w:rPr>
        <w:t>：所有纳入目录的交易项目，严格执行</w:t>
      </w:r>
      <w:r>
        <w:rPr>
          <w:rFonts w:hint="eastAsia"/>
          <w:color w:val="000000"/>
          <w:lang w:eastAsia="zh-CN"/>
        </w:rPr>
        <w:t>“</w:t>
      </w:r>
      <w:r>
        <w:rPr>
          <w:color w:val="000000"/>
        </w:rPr>
        <w:t>民主决策—申请受理—信息发布—意向征集—公开竞价—结果公示—签约成交—资金结算—出具鉴证</w:t>
      </w:r>
      <w:r>
        <w:rPr>
          <w:rFonts w:hint="eastAsia"/>
          <w:color w:val="000000"/>
          <w:lang w:eastAsia="zh-CN"/>
        </w:rPr>
        <w:t>”</w:t>
      </w:r>
      <w:r>
        <w:rPr>
          <w:color w:val="000000"/>
        </w:rPr>
        <w:t>全流程线上运行模式，每个环节留痕可查，实现交易过程可追溯、可监管</w:t>
      </w:r>
      <w:r>
        <w:rPr>
          <w:rFonts w:hint="eastAsia"/>
          <w:color w:val="000000"/>
          <w:lang w:eastAsia="zh-CN"/>
        </w:rPr>
        <w:t>。</w:t>
      </w:r>
      <w:r>
        <w:rPr>
          <w:color w:val="000000"/>
        </w:rPr>
        <w:t>交易资金通过市级平台专用账户进行闭环结算，确保资金安全规范</w:t>
      </w:r>
      <w:r>
        <w:rPr>
          <w:rFonts w:hint="eastAsia"/>
          <w:color w:val="000000"/>
          <w:lang w:eastAsia="zh-CN"/>
        </w:rPr>
        <w:t>，</w:t>
      </w:r>
      <w:r>
        <w:rPr>
          <w:color w:val="000000"/>
        </w:rPr>
        <w:t>交易鉴证书作为集体资产</w:t>
      </w:r>
      <w:r>
        <w:rPr>
          <w:rFonts w:hint="eastAsia"/>
          <w:color w:val="000000"/>
          <w:lang w:eastAsia="zh-CN"/>
        </w:rPr>
        <w:t>交易</w:t>
      </w:r>
      <w:r>
        <w:rPr>
          <w:color w:val="000000"/>
        </w:rPr>
        <w:t>财务</w:t>
      </w:r>
      <w:r>
        <w:rPr>
          <w:rFonts w:hint="eastAsia"/>
          <w:color w:val="000000"/>
          <w:lang w:eastAsia="zh-CN"/>
        </w:rPr>
        <w:t>核算</w:t>
      </w:r>
      <w:r>
        <w:rPr>
          <w:color w:val="000000"/>
        </w:rPr>
        <w:t>、权属变更的</w:t>
      </w:r>
      <w:r>
        <w:rPr>
          <w:rFonts w:hint="eastAsia"/>
          <w:color w:val="000000"/>
          <w:lang w:eastAsia="zh-CN"/>
        </w:rPr>
        <w:t>重要</w:t>
      </w:r>
      <w:r>
        <w:rPr>
          <w:color w:val="000000"/>
        </w:rPr>
        <w:t>依据。</w:t>
      </w:r>
    </w:p>
    <w:p w14:paraId="07B2939D">
      <w:pPr>
        <w:pStyle w:val="3"/>
        <w:widowControl/>
        <w:numPr>
          <w:ilvl w:val="0"/>
          <w:numId w:val="0"/>
        </w:numPr>
        <w:topLinePunct w:val="0"/>
        <w:ind w:left="-24" w:leftChars="0" w:firstLine="640" w:firstLineChars="0"/>
        <w:jc w:val="both"/>
        <w:rPr>
          <w:rFonts w:hint="eastAsia" w:ascii="楷体_GB2312" w:hAnsi="楷体_GB2312" w:eastAsia="楷体_GB2312" w:cs="楷体_GB2312"/>
          <w:b w:val="0"/>
        </w:rPr>
      </w:pPr>
      <w:r>
        <w:rPr>
          <w:rFonts w:hint="eastAsia" w:ascii="楷体_GB2312" w:hAnsi="楷体_GB2312" w:eastAsia="楷体_GB2312" w:cs="楷体_GB2312"/>
          <w:b w:val="0"/>
          <w:sz w:val="32"/>
          <w:szCs w:val="32"/>
        </w:rPr>
        <w:t>（三）</w:t>
      </w:r>
      <w:r>
        <w:rPr>
          <w:rFonts w:hint="eastAsia"/>
          <w:lang w:eastAsia="zh-CN"/>
        </w:rPr>
        <w:t>推动“三资”清产互通</w:t>
      </w:r>
      <w:r>
        <w:rPr>
          <w:rFonts w:hint="eastAsia"/>
          <w:lang w:val="en-US" w:eastAsia="zh-CN"/>
        </w:rPr>
        <w:t>共享</w:t>
      </w:r>
      <w:r>
        <w:t>，强化数字监管能力</w:t>
      </w:r>
    </w:p>
    <w:p w14:paraId="7B55CFED">
      <w:pPr>
        <w:pStyle w:val="11"/>
        <w:widowControl/>
        <w:numPr>
          <w:ilvl w:val="0"/>
          <w:numId w:val="0"/>
        </w:numPr>
        <w:pBdr>
          <w:top w:val="none" w:color="auto" w:sz="0" w:space="0"/>
          <w:left w:val="none" w:color="auto" w:sz="0" w:space="0"/>
          <w:bottom w:val="none" w:color="auto" w:sz="0" w:space="0"/>
          <w:right w:val="none" w:color="auto" w:sz="0" w:space="0"/>
        </w:pBdr>
        <w:topLinePunct w:val="0"/>
        <w:ind w:firstLine="616" w:firstLineChars="200"/>
        <w:jc w:val="both"/>
        <w:rPr>
          <w:color w:val="000000"/>
        </w:rPr>
      </w:pPr>
      <w:r>
        <w:rPr>
          <w:color w:val="000000"/>
        </w:rPr>
        <w:t>结合农村集体</w:t>
      </w:r>
      <w:r>
        <w:rPr>
          <w:rFonts w:hint="eastAsia"/>
          <w:color w:val="000000"/>
          <w:lang w:eastAsia="zh-CN"/>
        </w:rPr>
        <w:t>“</w:t>
      </w:r>
      <w:r>
        <w:rPr>
          <w:color w:val="000000"/>
        </w:rPr>
        <w:t>三资</w:t>
      </w:r>
      <w:r>
        <w:rPr>
          <w:rFonts w:hint="eastAsia"/>
          <w:color w:val="000000"/>
          <w:lang w:eastAsia="zh-CN"/>
        </w:rPr>
        <w:t>”</w:t>
      </w:r>
      <w:r>
        <w:rPr>
          <w:color w:val="000000"/>
        </w:rPr>
        <w:t>专项整治，</w:t>
      </w:r>
      <w:r>
        <w:rPr>
          <w:rFonts w:hint="eastAsia"/>
          <w:color w:val="000000"/>
          <w:lang w:eastAsia="zh-CN"/>
        </w:rPr>
        <w:t>通过</w:t>
      </w:r>
      <w:r>
        <w:rPr>
          <w:color w:val="000000"/>
        </w:rPr>
        <w:t>对全区集体资产、资源、资金全面清查核实</w:t>
      </w:r>
      <w:r>
        <w:rPr>
          <w:rFonts w:hint="eastAsia"/>
          <w:color w:val="000000"/>
          <w:lang w:eastAsia="zh-CN"/>
        </w:rPr>
        <w:t>共享</w:t>
      </w:r>
      <w:r>
        <w:rPr>
          <w:color w:val="000000"/>
        </w:rPr>
        <w:t>，实行“身份证”式台账管理，明确产权归属、数量、价值等信息</w:t>
      </w:r>
      <w:r>
        <w:rPr>
          <w:rFonts w:hint="eastAsia"/>
          <w:color w:val="000000"/>
          <w:lang w:eastAsia="zh-CN"/>
        </w:rPr>
        <w:t>，对“三资”数据严格保密</w:t>
      </w:r>
      <w:r>
        <w:rPr>
          <w:color w:val="000000"/>
        </w:rPr>
        <w:t>。建立清产核实数据与市级农村产权交易平台的互联互通机制，实现数据动态更新，</w:t>
      </w:r>
      <w:r>
        <w:rPr>
          <w:rFonts w:hint="eastAsia"/>
          <w:color w:val="000000"/>
          <w:lang w:val="en-US" w:eastAsia="zh-CN"/>
        </w:rPr>
        <w:t>凡属于镇、村农村集体（含村民小组）经济组织的资产资源，有流转需要的，必须全部进入农村产权流转交易市场流转交易，</w:t>
      </w:r>
      <w:r>
        <w:rPr>
          <w:color w:val="000000"/>
        </w:rPr>
        <w:t>形成</w:t>
      </w:r>
      <w:r>
        <w:rPr>
          <w:rFonts w:hint="eastAsia"/>
          <w:color w:val="000000"/>
          <w:lang w:eastAsia="zh-CN"/>
        </w:rPr>
        <w:t>“</w:t>
      </w:r>
      <w:r>
        <w:rPr>
          <w:color w:val="000000"/>
        </w:rPr>
        <w:t>数据录入—交易流转—合同管理—财务管理</w:t>
      </w:r>
      <w:r>
        <w:rPr>
          <w:rFonts w:hint="eastAsia"/>
          <w:color w:val="000000"/>
          <w:lang w:eastAsia="zh-CN"/>
        </w:rPr>
        <w:t>”</w:t>
      </w:r>
      <w:r>
        <w:rPr>
          <w:color w:val="000000"/>
        </w:rPr>
        <w:t>的全流程闭环，提升数字化监管水平。</w:t>
      </w:r>
    </w:p>
    <w:p w14:paraId="62143152">
      <w:pPr>
        <w:pStyle w:val="3"/>
        <w:widowControl/>
        <w:numPr>
          <w:ilvl w:val="0"/>
          <w:numId w:val="0"/>
        </w:numPr>
        <w:topLinePunct w:val="0"/>
        <w:ind w:left="0" w:leftChars="0" w:firstLine="640" w:firstLineChars="0"/>
        <w:rPr>
          <w:rFonts w:hint="eastAsia" w:ascii="楷体_GB2312" w:hAnsi="楷体_GB2312" w:eastAsia="楷体_GB2312" w:cs="楷体_GB2312"/>
          <w:b w:val="0"/>
        </w:rPr>
      </w:pPr>
      <w:r>
        <w:rPr>
          <w:rFonts w:hint="eastAsia" w:ascii="楷体_GB2312" w:hAnsi="楷体_GB2312" w:eastAsia="楷体_GB2312" w:cs="楷体_GB2312"/>
          <w:b w:val="0"/>
          <w:sz w:val="32"/>
          <w:szCs w:val="32"/>
        </w:rPr>
        <w:t>（四）</w:t>
      </w:r>
      <w:r>
        <w:t>拓展服务功能，创新金融配套支持</w:t>
      </w:r>
    </w:p>
    <w:p w14:paraId="28BEBB51">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616" w:firstLineChars="0"/>
        <w:rPr>
          <w:color w:val="000000"/>
        </w:rPr>
      </w:pPr>
      <w:r>
        <w:rPr>
          <w:rStyle w:val="20"/>
        </w:rPr>
        <w:t>丰富交易品种范围</w:t>
      </w:r>
      <w:r>
        <w:rPr>
          <w:color w:val="000000"/>
        </w:rPr>
        <w:t>：在现有交易品种基础上，严格对接市级要求，将农村建设项目招投标、涉农项目招商和转让、农村集体</w:t>
      </w:r>
      <w:r>
        <w:rPr>
          <w:rFonts w:hint="eastAsia"/>
          <w:color w:val="000000"/>
          <w:lang w:val="en-US" w:eastAsia="zh-CN"/>
        </w:rPr>
        <w:t>经营性</w:t>
      </w:r>
      <w:r>
        <w:rPr>
          <w:color w:val="000000"/>
        </w:rPr>
        <w:t>建设用地使用权（试点范围内）、农业生产设施使用权等纳入交易范围，鼓励农户个人产权进场交易，推动农村产权交易品种全覆盖。</w:t>
      </w:r>
    </w:p>
    <w:p w14:paraId="3ACED378">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616" w:firstLineChars="0"/>
        <w:rPr>
          <w:b w:val="0"/>
          <w:color w:val="auto"/>
        </w:rPr>
      </w:pPr>
      <w:r>
        <w:rPr>
          <w:rStyle w:val="20"/>
        </w:rPr>
        <w:t>延伸市场化服务链条</w:t>
      </w:r>
      <w:r>
        <w:rPr>
          <w:color w:val="000000"/>
        </w:rPr>
        <w:t>：配合市级平台引入资产评估、法律服务、产权经纪等中介机构，为交易主体提供交易前项目评估、政策咨询、合规审查，交易后管理咨询、品牌打造、产销对接等延伸服务，实现</w:t>
      </w:r>
      <w:r>
        <w:rPr>
          <w:rFonts w:hint="eastAsia"/>
          <w:color w:val="000000"/>
          <w:lang w:eastAsia="zh-CN"/>
        </w:rPr>
        <w:t>“</w:t>
      </w:r>
      <w:r>
        <w:rPr>
          <w:color w:val="000000"/>
        </w:rPr>
        <w:t>交易+服务</w:t>
      </w:r>
      <w:r>
        <w:rPr>
          <w:rFonts w:hint="eastAsia"/>
          <w:color w:val="000000"/>
          <w:lang w:eastAsia="zh-CN"/>
        </w:rPr>
        <w:t>”</w:t>
      </w:r>
      <w:r>
        <w:rPr>
          <w:color w:val="000000"/>
        </w:rPr>
        <w:t>一体化。</w:t>
      </w:r>
    </w:p>
    <w:p w14:paraId="4F8AE6CD">
      <w:pPr>
        <w:pStyle w:val="11"/>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ind w:left="0" w:leftChars="0" w:firstLine="618" w:firstLineChars="0"/>
        <w:textAlignment w:val="auto"/>
        <w:rPr>
          <w:b w:val="0"/>
        </w:rPr>
      </w:pPr>
      <w:r>
        <w:rPr>
          <w:rStyle w:val="20"/>
        </w:rPr>
        <w:t>创新抵押融资服务</w:t>
      </w:r>
      <w:r>
        <w:rPr>
          <w:color w:val="000000"/>
        </w:rPr>
        <w:t>：建立农村产权价值评估体系，由区</w:t>
      </w:r>
      <w:r>
        <w:rPr>
          <w:rFonts w:hint="eastAsia"/>
          <w:color w:val="000000"/>
          <w:lang w:eastAsia="zh-CN"/>
        </w:rPr>
        <w:t>经管站</w:t>
      </w:r>
      <w:r>
        <w:rPr>
          <w:color w:val="000000"/>
        </w:rPr>
        <w:t>联合金融机构、第三方评估机构，对照市级标准制定我区土地经营权、集体资产股权等产权评估指导标准；支持金融机构以交易鉴证书记载的成交价格为依据，开展农村产权抵押融资业务；探索</w:t>
      </w:r>
      <w:r>
        <w:rPr>
          <w:rFonts w:hint="eastAsia"/>
          <w:color w:val="000000"/>
          <w:lang w:eastAsia="zh-CN"/>
        </w:rPr>
        <w:t>“</w:t>
      </w:r>
      <w:r>
        <w:rPr>
          <w:color w:val="000000"/>
        </w:rPr>
        <w:t>政策性担保＋农村产权抵押</w:t>
      </w:r>
      <w:r>
        <w:rPr>
          <w:rFonts w:hint="eastAsia"/>
          <w:color w:val="000000"/>
          <w:lang w:eastAsia="zh-CN"/>
        </w:rPr>
        <w:t>”</w:t>
      </w:r>
      <w:r>
        <w:rPr>
          <w:color w:val="000000"/>
        </w:rPr>
        <w:t>双担保模式，对接市级金融服务联动机制，拓宽农村集体经济组织和新型农业经营主体融资渠道，实现</w:t>
      </w:r>
      <w:r>
        <w:rPr>
          <w:rFonts w:hint="eastAsia"/>
          <w:color w:val="000000"/>
          <w:lang w:eastAsia="zh-CN"/>
        </w:rPr>
        <w:t>“</w:t>
      </w:r>
      <w:r>
        <w:rPr>
          <w:color w:val="000000"/>
        </w:rPr>
        <w:t>交易鉴证即抵押授信</w:t>
      </w:r>
      <w:r>
        <w:rPr>
          <w:rFonts w:hint="eastAsia"/>
          <w:color w:val="000000"/>
          <w:lang w:eastAsia="zh-CN"/>
        </w:rPr>
        <w:t>”</w:t>
      </w:r>
      <w:r>
        <w:rPr>
          <w:color w:val="000000"/>
        </w:rPr>
        <w:t>。</w:t>
      </w:r>
    </w:p>
    <w:p w14:paraId="4BAC0670">
      <w:pPr>
        <w:pStyle w:val="11"/>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ind w:left="618" w:leftChars="0"/>
        <w:textAlignment w:val="auto"/>
        <w:rPr>
          <w:b w:val="0"/>
        </w:rPr>
      </w:pPr>
      <w:r>
        <w:rPr>
          <w:rFonts w:hint="eastAsia" w:ascii="黑体" w:hAnsi="黑体" w:eastAsia="黑体" w:cs="黑体"/>
          <w:b w:val="0"/>
          <w:kern w:val="44"/>
          <w:sz w:val="32"/>
          <w:szCs w:val="32"/>
        </w:rPr>
        <w:t>三、</w:t>
      </w:r>
      <w:r>
        <w:t>保障措施</w:t>
      </w:r>
    </w:p>
    <w:p w14:paraId="13A9D659">
      <w:pPr>
        <w:pStyle w:val="3"/>
        <w:widowControl/>
        <w:numPr>
          <w:ilvl w:val="0"/>
          <w:numId w:val="2"/>
        </w:numPr>
        <w:topLinePunct w:val="0"/>
        <w:ind w:left="0" w:leftChars="0" w:firstLine="640" w:firstLineChars="0"/>
        <w:rPr>
          <w:rFonts w:hint="eastAsia" w:ascii="楷体_GB2312" w:hAnsi="楷体_GB2312" w:eastAsia="楷体_GB2312" w:cs="楷体_GB2312"/>
          <w:b w:val="0"/>
        </w:rPr>
      </w:pPr>
      <w:r>
        <w:t>加强组织领导</w:t>
      </w:r>
    </w:p>
    <w:p w14:paraId="5E2E89DA">
      <w:pPr>
        <w:pStyle w:val="11"/>
        <w:widowControl/>
        <w:pBdr>
          <w:top w:val="none" w:color="auto" w:sz="0" w:space="0"/>
          <w:left w:val="none" w:color="auto" w:sz="0" w:space="0"/>
          <w:bottom w:val="none" w:color="auto" w:sz="0" w:space="0"/>
          <w:right w:val="none" w:color="auto" w:sz="0" w:space="0"/>
        </w:pBdr>
        <w:rPr>
          <w:color w:val="000000"/>
        </w:rPr>
      </w:pPr>
      <w:r>
        <w:rPr>
          <w:color w:val="000000"/>
        </w:rPr>
        <w:t>成立区农村产权流转交易市场提升发展工作专班，由</w:t>
      </w:r>
      <w:r>
        <w:rPr>
          <w:rFonts w:hint="eastAsia"/>
          <w:color w:val="000000"/>
          <w:u w:val="none"/>
          <w:lang w:val="en-US" w:eastAsia="zh-CN"/>
        </w:rPr>
        <w:t>分管副区长</w:t>
      </w:r>
      <w:r>
        <w:rPr>
          <w:color w:val="000000"/>
        </w:rPr>
        <w:t>任</w:t>
      </w:r>
      <w:r>
        <w:rPr>
          <w:rFonts w:hint="eastAsia"/>
          <w:color w:val="000000"/>
          <w:lang w:val="en-US" w:eastAsia="zh-CN"/>
        </w:rPr>
        <w:t>召集人</w:t>
      </w:r>
      <w:r>
        <w:rPr>
          <w:color w:val="000000"/>
        </w:rPr>
        <w:t>，</w:t>
      </w:r>
      <w:r>
        <w:rPr>
          <w:rFonts w:hint="eastAsia"/>
          <w:color w:val="000000"/>
          <w:u w:val="none"/>
          <w:lang w:val="en-US" w:eastAsia="zh-CN"/>
        </w:rPr>
        <w:t>政府办副主任、经管站站长</w:t>
      </w:r>
      <w:r>
        <w:rPr>
          <w:color w:val="000000"/>
        </w:rPr>
        <w:t>任副</w:t>
      </w:r>
      <w:r>
        <w:rPr>
          <w:rFonts w:hint="eastAsia"/>
          <w:color w:val="000000"/>
          <w:lang w:val="en-US" w:eastAsia="zh-CN"/>
        </w:rPr>
        <w:t>召集人</w:t>
      </w:r>
      <w:r>
        <w:rPr>
          <w:color w:val="000000"/>
        </w:rPr>
        <w:t>，</w:t>
      </w:r>
      <w:r>
        <w:rPr>
          <w:rFonts w:hint="eastAsia"/>
          <w:color w:val="000000"/>
          <w:lang w:val="en-US" w:eastAsia="zh-CN"/>
        </w:rPr>
        <w:t>区经管站、</w:t>
      </w:r>
      <w:r>
        <w:rPr>
          <w:color w:val="000000"/>
        </w:rPr>
        <w:t>区纪委监委、</w:t>
      </w:r>
      <w:r>
        <w:rPr>
          <w:rFonts w:hint="eastAsia"/>
          <w:color w:val="000000"/>
          <w:lang w:val="en-US" w:eastAsia="zh-CN"/>
        </w:rPr>
        <w:t>区农业农村局、</w:t>
      </w:r>
      <w:r>
        <w:rPr>
          <w:color w:val="000000"/>
        </w:rPr>
        <w:t>区财政局、区自然资源局、区水利局</w:t>
      </w:r>
      <w:r>
        <w:rPr>
          <w:rFonts w:hint="eastAsia"/>
          <w:color w:val="000000"/>
          <w:lang w:eastAsia="zh-CN"/>
        </w:rPr>
        <w:t>、</w:t>
      </w:r>
      <w:r>
        <w:rPr>
          <w:rFonts w:hint="eastAsia"/>
          <w:color w:val="000000"/>
          <w:lang w:val="en-US" w:eastAsia="zh-CN"/>
        </w:rPr>
        <w:t>区畜牧水产事务中心、</w:t>
      </w:r>
      <w:r>
        <w:rPr>
          <w:rFonts w:hint="eastAsia"/>
          <w:color w:val="000000"/>
          <w:lang w:eastAsia="zh-CN"/>
        </w:rPr>
        <w:t>区林业局、区公路养护中心、</w:t>
      </w:r>
      <w:r>
        <w:rPr>
          <w:color w:val="000000"/>
        </w:rPr>
        <w:t>区司法局、区市场监管局、区商务局、</w:t>
      </w:r>
      <w:r>
        <w:rPr>
          <w:rFonts w:hint="eastAsia"/>
          <w:color w:val="000000"/>
          <w:lang w:eastAsia="zh-CN"/>
        </w:rPr>
        <w:t>区金融办</w:t>
      </w:r>
      <w:r>
        <w:rPr>
          <w:color w:val="000000"/>
        </w:rPr>
        <w:t>及各乡镇（街道）为成员单位，专班办公室设在</w:t>
      </w:r>
      <w:r>
        <w:rPr>
          <w:rFonts w:hint="eastAsia"/>
          <w:color w:val="000000"/>
          <w:u w:val="none"/>
          <w:lang w:val="en-US" w:eastAsia="zh-CN"/>
        </w:rPr>
        <w:t>区经管站</w:t>
      </w:r>
      <w:r>
        <w:rPr>
          <w:color w:val="000000"/>
        </w:rPr>
        <w:t>，统筹推进全区农村产权流转交易市场建设各项工作，定期召开工作推进会，研究解决工作中的重难点问题。各乡镇（街道）于本意见实施后15个工作日内成立相应工作机构，明确分管领导和专职人员，制定工作落实方案，确保各项工作落地见效。</w:t>
      </w:r>
    </w:p>
    <w:p w14:paraId="5BD46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6" w:firstLineChars="200"/>
        <w:jc w:val="both"/>
        <w:rPr>
          <w:rFonts w:ascii="Times New Roman" w:hAnsi="Times New Roman" w:eastAsia="仿宋_GB2312" w:cs="仿宋_GB2312"/>
          <w:color w:val="000000"/>
          <w:spacing w:val="-6"/>
          <w:kern w:val="0"/>
          <w:sz w:val="32"/>
          <w:szCs w:val="32"/>
          <w:lang w:val="en-US" w:eastAsia="zh-CN"/>
        </w:rPr>
      </w:pPr>
      <w:r>
        <w:rPr>
          <w:rFonts w:ascii="Times New Roman" w:hAnsi="Times New Roman" w:eastAsia="仿宋_GB2312" w:cs="仿宋_GB2312"/>
          <w:color w:val="000000"/>
          <w:spacing w:val="-6"/>
          <w:kern w:val="0"/>
          <w:sz w:val="32"/>
          <w:szCs w:val="32"/>
          <w:lang w:val="en-US" w:eastAsia="zh-CN"/>
        </w:rPr>
        <w:t>各相关部门要按照</w:t>
      </w:r>
      <w:r>
        <w:rPr>
          <w:rFonts w:hint="eastAsia" w:ascii="Times New Roman" w:hAnsi="Times New Roman" w:cs="仿宋_GB2312"/>
          <w:color w:val="000000"/>
          <w:spacing w:val="-6"/>
          <w:kern w:val="0"/>
          <w:sz w:val="32"/>
          <w:szCs w:val="32"/>
          <w:lang w:val="en-US" w:eastAsia="zh-CN"/>
        </w:rPr>
        <w:t>“</w:t>
      </w:r>
      <w:r>
        <w:rPr>
          <w:rFonts w:ascii="Times New Roman" w:hAnsi="Times New Roman" w:eastAsia="仿宋_GB2312" w:cs="仿宋_GB2312"/>
          <w:color w:val="000000"/>
          <w:spacing w:val="-6"/>
          <w:kern w:val="0"/>
          <w:sz w:val="32"/>
          <w:szCs w:val="32"/>
          <w:lang w:val="en-US" w:eastAsia="zh-CN"/>
        </w:rPr>
        <w:t>各司其职、密切配合、协同推进</w:t>
      </w:r>
      <w:r>
        <w:rPr>
          <w:rFonts w:hint="eastAsia" w:ascii="Times New Roman" w:hAnsi="Times New Roman" w:cs="仿宋_GB2312"/>
          <w:color w:val="000000"/>
          <w:spacing w:val="-6"/>
          <w:kern w:val="0"/>
          <w:sz w:val="32"/>
          <w:szCs w:val="32"/>
          <w:lang w:val="en-US" w:eastAsia="zh-CN"/>
        </w:rPr>
        <w:t>”</w:t>
      </w:r>
      <w:r>
        <w:rPr>
          <w:rFonts w:ascii="Times New Roman" w:hAnsi="Times New Roman" w:eastAsia="仿宋_GB2312" w:cs="仿宋_GB2312"/>
          <w:color w:val="000000"/>
          <w:spacing w:val="-6"/>
          <w:kern w:val="0"/>
          <w:sz w:val="32"/>
          <w:szCs w:val="32"/>
          <w:lang w:val="en-US" w:eastAsia="zh-CN"/>
        </w:rPr>
        <w:t>的原则，切实履行工作职责，形成工作合力：</w:t>
      </w:r>
    </w:p>
    <w:p w14:paraId="3C7CE2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jc w:val="both"/>
        <w:rPr>
          <w:rFonts w:ascii="Times New Roman" w:hAnsi="Times New Roman" w:eastAsia="仿宋_GB2312" w:cs="仿宋_GB2312"/>
          <w:color w:val="000000"/>
          <w:spacing w:val="-6"/>
          <w:kern w:val="0"/>
          <w:sz w:val="32"/>
          <w:szCs w:val="32"/>
        </w:rPr>
      </w:pPr>
      <w:r>
        <w:rPr>
          <w:rFonts w:hint="eastAsia" w:ascii="Times New Roman" w:hAnsi="Times New Roman" w:cs="仿宋_GB2312"/>
          <w:color w:val="000000"/>
          <w:spacing w:val="-6"/>
          <w:kern w:val="0"/>
          <w:sz w:val="32"/>
          <w:szCs w:val="32"/>
          <w:lang w:eastAsia="zh-CN"/>
        </w:rPr>
        <w:t>区经管站</w:t>
      </w:r>
      <w:r>
        <w:rPr>
          <w:rFonts w:ascii="Times New Roman" w:hAnsi="Times New Roman" w:eastAsia="仿宋_GB2312" w:cs="仿宋_GB2312"/>
          <w:color w:val="000000"/>
          <w:spacing w:val="-6"/>
          <w:kern w:val="0"/>
          <w:sz w:val="32"/>
          <w:szCs w:val="32"/>
        </w:rPr>
        <w:t>：牵头统筹全区农村产权流转交易市场体系建设工作，负责对接市级农村产权交易中心；组织开展农村集体“三资”清产核实、台账建立和动态更新，编制农村产权“应进必进”流转交易目录；</w:t>
      </w:r>
      <w:r>
        <w:rPr>
          <w:rFonts w:hint="eastAsia" w:ascii="Times New Roman" w:hAnsi="Times New Roman" w:cs="仿宋_GB2312"/>
          <w:color w:val="000000"/>
          <w:spacing w:val="-6"/>
          <w:kern w:val="0"/>
          <w:sz w:val="32"/>
          <w:szCs w:val="32"/>
          <w:lang w:val="en-US" w:eastAsia="zh-CN"/>
        </w:rPr>
        <w:t>组织</w:t>
      </w:r>
      <w:r>
        <w:rPr>
          <w:rFonts w:ascii="Times New Roman" w:hAnsi="Times New Roman" w:eastAsia="仿宋_GB2312" w:cs="仿宋_GB2312"/>
          <w:color w:val="000000"/>
          <w:spacing w:val="-6"/>
          <w:kern w:val="0"/>
          <w:sz w:val="32"/>
          <w:szCs w:val="32"/>
        </w:rPr>
        <w:t>全区三级服务网络工作人员的业务培训、实操指导和日常管理；每月开展工作调度，及时梳理工作问题并提出整改措施；牵头开展农村产权流转交易纠纷的前期调处工作。</w:t>
      </w:r>
    </w:p>
    <w:p w14:paraId="46DF33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jc w:val="both"/>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区纪委监委：负责农村产权流转交易工作的纪律监督，将进场交易情况纳入农村</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三资</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管理监督重点，依规依纪依法查处应进未进、化整为零、暗箱操作、虚假交易等违纪违法行为，追究相关责任人责任。</w:t>
      </w:r>
    </w:p>
    <w:p w14:paraId="60F0C3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jc w:val="both"/>
        <w:rPr>
          <w:rFonts w:hint="default" w:ascii="Times New Roman" w:hAnsi="Times New Roman" w:cs="仿宋_GB2312"/>
          <w:color w:val="000000"/>
          <w:spacing w:val="-6"/>
          <w:kern w:val="0"/>
          <w:sz w:val="32"/>
          <w:szCs w:val="32"/>
          <w:lang w:val="en-US" w:eastAsia="zh-CN"/>
        </w:rPr>
      </w:pPr>
      <w:r>
        <w:rPr>
          <w:rFonts w:hint="eastAsia" w:ascii="Times New Roman" w:hAnsi="Times New Roman" w:cs="仿宋_GB2312"/>
          <w:color w:val="000000"/>
          <w:spacing w:val="-6"/>
          <w:kern w:val="0"/>
          <w:sz w:val="32"/>
          <w:szCs w:val="32"/>
          <w:lang w:val="en-US" w:eastAsia="zh-CN"/>
        </w:rPr>
        <w:t>区农业农村局：</w:t>
      </w:r>
      <w:r>
        <w:rPr>
          <w:rFonts w:hint="eastAsia" w:ascii="Times New Roman" w:hAnsi="Times New Roman" w:eastAsia="仿宋_GB2312" w:cs="仿宋_GB2312"/>
          <w:color w:val="000000"/>
          <w:spacing w:val="-6"/>
          <w:kern w:val="0"/>
          <w:sz w:val="32"/>
          <w:szCs w:val="32"/>
        </w:rPr>
        <w:t>引导各类农村产权依法进场交易</w:t>
      </w:r>
      <w:r>
        <w:rPr>
          <w:rFonts w:hint="eastAsia" w:ascii="Times New Roman" w:hAnsi="Times New Roman" w:cs="仿宋_GB2312"/>
          <w:color w:val="000000"/>
          <w:spacing w:val="-6"/>
          <w:kern w:val="0"/>
          <w:sz w:val="32"/>
          <w:szCs w:val="32"/>
          <w:lang w:eastAsia="zh-CN"/>
        </w:rPr>
        <w:t>，</w:t>
      </w:r>
      <w:r>
        <w:rPr>
          <w:rFonts w:hint="eastAsia" w:ascii="Times New Roman" w:hAnsi="Times New Roman" w:eastAsia="仿宋_GB2312" w:cs="仿宋_GB2312"/>
          <w:color w:val="000000"/>
          <w:spacing w:val="-6"/>
          <w:kern w:val="0"/>
          <w:sz w:val="32"/>
          <w:szCs w:val="32"/>
        </w:rPr>
        <w:t>配合农经站做好纠纷调处相关工作，衔接上级农业农村部门相关工作部署，推动农村产权交易与乡村振兴、农业农村发展深度融合。</w:t>
      </w:r>
      <w:r>
        <w:rPr>
          <w:rFonts w:hint="eastAsia" w:ascii="Times New Roman" w:hAnsi="Times New Roman" w:cs="仿宋_GB2312"/>
          <w:color w:val="000000"/>
          <w:spacing w:val="-6"/>
          <w:kern w:val="0"/>
          <w:sz w:val="32"/>
          <w:szCs w:val="32"/>
          <w:lang w:val="en-US" w:eastAsia="zh-CN"/>
        </w:rPr>
        <w:t>配合做好强化农村产权交易鉴证书效能等相关工作。</w:t>
      </w:r>
    </w:p>
    <w:p w14:paraId="39EEA6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区财政局：负责落实农村产权流转交易市场建设财政支持政策，将三级服务网络建设、人员培训、数字化平台运维等工作经费</w:t>
      </w:r>
      <w:r>
        <w:rPr>
          <w:rFonts w:hint="eastAsia" w:ascii="Times New Roman" w:hAnsi="Times New Roman" w:cs="仿宋_GB2312"/>
          <w:color w:val="000000"/>
          <w:spacing w:val="-6"/>
          <w:kern w:val="0"/>
          <w:sz w:val="32"/>
          <w:szCs w:val="32"/>
          <w:lang w:eastAsia="zh-CN"/>
        </w:rPr>
        <w:t>由区财政统筹安排，保障市场正常运行</w:t>
      </w:r>
      <w:r>
        <w:rPr>
          <w:rFonts w:ascii="Times New Roman" w:hAnsi="Times New Roman" w:eastAsia="仿宋_GB2312" w:cs="仿宋_GB2312"/>
          <w:color w:val="000000"/>
          <w:spacing w:val="-6"/>
          <w:kern w:val="0"/>
          <w:sz w:val="32"/>
          <w:szCs w:val="32"/>
        </w:rPr>
        <w:t>；对</w:t>
      </w:r>
      <w:r>
        <w:rPr>
          <w:rFonts w:hint="eastAsia" w:ascii="Times New Roman" w:hAnsi="Times New Roman" w:cs="仿宋_GB2312"/>
          <w:color w:val="000000"/>
          <w:spacing w:val="-6"/>
          <w:kern w:val="0"/>
          <w:sz w:val="32"/>
          <w:szCs w:val="32"/>
          <w:lang w:val="en-US" w:eastAsia="zh-CN"/>
        </w:rPr>
        <w:t>已</w:t>
      </w:r>
      <w:r>
        <w:rPr>
          <w:rFonts w:ascii="Times New Roman" w:hAnsi="Times New Roman" w:eastAsia="仿宋_GB2312" w:cs="仿宋_GB2312"/>
          <w:color w:val="000000"/>
          <w:spacing w:val="-6"/>
          <w:kern w:val="0"/>
          <w:sz w:val="32"/>
          <w:szCs w:val="32"/>
        </w:rPr>
        <w:t>取得交易鉴证书的涉农项目，在财政补贴、项目资金安排上予以</w:t>
      </w:r>
      <w:r>
        <w:rPr>
          <w:rFonts w:hint="eastAsia" w:ascii="Times New Roman" w:hAnsi="Times New Roman" w:cs="仿宋_GB2312"/>
          <w:color w:val="000000"/>
          <w:spacing w:val="-6"/>
          <w:kern w:val="0"/>
          <w:sz w:val="32"/>
          <w:szCs w:val="32"/>
          <w:lang w:val="en-US" w:eastAsia="zh-CN"/>
        </w:rPr>
        <w:t>政策</w:t>
      </w:r>
      <w:r>
        <w:rPr>
          <w:rFonts w:ascii="Times New Roman" w:hAnsi="Times New Roman" w:eastAsia="仿宋_GB2312" w:cs="仿宋_GB2312"/>
          <w:color w:val="000000"/>
          <w:spacing w:val="-6"/>
          <w:kern w:val="0"/>
          <w:sz w:val="32"/>
          <w:szCs w:val="32"/>
        </w:rPr>
        <w:t>支持</w:t>
      </w:r>
      <w:r>
        <w:rPr>
          <w:rFonts w:hint="eastAsia" w:ascii="Times New Roman" w:hAnsi="Times New Roman" w:cs="仿宋_GB2312"/>
          <w:color w:val="000000"/>
          <w:spacing w:val="-6"/>
          <w:kern w:val="0"/>
          <w:sz w:val="32"/>
          <w:szCs w:val="32"/>
          <w:lang w:eastAsia="zh-CN"/>
        </w:rPr>
        <w:t>。</w:t>
      </w:r>
    </w:p>
    <w:p w14:paraId="017A61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区自然资源局：负责指导试点范围内农村集体经营性建设用地入市交易工作，规范做好农村产权不动产登记、权属变更等工作，将交易鉴证书</w:t>
      </w:r>
      <w:r>
        <w:rPr>
          <w:rFonts w:hint="eastAsia" w:ascii="Times New Roman" w:hAnsi="Times New Roman" w:cs="仿宋_GB2312"/>
          <w:color w:val="000000"/>
          <w:spacing w:val="-6"/>
          <w:kern w:val="0"/>
          <w:sz w:val="32"/>
          <w:szCs w:val="32"/>
          <w:lang w:val="en-US" w:eastAsia="zh-CN"/>
        </w:rPr>
        <w:t>纳入</w:t>
      </w:r>
      <w:r>
        <w:rPr>
          <w:rFonts w:ascii="Times New Roman" w:hAnsi="Times New Roman" w:eastAsia="仿宋_GB2312" w:cs="仿宋_GB2312"/>
          <w:color w:val="000000"/>
          <w:spacing w:val="-6"/>
          <w:kern w:val="0"/>
          <w:sz w:val="32"/>
          <w:szCs w:val="32"/>
        </w:rPr>
        <w:t>农村产权权属变更的必备依据，配合做好产权边界界定</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数据录入等工作。</w:t>
      </w:r>
    </w:p>
    <w:p w14:paraId="61D687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区水利局：负责指导和监督辖区内小型水利设施使用权、水</w:t>
      </w:r>
      <w:r>
        <w:rPr>
          <w:rFonts w:hint="eastAsia" w:ascii="Times New Roman" w:hAnsi="Times New Roman" w:cs="仿宋_GB2312"/>
          <w:color w:val="000000"/>
          <w:spacing w:val="-6"/>
          <w:kern w:val="0"/>
          <w:sz w:val="32"/>
          <w:szCs w:val="32"/>
          <w:lang w:val="en-US" w:eastAsia="zh-CN"/>
        </w:rPr>
        <w:t>资源</w:t>
      </w:r>
      <w:r>
        <w:rPr>
          <w:rFonts w:ascii="Times New Roman" w:hAnsi="Times New Roman" w:eastAsia="仿宋_GB2312" w:cs="仿宋_GB2312"/>
          <w:color w:val="000000"/>
          <w:spacing w:val="-6"/>
          <w:kern w:val="0"/>
          <w:sz w:val="32"/>
          <w:szCs w:val="32"/>
        </w:rPr>
        <w:t>经营权等入市交易工作，审核相关交易标的的合法性，配合做好交易标的信息核实。</w:t>
      </w:r>
    </w:p>
    <w:p w14:paraId="2EB5A8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hint="eastAsia" w:ascii="Times New Roman" w:hAnsi="Times New Roman" w:cs="仿宋_GB2312"/>
          <w:color w:val="000000"/>
          <w:spacing w:val="-6"/>
          <w:kern w:val="0"/>
          <w:sz w:val="32"/>
          <w:szCs w:val="32"/>
          <w:lang w:val="en-US" w:eastAsia="zh-CN"/>
        </w:rPr>
        <w:t>区畜牧水产事务中心：</w:t>
      </w:r>
      <w:r>
        <w:rPr>
          <w:rFonts w:ascii="Times New Roman" w:hAnsi="Times New Roman" w:eastAsia="仿宋_GB2312" w:cs="仿宋_GB2312"/>
          <w:color w:val="000000"/>
          <w:kern w:val="0"/>
          <w:sz w:val="32"/>
          <w:szCs w:val="32"/>
        </w:rPr>
        <w:t>负责指导和监督全区畜禽养殖设施、水产养殖水面、渔业设施设备等畜牧水产类涉农产权流转交易工作；对涉及养殖水面经营权、畜禽养殖场经营权、养殖设施使用权、渔业相关资产处置等交易标的进行</w:t>
      </w:r>
      <w:r>
        <w:rPr>
          <w:rFonts w:ascii="Times New Roman" w:hAnsi="Times New Roman" w:eastAsia="仿宋_GB2312" w:cs="仿宋_GB2312"/>
          <w:b w:val="0"/>
          <w:bCs w:val="0"/>
          <w:color w:val="000000"/>
          <w:kern w:val="0"/>
          <w:sz w:val="32"/>
          <w:szCs w:val="32"/>
        </w:rPr>
        <w:t>合法性、合规性、防疫安全、养殖用途</w:t>
      </w:r>
      <w:r>
        <w:rPr>
          <w:rFonts w:ascii="Times New Roman" w:hAnsi="Times New Roman" w:eastAsia="仿宋_GB2312" w:cs="仿宋_GB2312"/>
          <w:color w:val="000000"/>
          <w:kern w:val="0"/>
          <w:sz w:val="32"/>
          <w:szCs w:val="32"/>
        </w:rPr>
        <w:t>审核；配合区经管站做好畜牧水产类产权交易信息核实、交易鉴证衔接、权属确认等工作</w:t>
      </w:r>
      <w:r>
        <w:rPr>
          <w:rFonts w:hint="eastAsia" w:ascii="Times New Roman" w:hAnsi="Times New Roman" w:cs="仿宋_GB2312"/>
          <w:color w:val="000000"/>
          <w:kern w:val="0"/>
          <w:sz w:val="32"/>
          <w:szCs w:val="32"/>
          <w:lang w:eastAsia="zh-CN"/>
        </w:rPr>
        <w:t>。</w:t>
      </w:r>
    </w:p>
    <w:p w14:paraId="0F6D37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ins w:id="0" w:author="Charlie" w:date="2026-04-30T16:02:40Z"/>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区林业局：负责指导和监督辖区内集体林地经营权、林木所有权和使用权等入市交易工作</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审核林业产权交易标的的合法性，配合做好交易</w:t>
      </w:r>
      <w:r>
        <w:rPr>
          <w:rFonts w:hint="eastAsia" w:ascii="Times New Roman" w:hAnsi="Times New Roman" w:cs="仿宋_GB2312"/>
          <w:color w:val="000000"/>
          <w:spacing w:val="-6"/>
          <w:kern w:val="0"/>
          <w:sz w:val="32"/>
          <w:szCs w:val="32"/>
          <w:lang w:val="en-US" w:eastAsia="zh-CN"/>
        </w:rPr>
        <w:t>相关工作</w:t>
      </w:r>
      <w:r>
        <w:rPr>
          <w:rFonts w:ascii="Times New Roman" w:hAnsi="Times New Roman" w:eastAsia="仿宋_GB2312" w:cs="仿宋_GB2312"/>
          <w:color w:val="000000"/>
          <w:spacing w:val="-6"/>
          <w:kern w:val="0"/>
          <w:sz w:val="32"/>
          <w:szCs w:val="32"/>
        </w:rPr>
        <w:t>。</w:t>
      </w:r>
    </w:p>
    <w:p w14:paraId="5E6147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hint="eastAsia" w:ascii="Times New Roman" w:hAnsi="Times New Roman" w:eastAsia="仿宋_GB2312" w:cs="仿宋_GB2312"/>
          <w:color w:val="000000"/>
          <w:spacing w:val="-6"/>
          <w:kern w:val="0"/>
          <w:sz w:val="32"/>
          <w:szCs w:val="32"/>
          <w:lang w:eastAsia="zh-CN"/>
        </w:rPr>
      </w:pPr>
      <w:r>
        <w:rPr>
          <w:rFonts w:hint="eastAsia" w:ascii="Times New Roman" w:hAnsi="Times New Roman" w:cs="仿宋_GB2312"/>
          <w:color w:val="000000"/>
          <w:spacing w:val="-6"/>
          <w:kern w:val="0"/>
          <w:sz w:val="32"/>
          <w:szCs w:val="32"/>
          <w:lang w:eastAsia="zh-CN"/>
        </w:rPr>
        <w:t>区公路养护中心：</w:t>
      </w:r>
      <w:r>
        <w:rPr>
          <w:rFonts w:ascii="Times New Roman" w:hAnsi="Times New Roman" w:eastAsia="仿宋_GB2312" w:cs="仿宋_GB2312"/>
          <w:color w:val="000000"/>
          <w:kern w:val="0"/>
          <w:sz w:val="32"/>
          <w:szCs w:val="32"/>
        </w:rPr>
        <w:t>负责指导和监督全区农村公路、桥梁、渡口、交通附属设施等涉农交通产权流转交易工作；对涉及农村公路、交通设施使用权、经营权及相关工程建设项目的交易标的进行</w:t>
      </w:r>
      <w:r>
        <w:rPr>
          <w:rStyle w:val="17"/>
          <w:rFonts w:ascii="Times New Roman" w:hAnsi="Times New Roman" w:eastAsia="仿宋_GB2312" w:cs="仿宋_GB2312"/>
          <w:b w:val="0"/>
          <w:bCs w:val="0"/>
          <w:color w:val="000000"/>
          <w:kern w:val="0"/>
          <w:sz w:val="32"/>
          <w:szCs w:val="32"/>
        </w:rPr>
        <w:t>合法性、合规性、安全性审核</w:t>
      </w:r>
      <w:r>
        <w:rPr>
          <w:rFonts w:ascii="Times New Roman" w:hAnsi="Times New Roman" w:eastAsia="仿宋_GB2312" w:cs="仿宋_GB2312"/>
          <w:color w:val="000000"/>
          <w:kern w:val="0"/>
          <w:sz w:val="32"/>
          <w:szCs w:val="32"/>
        </w:rPr>
        <w:t>，明确产权边界、使用范围与管护责任；配合区经管站做好农村交通类产权交易信息核实、交易鉴证衔接、权属确认等工作</w:t>
      </w:r>
      <w:r>
        <w:rPr>
          <w:rFonts w:hint="eastAsia" w:ascii="Times New Roman" w:hAnsi="Times New Roman" w:cs="仿宋_GB2312"/>
          <w:color w:val="000000"/>
          <w:kern w:val="0"/>
          <w:sz w:val="32"/>
          <w:szCs w:val="32"/>
          <w:lang w:eastAsia="zh-CN"/>
        </w:rPr>
        <w:t>。</w:t>
      </w:r>
    </w:p>
    <w:p w14:paraId="2431B3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区司法局：负责对我区农村产权流转交易相关政策文件进行合法性审查，指导建立交易纠纷多元调处机制，设立法律服务窗口，为交易主体提供法律咨询等服务，引导当事人通过合法途径解决交易纠纷。</w:t>
      </w:r>
    </w:p>
    <w:p w14:paraId="408C35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区市场监管局：负责配合市级做好农村产权流转交易机构的监管工作，规范交易服务收费行为，保障交易市场秩序。</w:t>
      </w:r>
    </w:p>
    <w:p w14:paraId="0DD9E3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ascii="Times New Roman" w:hAnsi="Times New Roman" w:eastAsia="仿宋_GB2312" w:cs="仿宋_GB2312"/>
          <w:color w:val="000000"/>
          <w:spacing w:val="-6"/>
          <w:kern w:val="0"/>
          <w:sz w:val="32"/>
          <w:szCs w:val="32"/>
        </w:rPr>
        <w:t>区商务局：负责依托农村产权交易平台，开展农业产业招商引资工作，推介涉农产权交易项目和农业产业项目，吸引社会资本参与农村产权开发利用。</w:t>
      </w:r>
    </w:p>
    <w:p w14:paraId="146860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rFonts w:ascii="Times New Roman" w:hAnsi="Times New Roman" w:eastAsia="仿宋_GB2312" w:cs="仿宋_GB2312"/>
          <w:color w:val="000000"/>
          <w:spacing w:val="-6"/>
          <w:kern w:val="0"/>
          <w:sz w:val="32"/>
          <w:szCs w:val="32"/>
        </w:rPr>
      </w:pPr>
      <w:r>
        <w:rPr>
          <w:rFonts w:hint="eastAsia" w:ascii="Times New Roman" w:hAnsi="Times New Roman" w:cs="仿宋_GB2312"/>
          <w:color w:val="000000"/>
          <w:spacing w:val="-6"/>
          <w:kern w:val="0"/>
          <w:sz w:val="32"/>
          <w:szCs w:val="32"/>
          <w:lang w:eastAsia="zh-CN"/>
        </w:rPr>
        <w:t>区金融办</w:t>
      </w:r>
      <w:r>
        <w:rPr>
          <w:rFonts w:ascii="Times New Roman" w:hAnsi="Times New Roman" w:eastAsia="仿宋_GB2312" w:cs="仿宋_GB2312"/>
          <w:color w:val="000000"/>
          <w:spacing w:val="-6"/>
          <w:kern w:val="0"/>
          <w:sz w:val="32"/>
          <w:szCs w:val="32"/>
        </w:rPr>
        <w:t>：负责指导辖区内金融机构建立涉农抵（质）押数据库，推动交易数据与金融机构融资数据互通共享，指导金融机构开展农村产权抵押融资业务，防范</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一权多贷</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一物多抵</w:t>
      </w:r>
      <w:r>
        <w:rPr>
          <w:rFonts w:hint="eastAsia" w:ascii="Times New Roman" w:hAnsi="Times New Roman" w:cs="仿宋_GB2312"/>
          <w:color w:val="000000"/>
          <w:spacing w:val="-6"/>
          <w:kern w:val="0"/>
          <w:sz w:val="32"/>
          <w:szCs w:val="32"/>
          <w:lang w:eastAsia="zh-CN"/>
        </w:rPr>
        <w:t>”</w:t>
      </w:r>
      <w:r>
        <w:rPr>
          <w:rFonts w:ascii="Times New Roman" w:hAnsi="Times New Roman" w:eastAsia="仿宋_GB2312" w:cs="仿宋_GB2312"/>
          <w:color w:val="000000"/>
          <w:spacing w:val="-6"/>
          <w:kern w:val="0"/>
          <w:sz w:val="32"/>
          <w:szCs w:val="32"/>
        </w:rPr>
        <w:t>金融风险。</w:t>
      </w:r>
    </w:p>
    <w:p w14:paraId="65C2C3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16" w:firstLineChars="200"/>
        <w:rPr>
          <w:color w:val="000000"/>
        </w:rPr>
      </w:pPr>
      <w:r>
        <w:rPr>
          <w:rFonts w:ascii="Times New Roman" w:hAnsi="Times New Roman" w:eastAsia="仿宋_GB2312" w:cs="仿宋_GB2312"/>
          <w:color w:val="000000"/>
          <w:spacing w:val="-6"/>
          <w:kern w:val="0"/>
          <w:sz w:val="32"/>
          <w:szCs w:val="32"/>
        </w:rPr>
        <w:t>各乡镇（街道）：负责本辖区农村产权流转交易工作的组织实施，建好乡镇（街道）服务站，配齐配强专职人员，做好辖区内交易项目的审核、上报、组织交易等工作，开展政策宣传和矛盾纠纷调解，指导村（社区）落实“四议两公开”制度和交易现场监督工作。</w:t>
      </w:r>
    </w:p>
    <w:p w14:paraId="727D9B51">
      <w:pPr>
        <w:pStyle w:val="3"/>
        <w:widowControl/>
        <w:numPr>
          <w:ilvl w:val="0"/>
          <w:numId w:val="2"/>
        </w:numPr>
        <w:topLinePunct w:val="0"/>
        <w:ind w:left="0" w:leftChars="0" w:firstLine="640" w:firstLineChars="0"/>
        <w:rPr>
          <w:rFonts w:hint="eastAsia"/>
        </w:rPr>
      </w:pPr>
      <w:r>
        <w:t>强化监督问责</w:t>
      </w:r>
    </w:p>
    <w:p w14:paraId="1F93CF9B">
      <w:pPr>
        <w:pStyle w:val="11"/>
        <w:widowControl/>
        <w:numPr>
          <w:ilvl w:val="0"/>
          <w:numId w:val="3"/>
        </w:numPr>
        <w:pBdr>
          <w:top w:val="none" w:color="auto" w:sz="0" w:space="0"/>
          <w:left w:val="none" w:color="auto" w:sz="0" w:space="0"/>
          <w:bottom w:val="none" w:color="auto" w:sz="0" w:space="0"/>
          <w:right w:val="none" w:color="auto" w:sz="0" w:space="0"/>
        </w:pBdr>
        <w:topLinePunct w:val="0"/>
        <w:ind w:left="0" w:leftChars="0" w:firstLine="616" w:firstLineChars="0"/>
        <w:rPr>
          <w:b w:val="0"/>
          <w:color w:val="000000"/>
        </w:rPr>
      </w:pPr>
      <w:r>
        <w:rPr>
          <w:color w:val="000000"/>
        </w:rPr>
        <w:t>建立常态化督查机制，区工作专班办公室联合区纪委监委</w:t>
      </w:r>
      <w:r>
        <w:rPr>
          <w:rFonts w:hint="eastAsia"/>
          <w:color w:val="000000"/>
          <w:lang w:eastAsia="zh-CN"/>
        </w:rPr>
        <w:t>、</w:t>
      </w:r>
      <w:r>
        <w:rPr>
          <w:rFonts w:hint="eastAsia"/>
          <w:color w:val="000000"/>
          <w:lang w:val="en-US" w:eastAsia="zh-CN"/>
        </w:rPr>
        <w:t>区委、政府督查室</w:t>
      </w:r>
      <w:r>
        <w:rPr>
          <w:color w:val="000000"/>
        </w:rPr>
        <w:t>每</w:t>
      </w:r>
      <w:r>
        <w:rPr>
          <w:rFonts w:hint="eastAsia"/>
          <w:color w:val="000000"/>
          <w:lang w:val="en-US" w:eastAsia="zh-CN"/>
        </w:rPr>
        <w:t>半年</w:t>
      </w:r>
      <w:r>
        <w:rPr>
          <w:color w:val="000000"/>
        </w:rPr>
        <w:t>开展一次专项督查，</w:t>
      </w:r>
      <w:r>
        <w:rPr>
          <w:rFonts w:hint="eastAsia"/>
          <w:color w:val="000000"/>
          <w:lang w:eastAsia="zh-CN"/>
        </w:rPr>
        <w:t>提请区委巡察办将“加快推进农村产权流转交易”工作纳入村（社区）巡察重点任务清单。</w:t>
      </w:r>
      <w:r>
        <w:rPr>
          <w:color w:val="000000"/>
        </w:rPr>
        <w:t>区经管站做好督查具体实施和问题台账建立，重点检查三级服务体系建设、项目进场交易、交易流程规范、鉴证书使用等情况，督查结果在全区通报</w:t>
      </w:r>
      <w:r>
        <w:rPr>
          <w:rFonts w:hint="eastAsia"/>
          <w:color w:val="000000"/>
          <w:lang w:eastAsia="zh-CN"/>
        </w:rPr>
        <w:t>，并按有关规定</w:t>
      </w:r>
      <w:r>
        <w:rPr>
          <w:rFonts w:hint="eastAsia"/>
          <w:color w:val="000000"/>
          <w:lang w:val="en-US" w:eastAsia="zh-CN"/>
        </w:rPr>
        <w:t>追</w:t>
      </w:r>
      <w:r>
        <w:rPr>
          <w:rFonts w:hint="eastAsia"/>
          <w:color w:val="000000"/>
          <w:lang w:eastAsia="zh-CN"/>
        </w:rPr>
        <w:t>责问责</w:t>
      </w:r>
      <w:r>
        <w:rPr>
          <w:color w:val="000000"/>
        </w:rPr>
        <w:t>，</w:t>
      </w:r>
      <w:r>
        <w:rPr>
          <w:rFonts w:hint="eastAsia"/>
          <w:color w:val="000000"/>
          <w:lang w:eastAsia="zh-CN"/>
        </w:rPr>
        <w:t>同时纳入</w:t>
      </w:r>
      <w:r>
        <w:rPr>
          <w:color w:val="000000"/>
        </w:rPr>
        <w:t>乡镇（街道）</w:t>
      </w:r>
      <w:r>
        <w:rPr>
          <w:rFonts w:hint="eastAsia"/>
          <w:color w:val="000000"/>
          <w:lang w:eastAsia="zh-CN"/>
        </w:rPr>
        <w:t>年度</w:t>
      </w:r>
      <w:r>
        <w:rPr>
          <w:color w:val="000000"/>
        </w:rPr>
        <w:t>绩效考核内容。</w:t>
      </w:r>
    </w:p>
    <w:p w14:paraId="0D4EC1E7">
      <w:pPr>
        <w:pStyle w:val="11"/>
        <w:widowControl/>
        <w:numPr>
          <w:ilvl w:val="0"/>
          <w:numId w:val="3"/>
        </w:numPr>
        <w:pBdr>
          <w:top w:val="none" w:color="auto" w:sz="0" w:space="0"/>
          <w:left w:val="none" w:color="auto" w:sz="0" w:space="0"/>
          <w:bottom w:val="none" w:color="auto" w:sz="0" w:space="0"/>
          <w:right w:val="none" w:color="auto" w:sz="0" w:space="0"/>
        </w:pBdr>
        <w:topLinePunct w:val="0"/>
        <w:ind w:left="0" w:leftChars="0" w:firstLine="616" w:firstLineChars="0"/>
        <w:rPr>
          <w:color w:val="000000"/>
        </w:rPr>
      </w:pPr>
      <w:r>
        <w:rPr>
          <w:color w:val="000000"/>
        </w:rPr>
        <w:t>对督查中发现的应进未进、化整为零规避进场、暗箱操作、虚假交易等行为，严肃追究相关单位和责任人责任；造成集体资产损失的，责令限期赔偿；对未履行民主决策程序、无交易鉴证书却申领补贴、办理入账或权属变更等情形，责令</w:t>
      </w:r>
      <w:r>
        <w:rPr>
          <w:rFonts w:hint="eastAsia"/>
          <w:color w:val="000000"/>
          <w:lang w:eastAsia="zh-CN"/>
        </w:rPr>
        <w:t>限期</w:t>
      </w:r>
      <w:r>
        <w:rPr>
          <w:color w:val="000000"/>
        </w:rPr>
        <w:t>整改，整改不到位的由区经管站移送纪检监察部门</w:t>
      </w:r>
      <w:r>
        <w:rPr>
          <w:rFonts w:hint="eastAsia"/>
          <w:color w:val="000000"/>
          <w:lang w:eastAsia="zh-CN"/>
        </w:rPr>
        <w:t>追责</w:t>
      </w:r>
      <w:r>
        <w:rPr>
          <w:color w:val="000000"/>
        </w:rPr>
        <w:t>问责。</w:t>
      </w:r>
    </w:p>
    <w:p w14:paraId="118C45A6">
      <w:pPr>
        <w:pStyle w:val="11"/>
        <w:widowControl/>
        <w:numPr>
          <w:ilvl w:val="0"/>
          <w:numId w:val="3"/>
        </w:numPr>
        <w:pBdr>
          <w:top w:val="none" w:color="auto" w:sz="0" w:space="0"/>
          <w:left w:val="none" w:color="auto" w:sz="0" w:space="0"/>
          <w:bottom w:val="none" w:color="auto" w:sz="0" w:space="0"/>
          <w:right w:val="none" w:color="auto" w:sz="0" w:space="0"/>
        </w:pBdr>
        <w:topLinePunct w:val="0"/>
        <w:ind w:left="0" w:leftChars="0" w:firstLine="616" w:firstLineChars="0"/>
        <w:rPr>
          <w:color w:val="000000"/>
        </w:rPr>
      </w:pPr>
      <w:r>
        <w:rPr>
          <w:color w:val="000000"/>
        </w:rPr>
        <w:t>建立举报奖励制度，由区经管站公布全区统一的举报电话、邮箱和二维码，鼓励群众、村集体经济组织成员监督农村产权交易行为，对举报线索经查实的，给予适当物质奖励，对举报人信息严格保密。</w:t>
      </w:r>
    </w:p>
    <w:p w14:paraId="7A48C182">
      <w:pPr>
        <w:pStyle w:val="3"/>
        <w:widowControl/>
        <w:numPr>
          <w:ilvl w:val="0"/>
          <w:numId w:val="2"/>
        </w:numPr>
        <w:topLinePunct w:val="0"/>
        <w:ind w:left="0" w:leftChars="0" w:firstLine="640" w:firstLineChars="0"/>
        <w:rPr>
          <w:rFonts w:hint="eastAsia"/>
          <w:highlight w:val="none"/>
        </w:rPr>
      </w:pPr>
      <w:r>
        <w:rPr>
          <w:highlight w:val="none"/>
        </w:rPr>
        <w:t>落实政策激励</w:t>
      </w:r>
    </w:p>
    <w:p w14:paraId="7CFD19D6">
      <w:pPr>
        <w:pStyle w:val="11"/>
        <w:widowControl/>
        <w:numPr>
          <w:ilvl w:val="0"/>
          <w:numId w:val="4"/>
        </w:numPr>
        <w:pBdr>
          <w:top w:val="none" w:color="auto" w:sz="0" w:space="0"/>
          <w:left w:val="none" w:color="auto" w:sz="0" w:space="0"/>
          <w:bottom w:val="none" w:color="auto" w:sz="0" w:space="0"/>
          <w:right w:val="none" w:color="auto" w:sz="0" w:space="0"/>
        </w:pBdr>
        <w:topLinePunct w:val="0"/>
        <w:ind w:left="0" w:leftChars="0" w:firstLine="616" w:firstLineChars="0"/>
        <w:rPr>
          <w:b w:val="0"/>
          <w:color w:val="000000"/>
        </w:rPr>
      </w:pPr>
      <w:r>
        <w:rPr>
          <w:color w:val="000000"/>
        </w:rPr>
        <w:t>区财政每年安排专项工作经费，列入年度财政预算，专项用于三级服务网络建设、人员培训、政策宣传和交易市场运营保障，重点保障区</w:t>
      </w:r>
      <w:r>
        <w:rPr>
          <w:rFonts w:hint="eastAsia"/>
          <w:color w:val="000000"/>
          <w:lang w:val="en-US" w:eastAsia="zh-CN"/>
        </w:rPr>
        <w:t>农村产权交易市场</w:t>
      </w:r>
      <w:r>
        <w:rPr>
          <w:color w:val="000000"/>
        </w:rPr>
        <w:t>日常工作开展，确保市场正常运转。</w:t>
      </w:r>
    </w:p>
    <w:p w14:paraId="63ECE454">
      <w:pPr>
        <w:pStyle w:val="11"/>
        <w:widowControl/>
        <w:numPr>
          <w:ilvl w:val="0"/>
          <w:numId w:val="4"/>
        </w:numPr>
        <w:pBdr>
          <w:top w:val="none" w:color="auto" w:sz="0" w:space="0"/>
          <w:left w:val="none" w:color="auto" w:sz="0" w:space="0"/>
          <w:bottom w:val="none" w:color="auto" w:sz="0" w:space="0"/>
          <w:right w:val="none" w:color="auto" w:sz="0" w:space="0"/>
        </w:pBdr>
        <w:topLinePunct w:val="0"/>
        <w:ind w:left="0" w:leftChars="0" w:firstLine="616" w:firstLineChars="0"/>
        <w:rPr>
          <w:color w:val="000000"/>
        </w:rPr>
      </w:pPr>
      <w:r>
        <w:rPr>
          <w:color w:val="000000"/>
        </w:rPr>
        <w:t>开展评优评先激励，将农村产权流转交易工作成效纳入乡村振兴</w:t>
      </w:r>
      <w:r>
        <w:rPr>
          <w:rFonts w:hint="eastAsia"/>
          <w:color w:val="000000"/>
          <w:lang w:eastAsia="zh-CN"/>
        </w:rPr>
        <w:t>考核</w:t>
      </w:r>
      <w:r>
        <w:rPr>
          <w:color w:val="000000"/>
        </w:rPr>
        <w:t>重要内容，由区经管站牵头组织工作成效考评，</w:t>
      </w:r>
      <w:r>
        <w:rPr>
          <w:color w:val="000000"/>
          <w:highlight w:val="none"/>
        </w:rPr>
        <w:t>对工作成效显著、交易规模大、群众满意度高的乡镇（街道）、村（社区）和工作表现突出的个人，在年度考核中予以</w:t>
      </w:r>
      <w:r>
        <w:rPr>
          <w:rFonts w:hint="eastAsia"/>
          <w:color w:val="000000"/>
          <w:highlight w:val="none"/>
          <w:lang w:eastAsia="zh-CN"/>
        </w:rPr>
        <w:t>优先，</w:t>
      </w:r>
      <w:r>
        <w:rPr>
          <w:color w:val="000000"/>
        </w:rPr>
        <w:t>并予以通报表扬。</w:t>
      </w:r>
    </w:p>
    <w:p w14:paraId="32F2C08E">
      <w:pPr>
        <w:pStyle w:val="3"/>
        <w:widowControl/>
        <w:numPr>
          <w:ilvl w:val="0"/>
          <w:numId w:val="2"/>
        </w:numPr>
        <w:topLinePunct w:val="0"/>
        <w:ind w:left="0" w:leftChars="0" w:firstLine="640" w:firstLineChars="0"/>
        <w:rPr>
          <w:rFonts w:hint="eastAsia" w:ascii="楷体_GB2312" w:hAnsi="楷体_GB2312" w:eastAsia="楷体_GB2312" w:cs="楷体_GB2312"/>
          <w:b w:val="0"/>
        </w:rPr>
      </w:pPr>
      <w:r>
        <w:t>加大宣传培训</w:t>
      </w:r>
    </w:p>
    <w:p w14:paraId="0B0DCF0A">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616" w:firstLineChars="0"/>
        <w:rPr>
          <w:b w:val="0"/>
          <w:color w:val="000000"/>
        </w:rPr>
      </w:pPr>
      <w:r>
        <w:rPr>
          <w:color w:val="000000"/>
        </w:rPr>
        <w:t>多渠道开展政策宣传：由区经管站牵头，通过镇村宣传栏、村民大会、微信公众号、短视频、田间地头宣讲、发放宣传手册等多种形式，全方位宣传农村产权进场交易的政策要求、操作流程、进场益处和典型案例，提高群众、村集体经济组织和新型农业经营主体的知晓率和参与积极性，2026年</w:t>
      </w:r>
      <w:r>
        <w:rPr>
          <w:rFonts w:hint="eastAsia"/>
          <w:color w:val="000000"/>
          <w:lang w:val="en-US" w:eastAsia="zh-CN"/>
        </w:rPr>
        <w:t>12</w:t>
      </w:r>
      <w:r>
        <w:rPr>
          <w:color w:val="000000"/>
        </w:rPr>
        <w:t>月底前实现政策宣传全区行政村（社区）全覆盖。</w:t>
      </w:r>
    </w:p>
    <w:p w14:paraId="631FB3E8">
      <w:pPr>
        <w:pStyle w:val="11"/>
        <w:widowControl/>
        <w:numPr>
          <w:ilvl w:val="0"/>
          <w:numId w:val="5"/>
        </w:numPr>
        <w:pBdr>
          <w:top w:val="none" w:color="auto" w:sz="0" w:space="0"/>
          <w:left w:val="none" w:color="auto" w:sz="0" w:space="0"/>
          <w:bottom w:val="none" w:color="auto" w:sz="0" w:space="0"/>
          <w:right w:val="none" w:color="auto" w:sz="0" w:space="0"/>
        </w:pBdr>
        <w:topLinePunct w:val="0"/>
        <w:ind w:left="0" w:leftChars="0" w:firstLine="616" w:firstLineChars="0"/>
        <w:rPr>
          <w:b w:val="0"/>
          <w:color w:val="000000"/>
        </w:rPr>
      </w:pPr>
      <w:r>
        <w:rPr>
          <w:rFonts w:hint="eastAsia"/>
          <w:color w:val="000000"/>
          <w:lang w:val="en-US" w:eastAsia="zh-CN"/>
        </w:rPr>
        <w:t>区经管站</w:t>
      </w:r>
      <w:r>
        <w:rPr>
          <w:color w:val="000000"/>
        </w:rPr>
        <w:t>联合市级平台，</w:t>
      </w:r>
      <w:r>
        <w:rPr>
          <w:rFonts w:hint="eastAsia"/>
          <w:color w:val="000000"/>
          <w:lang w:eastAsia="zh-CN"/>
        </w:rPr>
        <w:t>将不</w:t>
      </w:r>
      <w:r>
        <w:rPr>
          <w:color w:val="000000"/>
        </w:rPr>
        <w:t>定期组织乡镇（街道）、村（社区）工作人员开展业务培训，重点讲解交易流程、资料审核、平台操作等内容，提升基层服务能力。</w:t>
      </w:r>
    </w:p>
    <w:p w14:paraId="1AB85ACC">
      <w:pPr>
        <w:pStyle w:val="11"/>
        <w:widowControl/>
        <w:pBdr>
          <w:top w:val="none" w:color="auto" w:sz="0" w:space="0"/>
          <w:left w:val="none" w:color="auto" w:sz="0" w:space="0"/>
          <w:bottom w:val="none" w:color="auto" w:sz="0" w:space="0"/>
          <w:right w:val="none" w:color="auto" w:sz="0" w:space="0"/>
        </w:pBdr>
        <w:rPr>
          <w:rFonts w:hint="default" w:eastAsia="仿宋_GB2312"/>
          <w:color w:val="000000"/>
          <w:lang w:val="en-US" w:eastAsia="zh-CN"/>
        </w:rPr>
      </w:pPr>
      <w:r>
        <w:rPr>
          <w:color w:val="000000"/>
          <w:spacing w:val="-3"/>
        </w:rPr>
        <w:t>本意见自发布之日起施行</w:t>
      </w:r>
      <w:bookmarkStart w:id="0" w:name="_GoBack"/>
      <w:bookmarkEnd w:id="0"/>
      <w:r>
        <w:rPr>
          <w:rFonts w:hint="eastAsia"/>
          <w:color w:val="000000"/>
          <w:spacing w:val="-3"/>
          <w:lang w:eastAsia="zh-CN"/>
        </w:rPr>
        <w:t>，</w:t>
      </w:r>
      <w:r>
        <w:rPr>
          <w:rFonts w:hint="eastAsia"/>
          <w:color w:val="000000"/>
          <w:spacing w:val="-3"/>
          <w:lang w:val="en-US" w:eastAsia="zh-CN"/>
        </w:rPr>
        <w:t>有效期5年；由区经管站负责解释。</w:t>
      </w:r>
    </w:p>
    <w:p w14:paraId="0D992363">
      <w:pPr>
        <w:pStyle w:val="11"/>
        <w:widowControl/>
        <w:pBdr>
          <w:top w:val="none" w:color="auto" w:sz="0" w:space="0"/>
          <w:left w:val="none" w:color="auto" w:sz="0" w:space="0"/>
          <w:bottom w:val="none" w:color="auto" w:sz="0" w:space="0"/>
          <w:right w:val="none" w:color="auto" w:sz="0" w:space="0"/>
        </w:pBdr>
        <w:ind w:left="5254" w:leftChars="206" w:hanging="4620" w:hangingChars="1500"/>
        <w:jc w:val="center"/>
        <w:rPr>
          <w:rFonts w:hint="eastAsia"/>
          <w:color w:val="000000"/>
          <w:lang w:val="en-US" w:eastAsia="zh-CN"/>
        </w:rPr>
      </w:pPr>
    </w:p>
    <w:p w14:paraId="28C5E4E2">
      <w:pPr>
        <w:pStyle w:val="11"/>
        <w:widowControl/>
        <w:pBdr>
          <w:top w:val="none" w:color="auto" w:sz="0" w:space="0"/>
          <w:left w:val="none" w:color="auto" w:sz="0" w:space="0"/>
          <w:bottom w:val="none" w:color="auto" w:sz="0" w:space="0"/>
          <w:right w:val="none" w:color="auto" w:sz="0" w:space="0"/>
        </w:pBdr>
        <w:ind w:left="5254" w:leftChars="206" w:hanging="4620" w:hangingChars="1500"/>
        <w:jc w:val="center"/>
        <w:rPr>
          <w:rFonts w:hint="eastAsia"/>
          <w:color w:val="000000"/>
          <w:lang w:val="en-US" w:eastAsia="zh-CN"/>
        </w:rPr>
      </w:pPr>
    </w:p>
    <w:p w14:paraId="112BD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color w:val="000000"/>
          <w:sz w:val="24"/>
          <w:szCs w:val="24"/>
          <w:lang w:val="en-US" w:eastAsia="zh-CN"/>
        </w:rPr>
      </w:pPr>
    </w:p>
    <w:p w14:paraId="58FCD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ins w:id="1" w:author="Charlie" w:date="2026-04-30T15:51:48Z"/>
          <w:rFonts w:hint="eastAsia"/>
          <w:color w:val="000000"/>
          <w:sz w:val="24"/>
          <w:szCs w:val="24"/>
          <w:lang w:val="en-US" w:eastAsia="zh-CN"/>
        </w:rPr>
      </w:pPr>
    </w:p>
    <w:p w14:paraId="58B9D00D">
      <w:pPr>
        <w:rPr>
          <w:ins w:id="2" w:author="Charlie" w:date="2026-04-30T15:51:49Z"/>
          <w:rFonts w:hint="eastAsia"/>
          <w:color w:val="000000"/>
          <w:sz w:val="24"/>
          <w:szCs w:val="24"/>
          <w:lang w:val="en-US" w:eastAsia="zh-CN"/>
        </w:rPr>
      </w:pPr>
    </w:p>
    <w:p w14:paraId="7D8ACA50">
      <w:pPr>
        <w:rPr>
          <w:ins w:id="3" w:author="Charlie" w:date="2026-04-30T15:51:49Z"/>
          <w:rFonts w:hint="eastAsia"/>
          <w:color w:val="000000"/>
          <w:sz w:val="24"/>
          <w:szCs w:val="24"/>
          <w:lang w:val="en-US" w:eastAsia="zh-CN"/>
        </w:rPr>
      </w:pPr>
    </w:p>
    <w:p w14:paraId="57A73F21">
      <w:pPr>
        <w:rPr>
          <w:ins w:id="4" w:author="Charlie" w:date="2026-04-30T15:51:49Z"/>
          <w:rFonts w:hint="eastAsia"/>
          <w:color w:val="000000"/>
          <w:sz w:val="24"/>
          <w:szCs w:val="24"/>
          <w:lang w:val="en-US" w:eastAsia="zh-CN"/>
        </w:rPr>
      </w:pPr>
    </w:p>
    <w:p w14:paraId="745C7EB8">
      <w:pPr>
        <w:rPr>
          <w:ins w:id="5" w:author="Charlie" w:date="2026-04-30T15:51:49Z"/>
          <w:rFonts w:hint="eastAsia"/>
          <w:color w:val="000000"/>
          <w:sz w:val="24"/>
          <w:szCs w:val="24"/>
          <w:lang w:val="en-US" w:eastAsia="zh-CN"/>
        </w:rPr>
      </w:pPr>
    </w:p>
    <w:p w14:paraId="30B9DFB8">
      <w:pPr>
        <w:rPr>
          <w:ins w:id="6" w:author="Charlie" w:date="2026-04-30T15:51:49Z"/>
          <w:rFonts w:hint="eastAsia"/>
          <w:color w:val="000000"/>
          <w:sz w:val="24"/>
          <w:szCs w:val="24"/>
          <w:lang w:val="en-US" w:eastAsia="zh-CN"/>
        </w:rPr>
      </w:pPr>
    </w:p>
    <w:p w14:paraId="7ADCFC18">
      <w:pPr>
        <w:rPr>
          <w:ins w:id="7" w:author="Charlie" w:date="2026-04-30T15:51:50Z"/>
          <w:rFonts w:hint="eastAsia"/>
          <w:color w:val="000000"/>
          <w:sz w:val="24"/>
          <w:szCs w:val="24"/>
          <w:lang w:val="en-US" w:eastAsia="zh-CN"/>
        </w:rPr>
      </w:pPr>
    </w:p>
    <w:p w14:paraId="0811B798">
      <w:pPr>
        <w:rPr>
          <w:ins w:id="8" w:author="Charlie" w:date="2026-04-30T15:51:50Z"/>
          <w:rFonts w:hint="eastAsia"/>
          <w:color w:val="000000"/>
          <w:sz w:val="24"/>
          <w:szCs w:val="24"/>
          <w:lang w:val="en-US" w:eastAsia="zh-CN"/>
        </w:rPr>
      </w:pPr>
    </w:p>
    <w:p w14:paraId="5F060B79">
      <w:pPr>
        <w:rPr>
          <w:ins w:id="9" w:author="Charlie" w:date="2026-04-30T15:51:50Z"/>
          <w:rFonts w:hint="eastAsia"/>
          <w:color w:val="000000"/>
          <w:sz w:val="24"/>
          <w:szCs w:val="24"/>
          <w:lang w:val="en-US" w:eastAsia="zh-CN"/>
        </w:rPr>
      </w:pPr>
    </w:p>
    <w:p w14:paraId="4A3DC912">
      <w:pPr>
        <w:rPr>
          <w:ins w:id="10" w:author="Charlie" w:date="2026-04-30T15:51:50Z"/>
          <w:rFonts w:hint="eastAsia"/>
          <w:color w:val="000000"/>
          <w:sz w:val="24"/>
          <w:szCs w:val="24"/>
          <w:lang w:val="en-US" w:eastAsia="zh-CN"/>
        </w:rPr>
      </w:pPr>
    </w:p>
    <w:p w14:paraId="78E8C701">
      <w:pPr>
        <w:rPr>
          <w:ins w:id="11" w:author="Charlie" w:date="2026-04-30T16:04:16Z"/>
          <w:rFonts w:hint="eastAsia"/>
          <w:color w:val="000000"/>
          <w:sz w:val="24"/>
          <w:szCs w:val="24"/>
          <w:lang w:val="en-US" w:eastAsia="zh-CN"/>
        </w:rPr>
      </w:pPr>
    </w:p>
    <w:p w14:paraId="11D99ED9">
      <w:pPr>
        <w:rPr>
          <w:ins w:id="12" w:author="Charlie" w:date="2026-04-30T16:04:17Z"/>
          <w:rFonts w:hint="eastAsia"/>
          <w:color w:val="000000"/>
          <w:sz w:val="24"/>
          <w:szCs w:val="24"/>
          <w:lang w:val="en-US" w:eastAsia="zh-CN"/>
        </w:rPr>
      </w:pPr>
    </w:p>
    <w:p w14:paraId="103EFA09">
      <w:pPr>
        <w:rPr>
          <w:ins w:id="13" w:author="Charlie" w:date="2026-04-30T16:04:17Z"/>
          <w:rFonts w:hint="eastAsia"/>
          <w:color w:val="000000"/>
          <w:sz w:val="24"/>
          <w:szCs w:val="24"/>
          <w:lang w:val="en-US" w:eastAsia="zh-CN"/>
        </w:rPr>
      </w:pPr>
    </w:p>
    <w:p w14:paraId="715BC1EE">
      <w:pPr>
        <w:rPr>
          <w:rFonts w:hint="eastAsia"/>
          <w:color w:val="000000"/>
          <w:sz w:val="24"/>
          <w:szCs w:val="24"/>
          <w:lang w:val="en-US" w:eastAsia="zh-CN"/>
        </w:rPr>
      </w:pPr>
      <w:r>
        <w:rPr>
          <w:rFonts w:hint="eastAsia"/>
          <w:color w:val="000000"/>
          <w:sz w:val="24"/>
          <w:szCs w:val="24"/>
          <w:lang w:val="en-US" w:eastAsia="zh-CN"/>
        </w:rPr>
        <w:br w:type="page"/>
      </w:r>
    </w:p>
    <w:p w14:paraId="1C76B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rPr>
          <w:rFonts w:hint="default" w:eastAsia="黑体"/>
          <w:color w:val="000000"/>
          <w:sz w:val="24"/>
          <w:szCs w:val="24"/>
          <w:lang w:val="en-US" w:eastAsia="zh-CN"/>
        </w:rPr>
      </w:pPr>
      <w:r>
        <w:rPr>
          <w:rFonts w:hint="eastAsia"/>
          <w:color w:val="000000"/>
          <w:sz w:val="24"/>
          <w:szCs w:val="24"/>
          <w:lang w:val="en-US" w:eastAsia="zh-CN"/>
        </w:rPr>
        <w:t>附件:</w:t>
      </w:r>
    </w:p>
    <w:p w14:paraId="6D710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color w:val="000000"/>
          <w:sz w:val="32"/>
          <w:szCs w:val="32"/>
        </w:rPr>
      </w:pPr>
      <w:r>
        <w:rPr>
          <w:color w:val="000000"/>
          <w:sz w:val="32"/>
          <w:szCs w:val="32"/>
        </w:rPr>
        <w:t>益阳市资阳区农村产权“应进必进”流转交易目录（2026版）</w:t>
      </w:r>
    </w:p>
    <w:p w14:paraId="3CF64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000000"/>
          <w:sz w:val="24"/>
          <w:szCs w:val="24"/>
        </w:rPr>
      </w:pPr>
      <w:r>
        <w:rPr>
          <w:color w:val="000000"/>
          <w:sz w:val="24"/>
          <w:szCs w:val="24"/>
        </w:rPr>
        <w:t>一、应进必进类（</w:t>
      </w:r>
      <w:r>
        <w:rPr>
          <w:rFonts w:hint="eastAsia"/>
          <w:color w:val="000000"/>
          <w:sz w:val="24"/>
          <w:szCs w:val="24"/>
          <w:lang w:val="en-US" w:eastAsia="zh-CN"/>
        </w:rPr>
        <w:t>凡属于镇、村、村民小组集体经济组织的资产资源</w:t>
      </w:r>
      <w:r>
        <w:rPr>
          <w:color w:val="000000"/>
          <w:sz w:val="24"/>
          <w:szCs w:val="24"/>
        </w:rPr>
        <w:t>，</w:t>
      </w:r>
      <w:r>
        <w:rPr>
          <w:rFonts w:hint="eastAsia"/>
          <w:color w:val="000000"/>
          <w:sz w:val="24"/>
          <w:szCs w:val="24"/>
          <w:lang w:val="en-US" w:eastAsia="zh-CN"/>
        </w:rPr>
        <w:t>有流转需要的，</w:t>
      </w:r>
      <w:r>
        <w:rPr>
          <w:color w:val="000000"/>
          <w:sz w:val="24"/>
          <w:szCs w:val="24"/>
        </w:rPr>
        <w:t>必须进场交易）</w:t>
      </w:r>
    </w:p>
    <w:tbl>
      <w:tblPr>
        <w:tblStyle w:val="16"/>
        <w:tblW w:w="9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584"/>
        <w:gridCol w:w="3233"/>
        <w:gridCol w:w="1333"/>
        <w:gridCol w:w="1523"/>
      </w:tblGrid>
      <w:tr w14:paraId="1C0D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序号</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交易类别</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F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具体交易标的</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D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进场标准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B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交易方式</w:t>
            </w:r>
          </w:p>
        </w:tc>
      </w:tr>
      <w:tr w14:paraId="5C65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5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8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农村集体资源性资产</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A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集体统一经营土地、机动地、未承包到户土地经营权、“四荒”使用权、集体林地经营权/林木权属、集体水面滩涂使用权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FD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出租、转让、入股、作价出资/合作</w:t>
            </w:r>
          </w:p>
        </w:tc>
      </w:tr>
      <w:tr w14:paraId="581B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4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BF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高标准农田经营权</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D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高标准农田资产资源出租、发包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3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出租、发包</w:t>
            </w:r>
          </w:p>
        </w:tc>
      </w:tr>
      <w:tr w14:paraId="0A48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E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农村承包土地经营权</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55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农户委托村集体经济组织进行农村承包土地经营权的有偿流转</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B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出租、转让、入股、抵押</w:t>
            </w:r>
          </w:p>
        </w:tc>
      </w:tr>
      <w:tr w14:paraId="1204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C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小型水利设施使用权</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05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小型水库、山塘、渠道、泵站等（不涉公共安全）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37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承包、租赁、转让、股份合作</w:t>
            </w:r>
          </w:p>
        </w:tc>
      </w:tr>
      <w:tr w14:paraId="6DE2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6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农村集体经营性资产</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E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厂房、仓库、商铺、办公用房、集体设备、股权、经济林园等</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5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2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承包、租赁、出让、入股、合作</w:t>
            </w:r>
          </w:p>
        </w:tc>
      </w:tr>
      <w:tr w14:paraId="4332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C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0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集体工程建设项目</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AB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由财政资金或集体资金投入农村的道路、水利、村容整治、公益性 / 经营性建设项目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400万元以下</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招标、竞争性谈判</w:t>
            </w:r>
          </w:p>
        </w:tc>
      </w:tr>
      <w:tr w14:paraId="2C8F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2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7</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集体货物采购</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0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设备、材料、农资、大宗物资等</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200万元以下</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B8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公开招标、询价、磋商</w:t>
            </w:r>
          </w:p>
        </w:tc>
      </w:tr>
      <w:tr w14:paraId="77CF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B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8</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A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集体服务采购</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C3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勘察、设计、监理、咨询、物业、运营服务等</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100万元以下</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E3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公开招标、询价、磋商</w:t>
            </w:r>
          </w:p>
        </w:tc>
      </w:tr>
      <w:tr w14:paraId="08B9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3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9</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农业生产设施设备</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C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温室大棚、烘干、灌溉、养殖设施、大型农机等</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转让/出租/处置全部进场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3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转让、租赁、网络竞价</w:t>
            </w:r>
          </w:p>
        </w:tc>
      </w:tr>
      <w:tr w14:paraId="5719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农业类知识产权</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涉农专利、商标、地理标志、新品种、新技术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转让、许可、合作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A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平台撮合、法律服务</w:t>
            </w:r>
          </w:p>
        </w:tc>
      </w:tr>
      <w:tr w14:paraId="23C5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8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3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涉农产业项目招商和转让</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4D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农业招商、乡村旅游、农村电商、产销对接</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2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公开推介、规范合作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4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平台免费宣传、引流对接</w:t>
            </w:r>
          </w:p>
        </w:tc>
      </w:tr>
      <w:tr w14:paraId="4772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C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国家储备林</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22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国家储备林建设项目涉及的土地流转</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5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出租、转让、入股、作价出资/合作</w:t>
            </w:r>
          </w:p>
        </w:tc>
      </w:tr>
      <w:tr w14:paraId="2D23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F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6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农村生物资产</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85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农村集体经济组织所有的农村生物资产。即生长中的田间作物、蔬菜、中药材、用材林等消耗性生物资产和经济林等生产性生物资产</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9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9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转让、出售、合作等</w:t>
            </w:r>
          </w:p>
        </w:tc>
      </w:tr>
      <w:tr w14:paraId="1846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其他集体涉农产权</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D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集体统一盘活闲置宅基地/住宅、供销社涉农资产处置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全部进场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C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出租、合作、转让</w:t>
            </w:r>
          </w:p>
        </w:tc>
      </w:tr>
    </w:tbl>
    <w:p w14:paraId="3B7B1E89">
      <w:pPr>
        <w:pStyle w:val="3"/>
        <w:rPr>
          <w:color w:val="000000"/>
          <w:sz w:val="24"/>
          <w:szCs w:val="24"/>
        </w:rPr>
      </w:pPr>
      <w:r>
        <w:rPr>
          <w:color w:val="000000"/>
          <w:sz w:val="24"/>
          <w:szCs w:val="24"/>
        </w:rPr>
        <w:t>二、鼓励入场类（农户个人、新型经营主体等，自愿进场）</w:t>
      </w:r>
    </w:p>
    <w:tbl>
      <w:tblPr>
        <w:tblStyle w:val="16"/>
        <w:tblW w:w="9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3434"/>
        <w:gridCol w:w="1764"/>
        <w:gridCol w:w="1764"/>
        <w:gridCol w:w="1764"/>
      </w:tblGrid>
      <w:tr w14:paraId="58B3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3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序号</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4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交易类别</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D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具体交易标的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C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鼓励进场情形</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F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6"/>
                <w:kern w:val="0"/>
                <w:sz w:val="24"/>
                <w:szCs w:val="24"/>
                <w:u w:val="none"/>
                <w:lang w:val="en-US" w:eastAsia="zh-CN" w:bidi="ar"/>
              </w:rPr>
              <w:t>支持政策</w:t>
            </w:r>
          </w:p>
        </w:tc>
      </w:tr>
      <w:tr w14:paraId="5CD9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F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农户农村承包土地经营权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D5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家庭承包耕地、草地、养殖水面等经营权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4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连片流转、规模经营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7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免费信息发布、金融支持、流程规范</w:t>
            </w:r>
          </w:p>
        </w:tc>
      </w:tr>
      <w:tr w14:paraId="3E4E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2</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E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农户个人产权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4B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农户闲置住宅、林权、农业设施、大型农机具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自愿流转、规范交易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8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免费信息发布、</w:t>
            </w:r>
          </w:p>
        </w:tc>
      </w:tr>
      <w:tr w14:paraId="7E00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5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3</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新型经营主体产权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1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家庭农场、合作社产权、农业设施、股权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0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规范流转、融资需求</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5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交易鉴证、金融支持、流程规范</w:t>
            </w:r>
          </w:p>
        </w:tc>
      </w:tr>
      <w:tr w14:paraId="065E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4</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3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其他个人/社会主体产权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85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依法可流转的其他涉农产权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2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自愿进场、阳光交易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2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全程线上、便捷高效、风险可控</w:t>
            </w:r>
          </w:p>
        </w:tc>
      </w:tr>
    </w:tbl>
    <w:p w14:paraId="642F71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color w:val="000000"/>
          <w:sz w:val="24"/>
          <w:szCs w:val="24"/>
        </w:rPr>
      </w:pPr>
      <w:r>
        <w:rPr>
          <w:rStyle w:val="18"/>
          <w:rFonts w:hint="eastAsia"/>
          <w:b/>
          <w:bCs/>
          <w:color w:val="000000"/>
          <w:sz w:val="24"/>
          <w:szCs w:val="24"/>
          <w:lang w:val="en-US" w:eastAsia="zh-CN"/>
        </w:rPr>
        <w:t>1.</w:t>
      </w:r>
      <w:r>
        <w:rPr>
          <w:rStyle w:val="18"/>
          <w:b/>
          <w:bCs/>
          <w:color w:val="000000"/>
          <w:sz w:val="24"/>
          <w:szCs w:val="24"/>
        </w:rPr>
        <w:t>应进必进</w:t>
      </w:r>
      <w:r>
        <w:rPr>
          <w:color w:val="000000"/>
          <w:sz w:val="24"/>
          <w:szCs w:val="24"/>
        </w:rPr>
        <w:t>：凡列入第一类的农村集体产权，必须通过益阳市农村产权交易中心平台公开交易，严禁场外交易、化整为零规避进场</w:t>
      </w:r>
      <w:r>
        <w:rPr>
          <w:rFonts w:hint="eastAsia"/>
          <w:color w:val="000000"/>
          <w:sz w:val="24"/>
          <w:szCs w:val="24"/>
          <w:lang w:eastAsia="zh-CN"/>
        </w:rPr>
        <w:t>。</w:t>
      </w:r>
    </w:p>
    <w:p w14:paraId="60CA35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cs="Times New Roman"/>
          <w:color w:val="000000"/>
          <w:sz w:val="24"/>
          <w:szCs w:val="24"/>
        </w:rPr>
      </w:pPr>
      <w:r>
        <w:rPr>
          <w:rStyle w:val="18"/>
          <w:rFonts w:hint="eastAsia"/>
          <w:b/>
          <w:bCs/>
          <w:color w:val="000000"/>
          <w:sz w:val="24"/>
          <w:szCs w:val="24"/>
          <w:lang w:val="en-US" w:eastAsia="zh-CN"/>
        </w:rPr>
        <w:t>2.</w:t>
      </w:r>
      <w:r>
        <w:rPr>
          <w:rStyle w:val="18"/>
          <w:b/>
          <w:bCs/>
          <w:color w:val="000000"/>
          <w:sz w:val="24"/>
          <w:szCs w:val="24"/>
        </w:rPr>
        <w:t>鼓励入场</w:t>
      </w:r>
      <w:r>
        <w:rPr>
          <w:color w:val="000000"/>
          <w:sz w:val="24"/>
          <w:szCs w:val="24"/>
        </w:rPr>
        <w:t>：第二类实</w:t>
      </w:r>
      <w:r>
        <w:rPr>
          <w:rFonts w:cs="Times New Roman"/>
          <w:color w:val="000000"/>
          <w:sz w:val="24"/>
          <w:szCs w:val="24"/>
        </w:rPr>
        <w:t>行自愿进场</w:t>
      </w:r>
      <w:r>
        <w:rPr>
          <w:rFonts w:hint="eastAsia" w:cs="Times New Roman"/>
          <w:color w:val="000000"/>
          <w:sz w:val="24"/>
          <w:szCs w:val="24"/>
          <w:lang w:eastAsia="zh-CN"/>
        </w:rPr>
        <w:t>。</w:t>
      </w:r>
    </w:p>
    <w:p w14:paraId="3D4BC7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cs="Times New Roman"/>
          <w:color w:val="000000"/>
          <w:sz w:val="24"/>
          <w:szCs w:val="24"/>
          <w:lang w:val="en-US" w:eastAsia="zh-CN"/>
        </w:rPr>
      </w:pPr>
      <w:r>
        <w:rPr>
          <w:rFonts w:hint="eastAsia" w:cs="Times New Roman"/>
          <w:color w:val="000000"/>
          <w:sz w:val="24"/>
          <w:szCs w:val="24"/>
          <w:lang w:val="en-US" w:eastAsia="zh-CN"/>
        </w:rPr>
        <w:t>3.</w:t>
      </w:r>
      <w:r>
        <w:rPr>
          <w:rFonts w:cs="Times New Roman"/>
          <w:color w:val="000000"/>
          <w:sz w:val="24"/>
          <w:szCs w:val="24"/>
        </w:rPr>
        <w:t>本目录“以上、以下”均含本数；限额与上级不一致的，按上级政策执行。</w:t>
      </w:r>
    </w:p>
    <w:p w14:paraId="2401D1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cs="Times New Roman"/>
          <w:color w:val="000000"/>
          <w:sz w:val="24"/>
          <w:szCs w:val="24"/>
          <w:lang w:val="en-US" w:eastAsia="zh-CN"/>
        </w:rPr>
      </w:pPr>
      <w:r>
        <w:rPr>
          <w:rFonts w:hint="eastAsia" w:cs="Times New Roman"/>
          <w:color w:val="000000"/>
          <w:sz w:val="24"/>
          <w:szCs w:val="24"/>
          <w:lang w:val="en-US" w:eastAsia="zh-CN"/>
        </w:rPr>
        <w:t>4.</w:t>
      </w:r>
      <w:r>
        <w:rPr>
          <w:rFonts w:cs="Times New Roman"/>
          <w:color w:val="000000"/>
          <w:sz w:val="24"/>
          <w:szCs w:val="24"/>
        </w:rPr>
        <w:t>本目录由区经管站负责解释，实行动态更新。</w:t>
      </w:r>
    </w:p>
    <w:p w14:paraId="398F9D25">
      <w:pPr>
        <w:widowControl/>
        <w:numPr>
          <w:ilvl w:val="0"/>
          <w:numId w:val="0"/>
        </w:numPr>
        <w:pBdr>
          <w:top w:val="none" w:color="auto" w:sz="0" w:space="0"/>
          <w:left w:val="none" w:color="auto" w:sz="0" w:space="0"/>
          <w:bottom w:val="none" w:color="auto" w:sz="0" w:space="0"/>
          <w:right w:val="none" w:color="auto" w:sz="0" w:space="0"/>
        </w:pBdr>
        <w:bidi w:val="0"/>
        <w:spacing w:line="360" w:lineRule="atLeast"/>
        <w:ind w:left="-360" w:leftChars="0"/>
        <w:jc w:val="left"/>
        <w:rPr>
          <w:rFonts w:hint="default"/>
          <w:lang w:val="en-US" w:eastAsia="zh-CN"/>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F36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5356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5035356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FAF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5200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26C5200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54412">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7C4B">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7B8F9"/>
    <w:multiLevelType w:val="singleLevel"/>
    <w:tmpl w:val="C657B8F9"/>
    <w:lvl w:ilvl="0" w:tentative="0">
      <w:start w:val="1"/>
      <w:numFmt w:val="decimal"/>
      <w:suff w:val="nothing"/>
      <w:lvlText w:val="%1．"/>
      <w:lvlJc w:val="left"/>
      <w:pPr>
        <w:ind w:left="0" w:firstLine="616"/>
      </w:pPr>
      <w:rPr>
        <w:rFonts w:hint="default"/>
      </w:rPr>
    </w:lvl>
  </w:abstractNum>
  <w:abstractNum w:abstractNumId="1">
    <w:nsid w:val="F9D4879E"/>
    <w:multiLevelType w:val="singleLevel"/>
    <w:tmpl w:val="F9D4879E"/>
    <w:lvl w:ilvl="0" w:tentative="0">
      <w:start w:val="1"/>
      <w:numFmt w:val="decimal"/>
      <w:suff w:val="nothing"/>
      <w:lvlText w:val="%1．"/>
      <w:lvlJc w:val="left"/>
      <w:pPr>
        <w:ind w:left="0" w:firstLine="616"/>
      </w:pPr>
      <w:rPr>
        <w:rFonts w:hint="default"/>
      </w:rPr>
    </w:lvl>
  </w:abstractNum>
  <w:abstractNum w:abstractNumId="2">
    <w:nsid w:val="0DE7B142"/>
    <w:multiLevelType w:val="singleLevel"/>
    <w:tmpl w:val="0DE7B142"/>
    <w:lvl w:ilvl="0" w:tentative="0">
      <w:start w:val="1"/>
      <w:numFmt w:val="decimal"/>
      <w:suff w:val="nothing"/>
      <w:lvlText w:val="%1．"/>
      <w:lvlJc w:val="left"/>
      <w:pPr>
        <w:ind w:left="0" w:firstLine="616"/>
      </w:pPr>
      <w:rPr>
        <w:rFonts w:hint="default"/>
      </w:rPr>
    </w:lvl>
  </w:abstractNum>
  <w:abstractNum w:abstractNumId="3">
    <w:nsid w:val="279E7841"/>
    <w:multiLevelType w:val="singleLevel"/>
    <w:tmpl w:val="279E7841"/>
    <w:lvl w:ilvl="0" w:tentative="0">
      <w:start w:val="1"/>
      <w:numFmt w:val="decimal"/>
      <w:suff w:val="nothing"/>
      <w:lvlText w:val="%1．"/>
      <w:lvlJc w:val="left"/>
      <w:pPr>
        <w:ind w:left="0" w:firstLine="616"/>
      </w:pPr>
      <w:rPr>
        <w:rFonts w:hint="default"/>
      </w:rPr>
    </w:lvl>
  </w:abstractNum>
  <w:abstractNum w:abstractNumId="4">
    <w:nsid w:val="7D8A70B4"/>
    <w:multiLevelType w:val="singleLevel"/>
    <w:tmpl w:val="7D8A70B4"/>
    <w:lvl w:ilvl="0" w:tentative="0">
      <w:start w:val="1"/>
      <w:numFmt w:val="taiwaneseCounting"/>
      <w:suff w:val="nothing"/>
      <w:lvlText w:val="（%1）"/>
      <w:lvlJc w:val="left"/>
      <w:pPr>
        <w:ind w:left="0" w:firstLine="64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rlie">
    <w15:presenceInfo w15:providerId="WPS Office" w15:userId="2112190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143C"/>
    <w:rsid w:val="00FC206D"/>
    <w:rsid w:val="012D66CB"/>
    <w:rsid w:val="01CF1530"/>
    <w:rsid w:val="01F40F97"/>
    <w:rsid w:val="023C6A72"/>
    <w:rsid w:val="02493090"/>
    <w:rsid w:val="025A529E"/>
    <w:rsid w:val="02CD3CC1"/>
    <w:rsid w:val="03231B33"/>
    <w:rsid w:val="038D3451"/>
    <w:rsid w:val="03FC3D7E"/>
    <w:rsid w:val="043F0BEF"/>
    <w:rsid w:val="044E07E2"/>
    <w:rsid w:val="04510922"/>
    <w:rsid w:val="04C66C1A"/>
    <w:rsid w:val="04EB042F"/>
    <w:rsid w:val="05BC65D5"/>
    <w:rsid w:val="064810A9"/>
    <w:rsid w:val="0673692E"/>
    <w:rsid w:val="06DC2725"/>
    <w:rsid w:val="07A34A0B"/>
    <w:rsid w:val="07F7358F"/>
    <w:rsid w:val="086E3851"/>
    <w:rsid w:val="087B5F6E"/>
    <w:rsid w:val="08A2799E"/>
    <w:rsid w:val="09AA4D5C"/>
    <w:rsid w:val="0AA479FE"/>
    <w:rsid w:val="0B923CFA"/>
    <w:rsid w:val="0BE300B2"/>
    <w:rsid w:val="0BF71DAF"/>
    <w:rsid w:val="0C2030B4"/>
    <w:rsid w:val="0C232BA4"/>
    <w:rsid w:val="0C801DA5"/>
    <w:rsid w:val="0CEC568C"/>
    <w:rsid w:val="0D6936EF"/>
    <w:rsid w:val="0DDF0D4D"/>
    <w:rsid w:val="0F7756E1"/>
    <w:rsid w:val="10463305"/>
    <w:rsid w:val="10C81F6C"/>
    <w:rsid w:val="11BC387F"/>
    <w:rsid w:val="124F64A1"/>
    <w:rsid w:val="12C30C3D"/>
    <w:rsid w:val="1360648C"/>
    <w:rsid w:val="13971420"/>
    <w:rsid w:val="13C317BF"/>
    <w:rsid w:val="14067033"/>
    <w:rsid w:val="14C8253B"/>
    <w:rsid w:val="15A22D8C"/>
    <w:rsid w:val="16D231FD"/>
    <w:rsid w:val="16F77107"/>
    <w:rsid w:val="183028D1"/>
    <w:rsid w:val="18956BD8"/>
    <w:rsid w:val="19434886"/>
    <w:rsid w:val="19FA13E8"/>
    <w:rsid w:val="1A0C2EC9"/>
    <w:rsid w:val="1AE16104"/>
    <w:rsid w:val="1B2D1349"/>
    <w:rsid w:val="1B903686"/>
    <w:rsid w:val="1D3F35B6"/>
    <w:rsid w:val="1D5232E9"/>
    <w:rsid w:val="1D666D95"/>
    <w:rsid w:val="1D725739"/>
    <w:rsid w:val="1DBA2336"/>
    <w:rsid w:val="1DD91315"/>
    <w:rsid w:val="1E3D5D47"/>
    <w:rsid w:val="1E3F575D"/>
    <w:rsid w:val="1E42335E"/>
    <w:rsid w:val="20AE6A88"/>
    <w:rsid w:val="212D20A3"/>
    <w:rsid w:val="218E68BA"/>
    <w:rsid w:val="22B67E76"/>
    <w:rsid w:val="232079E6"/>
    <w:rsid w:val="238B30B1"/>
    <w:rsid w:val="239A1546"/>
    <w:rsid w:val="252C4420"/>
    <w:rsid w:val="2536529E"/>
    <w:rsid w:val="25585215"/>
    <w:rsid w:val="257D2ECD"/>
    <w:rsid w:val="25956469"/>
    <w:rsid w:val="265E4AAD"/>
    <w:rsid w:val="26681488"/>
    <w:rsid w:val="26BE19EF"/>
    <w:rsid w:val="26EC20B9"/>
    <w:rsid w:val="27457A1B"/>
    <w:rsid w:val="276F4A98"/>
    <w:rsid w:val="27787DF0"/>
    <w:rsid w:val="280D678A"/>
    <w:rsid w:val="28FC05AD"/>
    <w:rsid w:val="292875F4"/>
    <w:rsid w:val="29D06DA5"/>
    <w:rsid w:val="29FF2103"/>
    <w:rsid w:val="2A1C2CB5"/>
    <w:rsid w:val="2CFB12A7"/>
    <w:rsid w:val="2F1C3757"/>
    <w:rsid w:val="2F947791"/>
    <w:rsid w:val="312608BD"/>
    <w:rsid w:val="31653193"/>
    <w:rsid w:val="31E71DFA"/>
    <w:rsid w:val="31E85B72"/>
    <w:rsid w:val="32026C34"/>
    <w:rsid w:val="32437968"/>
    <w:rsid w:val="32D63C1D"/>
    <w:rsid w:val="33527747"/>
    <w:rsid w:val="339A10EE"/>
    <w:rsid w:val="339F04B3"/>
    <w:rsid w:val="33F702EF"/>
    <w:rsid w:val="34594B05"/>
    <w:rsid w:val="352B64A2"/>
    <w:rsid w:val="3592207D"/>
    <w:rsid w:val="35E825E5"/>
    <w:rsid w:val="36323860"/>
    <w:rsid w:val="364517E5"/>
    <w:rsid w:val="36592B9B"/>
    <w:rsid w:val="37490E61"/>
    <w:rsid w:val="37C91115"/>
    <w:rsid w:val="381256F7"/>
    <w:rsid w:val="383B4C4E"/>
    <w:rsid w:val="38910D12"/>
    <w:rsid w:val="38991974"/>
    <w:rsid w:val="38BF587F"/>
    <w:rsid w:val="38FB262F"/>
    <w:rsid w:val="39302FDA"/>
    <w:rsid w:val="39916AF0"/>
    <w:rsid w:val="3AB1745E"/>
    <w:rsid w:val="3AB331C1"/>
    <w:rsid w:val="3ABE56C2"/>
    <w:rsid w:val="3B9F07E0"/>
    <w:rsid w:val="3C123F18"/>
    <w:rsid w:val="3CD13DD3"/>
    <w:rsid w:val="3CE82ECA"/>
    <w:rsid w:val="3D0D2931"/>
    <w:rsid w:val="3DB16F47"/>
    <w:rsid w:val="3E047890"/>
    <w:rsid w:val="3EA572C5"/>
    <w:rsid w:val="3ED01E68"/>
    <w:rsid w:val="3F185CE9"/>
    <w:rsid w:val="3F3D5750"/>
    <w:rsid w:val="3F5E7474"/>
    <w:rsid w:val="3FF12096"/>
    <w:rsid w:val="4002048C"/>
    <w:rsid w:val="401C5365"/>
    <w:rsid w:val="40303042"/>
    <w:rsid w:val="40503261"/>
    <w:rsid w:val="407F76A2"/>
    <w:rsid w:val="40833636"/>
    <w:rsid w:val="40D479EE"/>
    <w:rsid w:val="40E165AE"/>
    <w:rsid w:val="40F7192E"/>
    <w:rsid w:val="412E6E7D"/>
    <w:rsid w:val="414C3A28"/>
    <w:rsid w:val="41E9396D"/>
    <w:rsid w:val="42C972FA"/>
    <w:rsid w:val="42DF6B1E"/>
    <w:rsid w:val="42FE0D52"/>
    <w:rsid w:val="43AA712C"/>
    <w:rsid w:val="4453331F"/>
    <w:rsid w:val="44E81CBA"/>
    <w:rsid w:val="453D54F3"/>
    <w:rsid w:val="45433394"/>
    <w:rsid w:val="45513D03"/>
    <w:rsid w:val="462A6302"/>
    <w:rsid w:val="477C2B8D"/>
    <w:rsid w:val="47C702AC"/>
    <w:rsid w:val="47D44777"/>
    <w:rsid w:val="47D604EF"/>
    <w:rsid w:val="48A4239B"/>
    <w:rsid w:val="48DD3AFF"/>
    <w:rsid w:val="4A084BAC"/>
    <w:rsid w:val="4A2C5E4E"/>
    <w:rsid w:val="4BC0600B"/>
    <w:rsid w:val="4BF76C86"/>
    <w:rsid w:val="4C7D53DD"/>
    <w:rsid w:val="4C87000A"/>
    <w:rsid w:val="4D2B4E39"/>
    <w:rsid w:val="4DCF7EBB"/>
    <w:rsid w:val="4DE66FB2"/>
    <w:rsid w:val="4E061402"/>
    <w:rsid w:val="4FD44DD1"/>
    <w:rsid w:val="504F52E3"/>
    <w:rsid w:val="510C66BA"/>
    <w:rsid w:val="513149E8"/>
    <w:rsid w:val="51E82797"/>
    <w:rsid w:val="52354064"/>
    <w:rsid w:val="52903990"/>
    <w:rsid w:val="52D2108D"/>
    <w:rsid w:val="52ED2B91"/>
    <w:rsid w:val="537868FE"/>
    <w:rsid w:val="53E775E0"/>
    <w:rsid w:val="5426635A"/>
    <w:rsid w:val="54BE2A37"/>
    <w:rsid w:val="55214D74"/>
    <w:rsid w:val="55452810"/>
    <w:rsid w:val="56C105BC"/>
    <w:rsid w:val="56F02C50"/>
    <w:rsid w:val="58B55EFF"/>
    <w:rsid w:val="591404C5"/>
    <w:rsid w:val="596A0A97"/>
    <w:rsid w:val="5A2E5F69"/>
    <w:rsid w:val="5A783688"/>
    <w:rsid w:val="5B8655E5"/>
    <w:rsid w:val="5B9462A0"/>
    <w:rsid w:val="5BE10DB9"/>
    <w:rsid w:val="5C82259C"/>
    <w:rsid w:val="5C9C18B0"/>
    <w:rsid w:val="5D121B72"/>
    <w:rsid w:val="5D681792"/>
    <w:rsid w:val="5E317DD6"/>
    <w:rsid w:val="5FE377F5"/>
    <w:rsid w:val="6084507E"/>
    <w:rsid w:val="60B75DB1"/>
    <w:rsid w:val="62606EDB"/>
    <w:rsid w:val="628726BA"/>
    <w:rsid w:val="62C27B96"/>
    <w:rsid w:val="62C84A81"/>
    <w:rsid w:val="62D82F16"/>
    <w:rsid w:val="63534C92"/>
    <w:rsid w:val="64601415"/>
    <w:rsid w:val="64C86FBA"/>
    <w:rsid w:val="65183A9D"/>
    <w:rsid w:val="68045EB2"/>
    <w:rsid w:val="680B78E9"/>
    <w:rsid w:val="683926A8"/>
    <w:rsid w:val="683F3A37"/>
    <w:rsid w:val="686314D3"/>
    <w:rsid w:val="687E630D"/>
    <w:rsid w:val="6BB43DF4"/>
    <w:rsid w:val="6C6121CE"/>
    <w:rsid w:val="6D7A7229"/>
    <w:rsid w:val="6DFE7B16"/>
    <w:rsid w:val="6F165D50"/>
    <w:rsid w:val="6F213E96"/>
    <w:rsid w:val="6FA348AB"/>
    <w:rsid w:val="704F53B5"/>
    <w:rsid w:val="71F87130"/>
    <w:rsid w:val="728E1843"/>
    <w:rsid w:val="72C34258"/>
    <w:rsid w:val="72F35B4A"/>
    <w:rsid w:val="73487C44"/>
    <w:rsid w:val="73E831D5"/>
    <w:rsid w:val="740C0C71"/>
    <w:rsid w:val="74BB4445"/>
    <w:rsid w:val="74FF2584"/>
    <w:rsid w:val="7514798A"/>
    <w:rsid w:val="756338A7"/>
    <w:rsid w:val="75D27C98"/>
    <w:rsid w:val="763C5112"/>
    <w:rsid w:val="769413F2"/>
    <w:rsid w:val="76E9529A"/>
    <w:rsid w:val="778E5E41"/>
    <w:rsid w:val="77B67CF7"/>
    <w:rsid w:val="783C589D"/>
    <w:rsid w:val="788B305D"/>
    <w:rsid w:val="791228F9"/>
    <w:rsid w:val="79CC49FF"/>
    <w:rsid w:val="79DC10E6"/>
    <w:rsid w:val="7A41363F"/>
    <w:rsid w:val="7A5073DE"/>
    <w:rsid w:val="7A6F196A"/>
    <w:rsid w:val="7A6F5462"/>
    <w:rsid w:val="7AA80FC8"/>
    <w:rsid w:val="7AAA2F92"/>
    <w:rsid w:val="7B6B0973"/>
    <w:rsid w:val="7C354ADD"/>
    <w:rsid w:val="7C885555"/>
    <w:rsid w:val="7CA103C5"/>
    <w:rsid w:val="7D1144BC"/>
    <w:rsid w:val="7D1868D9"/>
    <w:rsid w:val="7D225061"/>
    <w:rsid w:val="7D2A2168"/>
    <w:rsid w:val="7DDA1DE0"/>
    <w:rsid w:val="7EF8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0"/>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Strong"/>
    <w:basedOn w:val="17"/>
    <w:qFormat/>
    <w:uiPriority w:val="0"/>
    <w:rPr>
      <w:b/>
    </w:rPr>
  </w:style>
  <w:style w:type="paragraph" w:customStyle="1" w:styleId="19">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20">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5374</Words>
  <Characters>5402</Characters>
  <Lines>0</Lines>
  <Paragraphs>0</Paragraphs>
  <TotalTime>324</TotalTime>
  <ScaleCrop>false</ScaleCrop>
  <LinksUpToDate>false</LinksUpToDate>
  <CharactersWithSpaces>5402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2026-02-04T08:41:00Z</dcterms:created>
  <dc:creator>13135078688</dc:creator>
  <cp:lastModifiedBy>Bruce_Neeal</cp:lastModifiedBy>
  <cp:lastPrinted>2026-05-06T06:59:00Z</cp:lastPrinted>
  <dcterms:modified xsi:type="dcterms:W3CDTF">2026-05-06T07:26:21Z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DACFC4C1D25D4FDDAD8DD3F0BD26ED72_13</vt:lpwstr>
  </property>
  <property fmtid="{D5CDD505-2E9C-101B-9397-08002B2CF9AE}" pid="4" name="KSOTemplateDocerSaveRecord">
    <vt:lpwstr>eyJoZGlkIjoiMWY1NjM3MmJlY2YzNzUzMmU0MjZhMDQzZDFlOGFkZTkiLCJ1c2VySWQiOiIyOTkzMDE4NDkifQ==</vt:lpwstr>
  </property>
</Properties>
</file>