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A9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6911E8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益阳市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重大科技攻关项目需求表</w:t>
      </w:r>
    </w:p>
    <w:p w14:paraId="2BFEC0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right"/>
        <w:textAlignment w:val="auto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（单位盖章）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 w:eastAsia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填报日期：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日</w:t>
      </w:r>
    </w:p>
    <w:tbl>
      <w:tblPr>
        <w:tblStyle w:val="4"/>
        <w:tblW w:w="95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13"/>
        <w:gridCol w:w="708"/>
        <w:gridCol w:w="430"/>
        <w:gridCol w:w="560"/>
        <w:gridCol w:w="85"/>
        <w:gridCol w:w="1255"/>
        <w:gridCol w:w="540"/>
        <w:gridCol w:w="160"/>
        <w:gridCol w:w="2041"/>
      </w:tblGrid>
      <w:tr w14:paraId="550FC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91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一、需求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提出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11E0A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5055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CF60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4480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所在县市区</w:t>
            </w:r>
          </w:p>
        </w:tc>
        <w:tc>
          <w:tcPr>
            <w:tcW w:w="2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3C7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1C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322341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C1D566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8AA2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28E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19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CF6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val="en" w:bidi="ar"/>
              </w:rPr>
              <w:t>需求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" w:bidi="ar"/>
              </w:rPr>
              <w:t>来源渠道</w:t>
            </w:r>
          </w:p>
        </w:tc>
      </w:tr>
      <w:tr w14:paraId="734A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1FFDC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市科技局组织凝练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县市区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科技主管部门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组织凝练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   </w:t>
            </w:r>
          </w:p>
          <w:p w14:paraId="268540B8">
            <w:pPr>
              <w:widowControl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独立申报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</w:p>
        </w:tc>
      </w:tr>
      <w:tr w14:paraId="635F5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BF1A3">
            <w:pPr>
              <w:widowControl/>
              <w:jc w:val="left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三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、需求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具体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  <w:lang w:bidi="ar"/>
              </w:rPr>
              <w:t>信息</w:t>
            </w:r>
          </w:p>
        </w:tc>
      </w:tr>
      <w:tr w14:paraId="2ADC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EE0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需求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99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852A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D7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7E06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领域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(仅选择一个)</w:t>
            </w:r>
          </w:p>
        </w:tc>
        <w:tc>
          <w:tcPr>
            <w:tcW w:w="7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DA2E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信息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材料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制造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空天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能源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交通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现代服务业 </w:t>
            </w:r>
          </w:p>
          <w:p w14:paraId="2962041C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农业农村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食品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生物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资源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环境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人口健康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海洋 </w:t>
            </w:r>
          </w:p>
          <w:p w14:paraId="48C4D3FF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公共安全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城镇化与城市发展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前沿交叉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</w:p>
        </w:tc>
      </w:tr>
      <w:tr w14:paraId="053C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C4B5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  <w:lang w:bidi="ar"/>
              </w:rPr>
              <w:t>所属</w:t>
            </w:r>
            <w:r>
              <w:rPr>
                <w:rFonts w:hint="eastAsia" w:ascii="Times New Roman" w:hAnsi="Times New Roman" w:eastAsia="仿宋_GB2312" w:cstheme="minorBidi"/>
                <w:kern w:val="0"/>
                <w:sz w:val="28"/>
                <w:szCs w:val="28"/>
                <w:lang w:eastAsia="zh-CN" w:bidi="ar"/>
              </w:rPr>
              <w:t>省“</w:t>
            </w:r>
            <w:r>
              <w:rPr>
                <w:rFonts w:hint="eastAsia" w:ascii="Times New Roman" w:hAnsi="Times New Roman" w:eastAsia="仿宋_GB2312" w:cstheme="minorBidi"/>
                <w:kern w:val="0"/>
                <w:sz w:val="28"/>
                <w:szCs w:val="28"/>
                <w:lang w:val="en-US" w:eastAsia="zh-CN" w:bidi="ar"/>
              </w:rPr>
              <w:t>4×4</w:t>
            </w:r>
            <w:r>
              <w:rPr>
                <w:rFonts w:hint="eastAsia" w:ascii="Times New Roman" w:hAnsi="Times New Roman" w:eastAsia="仿宋_GB2312" w:cstheme="minorBidi"/>
                <w:kern w:val="0"/>
                <w:sz w:val="28"/>
                <w:szCs w:val="28"/>
                <w:lang w:eastAsia="zh-CN" w:bidi="ar"/>
              </w:rPr>
              <w:t>”现代化产业体系</w:t>
            </w: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  <w:lang w:bidi="ar"/>
              </w:rPr>
              <w:t>(仅选择一个)</w:t>
            </w:r>
          </w:p>
        </w:tc>
        <w:tc>
          <w:tcPr>
            <w:tcW w:w="7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44E9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现代石化 □绿色矿业 □食品加工 □轻工纺织 □工程机械</w:t>
            </w:r>
          </w:p>
          <w:p w14:paraId="4A8D2C7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□轨道交通装备 □现代农业 □文化旅游 □数字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产业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□新能源 </w:t>
            </w:r>
          </w:p>
          <w:p w14:paraId="7FF3326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□大健康 □空天海洋 □人工智能 □量子科技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前沿材料</w:t>
            </w:r>
          </w:p>
          <w:p w14:paraId="40F3A9A5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□生命工程 □安全应急 □资源环境  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   </w:t>
            </w:r>
          </w:p>
        </w:tc>
      </w:tr>
      <w:tr w14:paraId="1C8BF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2FC5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市“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3342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”现代化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产业(仅选择一个)</w:t>
            </w:r>
          </w:p>
        </w:tc>
        <w:tc>
          <w:tcPr>
            <w:tcW w:w="799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□食品加工 □轻工纺织 □建材家居</w:t>
            </w:r>
          </w:p>
          <w:p w14:paraId="638E0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□电子信息 □现代农业 □文化旅游 </w:t>
            </w:r>
          </w:p>
          <w:p w14:paraId="12E59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□新能源   □新材料   □高端装备制造 □生物医药</w:t>
            </w:r>
          </w:p>
          <w:p w14:paraId="3D276B1A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□人工智能 □低空经济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099C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2B9D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0A4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35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8EA2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预期水平</w:t>
            </w:r>
          </w:p>
        </w:tc>
        <w:tc>
          <w:tcPr>
            <w:tcW w:w="7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2217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□国际领先      □国内领先      </w:t>
            </w:r>
          </w:p>
          <w:p w14:paraId="25A665C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国际先进      □国内先进        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     </w:t>
            </w:r>
          </w:p>
        </w:tc>
      </w:tr>
      <w:tr w14:paraId="5BE68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1DC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技术成熟度等级</w:t>
            </w:r>
          </w:p>
        </w:tc>
        <w:tc>
          <w:tcPr>
            <w:tcW w:w="3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0F11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bidi="ar"/>
              </w:rPr>
              <w:t>当前等级：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3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6B07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bidi="ar"/>
              </w:rPr>
              <w:t>攻关后等级：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11E51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D968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攻关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类型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（可多选）</w:t>
            </w:r>
          </w:p>
        </w:tc>
        <w:tc>
          <w:tcPr>
            <w:tcW w:w="7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3EF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“卡脖子”技术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填补国内空白技术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国产化替代</w:t>
            </w:r>
          </w:p>
          <w:p w14:paraId="60FC9D0A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前沿颠覆性技术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关键共性技术     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  </w:t>
            </w:r>
          </w:p>
        </w:tc>
      </w:tr>
      <w:tr w14:paraId="1EDAB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D6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预期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研发投入</w:t>
            </w:r>
          </w:p>
        </w:tc>
        <w:tc>
          <w:tcPr>
            <w:tcW w:w="3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D3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总投资（万元）</w:t>
            </w:r>
          </w:p>
        </w:tc>
        <w:tc>
          <w:tcPr>
            <w:tcW w:w="3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53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建议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财政支持经费（万元）</w:t>
            </w:r>
          </w:p>
        </w:tc>
      </w:tr>
      <w:tr w14:paraId="2D89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1FD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60F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187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</w:tr>
      <w:tr w14:paraId="1621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77D8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注：项目资金不得列支基建费和土地使用权转让费。</w:t>
            </w:r>
          </w:p>
        </w:tc>
      </w:tr>
      <w:tr w14:paraId="12C0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A8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攻关时限</w:t>
            </w:r>
          </w:p>
        </w:tc>
        <w:tc>
          <w:tcPr>
            <w:tcW w:w="7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C42E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  </w:t>
            </w:r>
          </w:p>
        </w:tc>
      </w:tr>
      <w:tr w14:paraId="5DCD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1310E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推荐攻关单位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B759D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牵头单位</w:t>
            </w:r>
          </w:p>
        </w:tc>
        <w:tc>
          <w:tcPr>
            <w:tcW w:w="5779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0295ED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5EDC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97DA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F0FE80">
            <w:pPr>
              <w:widowControl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02775B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E90F05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5D24"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6E60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9278F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3B630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类型</w:t>
            </w:r>
          </w:p>
          <w:p w14:paraId="348990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  <w:lang w:bidi="ar"/>
              </w:rPr>
              <w:t>（非企业牵头无需勾选）</w:t>
            </w:r>
          </w:p>
        </w:tc>
        <w:tc>
          <w:tcPr>
            <w:tcW w:w="577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8F45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国家级“专精特新”企业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省级“专精特新”企业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制造业单项冠军企业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国家高新技术企业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科技型中小企业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□其他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        </w:t>
            </w:r>
          </w:p>
        </w:tc>
      </w:tr>
      <w:tr w14:paraId="676B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A944D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2DDFE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年度</w:t>
            </w:r>
          </w:p>
          <w:p w14:paraId="64E6F2B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（填写上年度）</w:t>
            </w:r>
          </w:p>
        </w:tc>
        <w:tc>
          <w:tcPr>
            <w:tcW w:w="1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700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营收（万元）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E5EB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净利润（万元）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BD5EC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研发投入（万元）</w:t>
            </w:r>
          </w:p>
        </w:tc>
      </w:tr>
      <w:tr w14:paraId="555B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64DC56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C24E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71453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A26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CF7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685E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E23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5C1D50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攻关参与单位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39C57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71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BC2C83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参与单位</w:t>
            </w:r>
          </w:p>
        </w:tc>
      </w:tr>
      <w:tr w14:paraId="3712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037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2BE5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B2320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64AA4E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43776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CEF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5724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B7A7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23D019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125F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E0B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35FE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9E645E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07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4E8B"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323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A5367">
            <w:pPr>
              <w:spacing w:line="480" w:lineRule="exact"/>
              <w:rPr>
                <w:rFonts w:hint="eastAsia" w:ascii="Times New Roman" w:hAnsi="Times New Roman" w:eastAsia="仿宋_GB2312" w:cs="Times New Roman"/>
                <w:b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研究背景和攻关目的、意义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结合国内外研究现状及发展趋势、国民经济和社会发展中迫切需要解决的关键科技问题等进行分析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09989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C7AFF">
            <w:pPr>
              <w:widowControl/>
              <w:numPr>
                <w:ilvl w:val="0"/>
                <w:numId w:val="1"/>
              </w:numPr>
              <w:spacing w:line="400" w:lineRule="exact"/>
              <w:textAlignment w:val="top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拟解决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关键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科技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问题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、技术路线及可行性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明确项目技术关键及创新点、主要目标，描述说明现实应用场景，如自然条件、工况环境、成本约束、行业监管等技术应用的边界条件，阐明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研究方法、技术路径、技术方案、实验手段等，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内容具体、指向清晰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" w:eastAsia="zh-CN" w:bidi="ar"/>
              </w:rPr>
              <w:t>）</w:t>
            </w:r>
          </w:p>
          <w:p w14:paraId="1278FC03">
            <w:pPr>
              <w:widowControl/>
              <w:spacing w:line="400" w:lineRule="exact"/>
              <w:ind w:firstLine="560" w:firstLineChars="200"/>
              <w:textAlignment w:val="top"/>
              <w:rPr>
                <w:rFonts w:hint="default" w:ascii="Times New Roman" w:hAnsi="Times New Roman" w:eastAsia="宋体" w:cs="Times New Roman"/>
                <w:iCs/>
                <w:color w:val="00B0F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34FC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530ED">
            <w:pPr>
              <w:widowControl/>
              <w:numPr>
                <w:ilvl w:val="0"/>
                <w:numId w:val="1"/>
              </w:numPr>
              <w:spacing w:line="400" w:lineRule="exact"/>
              <w:textAlignment w:val="top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预期成果及水平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明确提出预期的科研攻关成果、技术指标参数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  <w:p w14:paraId="6E67BFDA">
            <w:pPr>
              <w:widowControl/>
              <w:spacing w:line="400" w:lineRule="exact"/>
              <w:ind w:firstLine="560" w:firstLineChars="200"/>
              <w:textAlignment w:val="top"/>
              <w:rPr>
                <w:rFonts w:hint="default" w:ascii="Times New Roman" w:hAnsi="Times New Roman" w:eastAsia="宋体" w:cs="Times New Roman"/>
                <w:iCs/>
                <w:color w:val="00B0F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55FC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72F00">
            <w:pPr>
              <w:widowControl/>
              <w:numPr>
                <w:ilvl w:val="0"/>
                <w:numId w:val="2"/>
              </w:numPr>
              <w:spacing w:line="400" w:lineRule="exact"/>
              <w:textAlignment w:val="top"/>
              <w:rPr>
                <w:rFonts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预期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" w:bidi="ar"/>
              </w:rPr>
              <w:t>效益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阐述突破该项技术对产业提质增效、民生改善、经济社会生态等各方面效益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" w:eastAsia="zh-CN" w:bidi="ar"/>
              </w:rPr>
              <w:t>）</w:t>
            </w:r>
          </w:p>
          <w:p w14:paraId="091C3B69">
            <w:pPr>
              <w:widowControl/>
              <w:spacing w:line="400" w:lineRule="exact"/>
              <w:ind w:firstLine="560" w:firstLineChars="200"/>
              <w:textAlignment w:val="top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4CA0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41432">
            <w:pPr>
              <w:widowControl w:val="0"/>
              <w:numPr>
                <w:ilvl w:val="0"/>
                <w:numId w:val="3"/>
              </w:num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推荐攻关单位、团队的基本情况、现有基础及水平（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说明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基本情况，现有工作基础、条件、优势，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 w:bidi="ar"/>
              </w:rPr>
              <w:t>现有研究成果、技术或产品基础，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u w:val="none"/>
                <w:lang w:val="en-US" w:eastAsia="zh-CN" w:bidi="ar"/>
              </w:rPr>
              <w:t>创新平台情况等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  <w:t>）</w:t>
            </w:r>
          </w:p>
          <w:p w14:paraId="730CC995">
            <w:pPr>
              <w:widowControl/>
              <w:spacing w:line="400" w:lineRule="exact"/>
              <w:ind w:firstLine="560" w:firstLineChars="200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1A16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5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A9B7C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bidi="ar"/>
              </w:rPr>
              <w:t>技术指标对标分析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eastAsia="zh-CN" w:bidi="ar"/>
              </w:rPr>
              <w:t>（与行业标杆、国家标准、国内外先进水平等对比）</w:t>
            </w:r>
          </w:p>
          <w:p w14:paraId="20EE95B3">
            <w:pPr>
              <w:widowControl w:val="0"/>
              <w:spacing w:line="4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</w:tbl>
    <w:p w14:paraId="366C0C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</w:pPr>
    </w:p>
    <w:p w14:paraId="083DA2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填表说明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 xml:space="preserve">  </w:t>
      </w:r>
    </w:p>
    <w:p w14:paraId="54CCE4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1.攻关技术成熟度评价等级标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准设置如下。</w:t>
      </w:r>
    </w:p>
    <w:tbl>
      <w:tblPr>
        <w:tblStyle w:val="4"/>
        <w:tblW w:w="8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4741"/>
        <w:gridCol w:w="2452"/>
      </w:tblGrid>
      <w:tr w14:paraId="6BC9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05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等级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57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技术成熟度特征描述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E0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主要成果形式</w:t>
            </w:r>
          </w:p>
        </w:tc>
      </w:tr>
      <w:tr w14:paraId="22E3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307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第1级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D97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观察到基本原理并形成正式报告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761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报告</w:t>
            </w:r>
          </w:p>
        </w:tc>
      </w:tr>
      <w:tr w14:paraId="3832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E95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第2级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A94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形成了技术概念或开发方案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51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方案</w:t>
            </w:r>
          </w:p>
        </w:tc>
      </w:tr>
      <w:tr w14:paraId="3C96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55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第3级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D3D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关键功能分析和实验结论成立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948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验证结论</w:t>
            </w:r>
          </w:p>
        </w:tc>
      </w:tr>
      <w:tr w14:paraId="735B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55E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第4级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0E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研究室环境中的部件仿真验证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485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仿真结论</w:t>
            </w:r>
          </w:p>
        </w:tc>
      </w:tr>
      <w:tr w14:paraId="4D15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AB7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第5级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8C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相关环境中的部件仿真验证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505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部件</w:t>
            </w:r>
          </w:p>
        </w:tc>
      </w:tr>
      <w:tr w14:paraId="0B03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BE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第6级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C5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相关环境中的系统样机演示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975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模型样机</w:t>
            </w:r>
          </w:p>
        </w:tc>
      </w:tr>
      <w:tr w14:paraId="3363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1E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第7级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CC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在实际环境中的系统样机试验结论成立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F6E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样机</w:t>
            </w:r>
          </w:p>
        </w:tc>
      </w:tr>
      <w:tr w14:paraId="1478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384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第8级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91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实际系统完成并通过实际验证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F47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中试产品</w:t>
            </w:r>
          </w:p>
        </w:tc>
      </w:tr>
      <w:tr w14:paraId="7523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FF3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第9级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17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实际通过任务运行的成功考验，可销售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F5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产品、标准、专利</w:t>
            </w:r>
          </w:p>
        </w:tc>
      </w:tr>
    </w:tbl>
    <w:p w14:paraId="2F220A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bidi="ar"/>
        </w:rPr>
        <w:t>安全应急领域包括公共安全与应急及信息、人工智能、空天海洋、种业、生物技术等安全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16D93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  <w:lang w:val="en-US" w:eastAsia="zh-CN" w:bidi="ar"/>
        </w:rPr>
        <w:t>.本表栏目空间若不够填写，可另附页。</w:t>
      </w:r>
      <w:bookmarkStart w:id="0" w:name="_GoBack"/>
      <w:bookmarkEnd w:id="0"/>
    </w:p>
    <w:sectPr>
      <w:footerReference r:id="rId3" w:type="default"/>
      <w:pgSz w:w="11906" w:h="16838"/>
      <w:pgMar w:top="1814" w:right="1417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77C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85B1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85B1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0095D"/>
    <w:multiLevelType w:val="singleLevel"/>
    <w:tmpl w:val="E9D0095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223325"/>
    <w:multiLevelType w:val="singleLevel"/>
    <w:tmpl w:val="4422332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C5BDC76"/>
    <w:multiLevelType w:val="singleLevel"/>
    <w:tmpl w:val="7C5BDC7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032C"/>
    <w:rsid w:val="4D1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2026-04-14T02:15:00Z</dcterms:created>
  <dc:creator>WPS_1726488761</dc:creator>
  <cp:lastModifiedBy>WPS_1726488761</cp:lastModifiedBy>
  <dcterms:modified xsi:type="dcterms:W3CDTF">2026-04-14T02:16:34Z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E63E33A67F944B8AAFBF2867C8541313_11</vt:lpwstr>
  </property>
  <property fmtid="{D5CDD505-2E9C-101B-9397-08002B2CF9AE}" pid="4" name="KSOTemplateDocerSaveRecord">
    <vt:lpwstr>eyJoZGlkIjoiNjk5OThkODc3MTkxZTY1ZmVkMTAyYjVmYjFkNTVmMWIiLCJ1c2VySWQiOiIxNjM1NzY3NjYzIn0=</vt:lpwstr>
  </property>
</Properties>
</file>