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仿宋_GB2312" w:hAnsi="仿宋_GB2312" w:eastAsia="仿宋_GB2312" w:cs="仿宋_GB2312"/>
          <w:i w:val="0"/>
          <w:iCs w:val="0"/>
          <w:caps w:val="0"/>
          <w:color w:val="auto"/>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2026年</w:t>
      </w:r>
      <w:r>
        <w:rPr>
          <w:rFonts w:hint="eastAsia" w:ascii="方正小标宋_GBK" w:hAnsi="方正小标宋_GBK" w:eastAsia="方正小标宋_GBK" w:cs="方正小标宋_GBK"/>
          <w:sz w:val="44"/>
          <w:szCs w:val="44"/>
          <w:lang w:eastAsia="zh-CN"/>
        </w:rPr>
        <w:t>资阳区</w:t>
      </w:r>
      <w:r>
        <w:rPr>
          <w:rFonts w:hint="eastAsia" w:ascii="方正小标宋_GBK" w:hAnsi="方正小标宋_GBK" w:eastAsia="方正小标宋_GBK" w:cs="方正小标宋_GBK"/>
          <w:sz w:val="44"/>
          <w:szCs w:val="44"/>
        </w:rPr>
        <w:t>烟花爆竹</w:t>
      </w:r>
      <w:r>
        <w:rPr>
          <w:rFonts w:hint="eastAsia" w:ascii="方正小标宋_GBK" w:hAnsi="方正小标宋_GBK" w:eastAsia="方正小标宋_GBK" w:cs="方正小标宋_GBK"/>
          <w:sz w:val="44"/>
          <w:szCs w:val="44"/>
          <w:lang w:eastAsia="zh-CN"/>
        </w:rPr>
        <w:t>经营（</w:t>
      </w:r>
      <w:r>
        <w:rPr>
          <w:rFonts w:hint="eastAsia" w:ascii="方正小标宋_GBK" w:hAnsi="方正小标宋_GBK" w:eastAsia="方正小标宋_GBK" w:cs="方正小标宋_GBK"/>
          <w:sz w:val="44"/>
          <w:szCs w:val="44"/>
        </w:rPr>
        <w:t>零售</w:t>
      </w:r>
      <w:r>
        <w:rPr>
          <w:rFonts w:hint="eastAsia" w:ascii="方正小标宋_GBK" w:hAnsi="方正小标宋_GBK" w:eastAsia="方正小标宋_GBK" w:cs="方正小标宋_GBK"/>
          <w:sz w:val="44"/>
          <w:szCs w:val="44"/>
          <w:lang w:eastAsia="zh-CN"/>
        </w:rPr>
        <w:t>）布</w:t>
      </w:r>
      <w:r>
        <w:rPr>
          <w:rFonts w:hint="eastAsia" w:ascii="方正小标宋_GBK" w:hAnsi="方正小标宋_GBK" w:eastAsia="方正小标宋_GBK" w:cs="方正小标宋_GBK"/>
          <w:sz w:val="44"/>
          <w:szCs w:val="44"/>
        </w:rPr>
        <w:t>点</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规划方案</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（征求意见稿）</w:t>
      </w:r>
    </w:p>
    <w:p>
      <w:pPr>
        <w:keepNext w:val="0"/>
        <w:keepLines w:val="0"/>
        <w:pageBreakBefore w:val="0"/>
        <w:kinsoku/>
        <w:wordWrap/>
        <w:overflowPunct/>
        <w:topLinePunct w:val="0"/>
        <w:autoSpaceDE/>
        <w:autoSpaceDN/>
        <w:bidi w:val="0"/>
        <w:adjustRightInd/>
        <w:snapToGrid/>
        <w:spacing w:line="579" w:lineRule="exact"/>
        <w:jc w:val="center"/>
        <w:textAlignment w:val="auto"/>
        <w:rPr>
          <w:rFonts w:ascii="华文中宋" w:hAnsi="华文中宋" w:eastAsia="华文中宋" w:cs="Times New Roman"/>
          <w:sz w:val="44"/>
          <w:szCs w:val="44"/>
        </w:rPr>
      </w:pPr>
    </w:p>
    <w:p>
      <w:pPr>
        <w:keepNext w:val="0"/>
        <w:keepLines w:val="0"/>
        <w:widowControl/>
        <w:suppressLineNumbers w:val="0"/>
        <w:ind w:firstLine="640" w:firstLineChars="200"/>
        <w:jc w:val="both"/>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lang w:val="en-US" w:eastAsia="zh-CN"/>
        </w:rPr>
        <w:t>切实加强我区烟花爆竹经营安全管理，规范经营秩序，有效遏制非法储存、经营烟花爆竹等违法行为，推动全区大气环境质量持续改善，确保人民群众生命财产安全，根据《中华人民共和国安全生产法》《烟花爆竹安全管理条例》《烟花爆竹经营许可实施办法》《烟花爆竹生产经营安全规定》《烟花爆竹零售(店)点安全技术规范》（AQ4128—2019）等法律法规和相关文件要求，结合我区实际，制订本方案。</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ascii="黑体" w:hAnsi="黑体" w:eastAsia="黑体" w:cs="宋体"/>
          <w:color w:val="000000"/>
          <w:kern w:val="0"/>
          <w:sz w:val="32"/>
          <w:szCs w:val="32"/>
          <w:lang w:val="en-US" w:eastAsia="zh-CN" w:bidi="ar-SA"/>
        </w:rPr>
      </w:pPr>
      <w:bookmarkStart w:id="0" w:name="_GoBack"/>
      <w:bookmarkEnd w:id="0"/>
      <w:r>
        <w:rPr>
          <w:rFonts w:hint="eastAsia" w:ascii="黑体" w:hAnsi="黑体" w:eastAsia="黑体" w:cs="宋体"/>
          <w:color w:val="000000"/>
          <w:kern w:val="0"/>
          <w:sz w:val="32"/>
          <w:szCs w:val="32"/>
          <w:lang w:val="en-US" w:eastAsia="zh-CN" w:bidi="ar-SA"/>
        </w:rPr>
        <w:t>一、布点规划原则</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Fonts w:ascii="仿宋_GB2312" w:hAnsi="仿宋" w:eastAsia="仿宋_GB2312" w:cs="宋体"/>
          <w:color w:val="000000"/>
          <w:kern w:val="0"/>
          <w:sz w:val="32"/>
          <w:szCs w:val="32"/>
        </w:rPr>
      </w:pPr>
      <w:r>
        <w:rPr>
          <w:rFonts w:hint="eastAsia" w:ascii="仿宋_GB2312" w:hAnsi="微软雅黑" w:eastAsia="仿宋_GB2312" w:cs="Times New Roman"/>
          <w:sz w:val="32"/>
          <w:szCs w:val="32"/>
        </w:rPr>
        <w:t>烟花爆竹零售经营布点,坚持“安全第一、预防为主、综合治理”的方针，按照“保障安全、统一规划、合理布局、总量控制、适度竞争”的原则，</w:t>
      </w:r>
      <w:r>
        <w:rPr>
          <w:rFonts w:hint="eastAsia" w:ascii="仿宋_GB2312" w:hAnsi="仿宋" w:eastAsia="仿宋_GB2312" w:cs="宋体"/>
          <w:color w:val="000000"/>
          <w:kern w:val="0"/>
          <w:sz w:val="32"/>
          <w:szCs w:val="32"/>
        </w:rPr>
        <w:t>建立公平、公正、有序、规范的烟花爆竹市场流通秩序。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eastAsia" w:ascii="宋体" w:hAnsi="宋体" w:eastAsia="宋体" w:cs="宋体"/>
          <w:i w:val="0"/>
          <w:iCs w:val="0"/>
          <w:caps w:val="0"/>
          <w:color w:val="333333"/>
          <w:spacing w:val="0"/>
          <w:kern w:val="0"/>
          <w:sz w:val="24"/>
          <w:szCs w:val="24"/>
          <w:lang w:val="en-US" w:eastAsia="zh-CN" w:bidi="ar"/>
        </w:rPr>
      </w:pPr>
      <w:r>
        <w:rPr>
          <w:rFonts w:hint="eastAsia" w:ascii="仿宋_GB2312" w:hAnsi="仿宋" w:eastAsia="仿宋_GB2312" w:cs="Times New Roman"/>
          <w:kern w:val="0"/>
          <w:sz w:val="32"/>
          <w:szCs w:val="32"/>
          <w:lang w:val="en-US" w:eastAsia="zh-CN" w:bidi="ar"/>
        </w:rPr>
        <w:t xml:space="preserve">  </w:t>
      </w:r>
      <w:r>
        <w:rPr>
          <w:rFonts w:hint="eastAsia" w:ascii="黑体" w:hAnsi="黑体" w:eastAsia="黑体" w:cs="宋体"/>
          <w:color w:val="000000"/>
          <w:kern w:val="0"/>
          <w:sz w:val="32"/>
          <w:szCs w:val="32"/>
          <w:lang w:val="en-US" w:eastAsia="zh-CN" w:bidi="ar-SA"/>
        </w:rPr>
        <w:t xml:space="preserve">  二、布点规划要求</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微软雅黑" w:eastAsia="仿宋_GB2312" w:cs="Times New Roman"/>
          <w:sz w:val="32"/>
          <w:szCs w:val="32"/>
          <w:lang w:val="en-US" w:eastAsia="zh-CN"/>
        </w:rPr>
      </w:pPr>
      <w:r>
        <w:rPr>
          <w:rFonts w:hint="eastAsia" w:ascii="楷体_GB2312" w:hAnsi="楷体_GB2312" w:eastAsia="楷体_GB2312" w:cs="楷体_GB2312"/>
          <w:kern w:val="2"/>
          <w:sz w:val="32"/>
          <w:szCs w:val="32"/>
          <w:lang w:val="en-US" w:eastAsia="zh-CN" w:bidi="ar-SA"/>
        </w:rPr>
        <w:t>（一）实行总量控制。</w:t>
      </w:r>
      <w:r>
        <w:rPr>
          <w:rFonts w:hint="eastAsia" w:ascii="仿宋_GB2312" w:hAnsi="微软雅黑" w:eastAsia="仿宋_GB2312" w:cs="Times New Roman"/>
          <w:sz w:val="32"/>
          <w:szCs w:val="32"/>
          <w:lang w:val="en-US" w:eastAsia="zh-CN"/>
        </w:rPr>
        <w:t>省应急厅、省公安厅、省生态环境厅、省市场监管局四部门联合印发《强化烟花爆竹安全管理和总量管控推动大气环境质量持续改善工作方案》要求，各县市区应急管理部门应依法制定或调整本区域烟花爆竹零售经营布点规划，将零售网点总量减少至大气环境可承受值内。益阳市生态环境保护委员会办公室印发的《2025年中心城区烟花爆竹源头减量整治工作方案》指出，在2025年12月30日前我区需完成退出70%零售门店的目标。按照“只减不增”的原则，结合</w:t>
      </w:r>
      <w:r>
        <w:rPr>
          <w:rFonts w:hint="default" w:ascii="仿宋_GB2312" w:hAnsi="微软雅黑" w:eastAsia="仿宋_GB2312" w:cs="Times New Roman"/>
          <w:sz w:val="32"/>
          <w:szCs w:val="32"/>
          <w:lang w:val="en-US" w:eastAsia="zh-CN"/>
        </w:rPr>
        <w:t>辖区内各</w:t>
      </w:r>
      <w:r>
        <w:rPr>
          <w:rFonts w:hint="eastAsia" w:ascii="仿宋_GB2312" w:hAnsi="微软雅黑" w:eastAsia="仿宋_GB2312" w:cs="Times New Roman"/>
          <w:sz w:val="32"/>
          <w:szCs w:val="32"/>
          <w:lang w:val="en-US" w:eastAsia="zh-CN"/>
        </w:rPr>
        <w:t>乡</w:t>
      </w:r>
      <w:r>
        <w:rPr>
          <w:rFonts w:hint="default" w:ascii="仿宋_GB2312" w:hAnsi="微软雅黑" w:eastAsia="仿宋_GB2312" w:cs="Times New Roman"/>
          <w:sz w:val="32"/>
          <w:szCs w:val="32"/>
          <w:lang w:val="en-US" w:eastAsia="zh-CN"/>
        </w:rPr>
        <w:t>镇的人口分布、城乡特点</w:t>
      </w:r>
      <w:r>
        <w:rPr>
          <w:rFonts w:hint="eastAsia" w:ascii="仿宋_GB2312" w:hAnsi="微软雅黑" w:eastAsia="仿宋_GB2312" w:cs="Times New Roman"/>
          <w:sz w:val="32"/>
          <w:szCs w:val="32"/>
          <w:lang w:val="en-US" w:eastAsia="zh-CN"/>
        </w:rPr>
        <w:t>、</w:t>
      </w:r>
      <w:r>
        <w:rPr>
          <w:rFonts w:hint="eastAsia" w:ascii="仿宋_GB2312" w:hAnsi="微软雅黑" w:eastAsia="仿宋_GB2312" w:cs="Times New Roman"/>
          <w:kern w:val="2"/>
          <w:sz w:val="32"/>
          <w:szCs w:val="32"/>
          <w:lang w:val="en-US" w:eastAsia="zh-CN" w:bidi="ar-SA"/>
        </w:rPr>
        <w:t>安全条件、</w:t>
      </w:r>
      <w:r>
        <w:rPr>
          <w:rFonts w:hint="default" w:ascii="仿宋_GB2312" w:hAnsi="微软雅黑" w:eastAsia="仿宋_GB2312" w:cs="Times New Roman"/>
          <w:sz w:val="32"/>
          <w:szCs w:val="32"/>
          <w:lang w:val="en-US" w:eastAsia="zh-CN"/>
        </w:rPr>
        <w:t>禁燃区域禁售等因素，我</w:t>
      </w:r>
      <w:r>
        <w:rPr>
          <w:rFonts w:hint="eastAsia" w:ascii="仿宋_GB2312" w:hAnsi="微软雅黑" w:eastAsia="仿宋_GB2312" w:cs="Times New Roman"/>
          <w:sz w:val="32"/>
          <w:szCs w:val="32"/>
          <w:lang w:val="en-US" w:eastAsia="zh-CN"/>
        </w:rPr>
        <w:t>区</w:t>
      </w:r>
      <w:r>
        <w:rPr>
          <w:rFonts w:hint="default" w:ascii="仿宋_GB2312" w:hAnsi="微软雅黑" w:eastAsia="仿宋_GB2312" w:cs="Times New Roman"/>
          <w:sz w:val="32"/>
          <w:szCs w:val="32"/>
          <w:lang w:val="en-US" w:eastAsia="zh-CN"/>
        </w:rPr>
        <w:t>2026年度规划布设零售店</w:t>
      </w:r>
      <w:r>
        <w:rPr>
          <w:rFonts w:hint="eastAsia" w:ascii="仿宋_GB2312" w:hAnsi="微软雅黑" w:eastAsia="仿宋_GB2312" w:cs="Times New Roman"/>
          <w:sz w:val="32"/>
          <w:szCs w:val="32"/>
          <w:lang w:val="en-US" w:eastAsia="zh-CN"/>
        </w:rPr>
        <w:t>控制在16</w:t>
      </w:r>
      <w:r>
        <w:rPr>
          <w:rFonts w:hint="default" w:ascii="仿宋_GB2312" w:hAnsi="微软雅黑" w:eastAsia="仿宋_GB2312" w:cs="Times New Roman"/>
          <w:sz w:val="32"/>
          <w:szCs w:val="32"/>
          <w:lang w:val="en-US" w:eastAsia="zh-CN"/>
        </w:rPr>
        <w:t>家</w:t>
      </w:r>
      <w:r>
        <w:rPr>
          <w:rFonts w:hint="eastAsia" w:ascii="仿宋_GB2312" w:hAnsi="微软雅黑" w:eastAsia="仿宋_GB2312" w:cs="Times New Roman"/>
          <w:sz w:val="32"/>
          <w:szCs w:val="32"/>
          <w:lang w:val="en-US" w:eastAsia="zh-CN"/>
        </w:rPr>
        <w:t>内（具体见附件）。具体布点位置由乡镇人民政府秉承便民的原则确定，需符合《烟花爆竹零售店（点）安全技术规范》（AQ4128-2019）选址及外部距离等有关规定的要求，实行专店经营，坚决制止“下店上宅”“前店后宅”行为。</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微软雅黑" w:eastAsia="仿宋_GB2312" w:cs="Times New Roman"/>
          <w:sz w:val="32"/>
          <w:szCs w:val="32"/>
          <w:lang w:val="en-US" w:eastAsia="zh-CN"/>
        </w:rPr>
      </w:pPr>
      <w:r>
        <w:rPr>
          <w:rFonts w:hint="eastAsia" w:ascii="楷体_GB2312" w:hAnsi="楷体_GB2312" w:eastAsia="楷体_GB2312" w:cs="楷体_GB2312"/>
          <w:kern w:val="2"/>
          <w:sz w:val="32"/>
          <w:szCs w:val="32"/>
          <w:lang w:val="en-US" w:eastAsia="zh-CN" w:bidi="ar-SA"/>
        </w:rPr>
        <w:t>（二）明确禁止布点区域。</w:t>
      </w:r>
      <w:r>
        <w:rPr>
          <w:rFonts w:hint="eastAsia" w:ascii="仿宋_GB2312" w:hAnsi="微软雅黑" w:eastAsia="仿宋_GB2312" w:cs="Times New Roman"/>
          <w:sz w:val="32"/>
          <w:szCs w:val="32"/>
          <w:lang w:val="en-US" w:eastAsia="zh-CN"/>
        </w:rPr>
        <w:t>《益阳市资阳区人民政府关于在规定区域内禁止燃放烟花爆竹的通告》（益资政通〔2025〕2号）中明确的禁放区域、禁放区域周边一公里内和大气监测站点周边两公里内以及法律法规规定不得设立零售门店的禁设区域。</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微软雅黑" w:eastAsia="仿宋_GB2312" w:cs="Times New Roman"/>
          <w:sz w:val="32"/>
          <w:szCs w:val="32"/>
          <w:lang w:val="en-US" w:eastAsia="zh-CN"/>
        </w:rPr>
      </w:pPr>
      <w:r>
        <w:rPr>
          <w:rFonts w:hint="eastAsia" w:ascii="楷体_GB2312" w:hAnsi="楷体_GB2312" w:eastAsia="楷体_GB2312" w:cs="楷体_GB2312"/>
          <w:kern w:val="2"/>
          <w:sz w:val="32"/>
          <w:szCs w:val="32"/>
          <w:lang w:val="en-US" w:eastAsia="zh-CN" w:bidi="ar-SA"/>
        </w:rPr>
        <w:t>（三）依法行政许可。</w:t>
      </w:r>
      <w:r>
        <w:rPr>
          <w:rFonts w:hint="eastAsia" w:ascii="仿宋_GB2312" w:hAnsi="微软雅黑" w:eastAsia="仿宋_GB2312" w:cs="Times New Roman"/>
          <w:sz w:val="32"/>
          <w:szCs w:val="32"/>
          <w:lang w:val="en-US" w:eastAsia="zh-CN"/>
        </w:rPr>
        <w:t>区应急管理局按照相关法律法规要求，做到公开、公平、公正，坚持一手抓要件审查，一手抓现场审核，从源头上严格把关，依法依规审批发证。烟花爆竹经营（零售）许可证申领条件、申报资料、申办程序等事宜将另行发布通知。</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三、有关要求</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微软雅黑" w:eastAsia="仿宋_GB2312" w:cs="Times New Roman"/>
          <w:sz w:val="32"/>
          <w:szCs w:val="32"/>
          <w:lang w:val="en-US" w:eastAsia="zh-CN"/>
        </w:rPr>
      </w:pPr>
      <w:r>
        <w:rPr>
          <w:rFonts w:hint="eastAsia" w:ascii="楷体_GB2312" w:hAnsi="楷体_GB2312" w:eastAsia="楷体_GB2312" w:cs="楷体_GB2312"/>
          <w:sz w:val="32"/>
          <w:szCs w:val="32"/>
          <w:lang w:val="en-US" w:eastAsia="zh-CN"/>
        </w:rPr>
        <w:t>（一）科学规划，合理布点。</w:t>
      </w:r>
      <w:r>
        <w:rPr>
          <w:rFonts w:hint="default" w:ascii="仿宋_GB2312" w:hAnsi="微软雅黑" w:eastAsia="仿宋_GB2312" w:cs="Times New Roman"/>
          <w:sz w:val="32"/>
          <w:szCs w:val="32"/>
          <w:lang w:val="en-US" w:eastAsia="zh-CN"/>
        </w:rPr>
        <w:t>经营布点规划是依法规范零售经营秩序的重要举措，各乡镇要高度重视、加强领导、周密部署，以新的布点规划为契机，推进烟花爆竹经营安全的标本兼治。</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微软雅黑" w:eastAsia="仿宋_GB2312" w:cs="Times New Roman"/>
          <w:sz w:val="32"/>
          <w:szCs w:val="32"/>
          <w:lang w:val="en-US" w:eastAsia="zh-CN"/>
        </w:rPr>
      </w:pPr>
      <w:r>
        <w:rPr>
          <w:rFonts w:hint="default" w:ascii="楷体_GB2312" w:hAnsi="楷体_GB2312" w:eastAsia="楷体_GB2312" w:cs="楷体_GB2312"/>
          <w:sz w:val="32"/>
          <w:szCs w:val="32"/>
          <w:lang w:val="en-US" w:eastAsia="zh-CN"/>
        </w:rPr>
        <w:t>（二）从严把关，落实责任。</w:t>
      </w:r>
      <w:r>
        <w:rPr>
          <w:rFonts w:hint="eastAsia" w:ascii="仿宋_GB2312" w:hAnsi="微软雅黑" w:eastAsia="仿宋_GB2312" w:cs="Times New Roman"/>
          <w:sz w:val="32"/>
          <w:szCs w:val="32"/>
          <w:lang w:val="en-US" w:eastAsia="zh-CN"/>
        </w:rPr>
        <w:t>区</w:t>
      </w:r>
      <w:r>
        <w:rPr>
          <w:rFonts w:hint="default" w:ascii="仿宋_GB2312" w:hAnsi="微软雅黑" w:eastAsia="仿宋_GB2312" w:cs="Times New Roman"/>
          <w:sz w:val="32"/>
          <w:szCs w:val="32"/>
          <w:lang w:val="en-US" w:eastAsia="zh-CN"/>
        </w:rPr>
        <w:t>应急管理局和各乡镇人民政府要严格审查布点申请的真实性、全面性、合法性，</w:t>
      </w:r>
      <w:r>
        <w:rPr>
          <w:rFonts w:hint="eastAsia" w:ascii="仿宋_GB2312" w:hAnsi="微软雅黑" w:eastAsia="仿宋_GB2312" w:cs="Times New Roman"/>
          <w:sz w:val="32"/>
          <w:szCs w:val="32"/>
          <w:lang w:val="en-US" w:eastAsia="zh-CN"/>
        </w:rPr>
        <w:t>发现申请人隐瞒有关情况或者提供虚假材料的，或者以欺骗、贿赂等不正当手段取得烟花爆竹经营许可证的，依据《烟花爆竹经营许可实施办法》第三十七条由区应急管理局依法处理。</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微软雅黑" w:eastAsia="仿宋_GB2312" w:cs="Times New Roman"/>
          <w:color w:val="auto"/>
          <w:sz w:val="32"/>
          <w:szCs w:val="32"/>
          <w:lang w:val="en-US" w:eastAsia="zh-CN"/>
        </w:rPr>
      </w:pPr>
      <w:r>
        <w:rPr>
          <w:rFonts w:hint="default" w:ascii="楷体_GB2312" w:hAnsi="楷体_GB2312" w:eastAsia="楷体_GB2312" w:cs="楷体_GB2312"/>
          <w:sz w:val="32"/>
          <w:szCs w:val="32"/>
          <w:lang w:val="en-US" w:eastAsia="zh-CN"/>
        </w:rPr>
        <w:t>（三）加强监管，规范秩序。</w:t>
      </w:r>
      <w:r>
        <w:rPr>
          <w:rFonts w:hint="default" w:ascii="仿宋_GB2312" w:hAnsi="微软雅黑" w:eastAsia="仿宋_GB2312" w:cs="Times New Roman"/>
          <w:sz w:val="32"/>
          <w:szCs w:val="32"/>
          <w:lang w:val="en-US" w:eastAsia="zh-CN"/>
        </w:rPr>
        <w:t>应急管理、公安、交通运输、市场监管等部门和各乡镇人民政府强化烟花爆竹经营、运输、储存、燃放等各环节的安全管理，严厉打击非法、违法经营</w:t>
      </w:r>
      <w:r>
        <w:rPr>
          <w:rFonts w:hint="default" w:ascii="仿宋_GB2312" w:hAnsi="微软雅黑" w:eastAsia="仿宋_GB2312" w:cs="Times New Roman"/>
          <w:color w:val="auto"/>
          <w:sz w:val="32"/>
          <w:szCs w:val="32"/>
          <w:lang w:val="en-US" w:eastAsia="zh-CN"/>
        </w:rPr>
        <w:t>行为，进一步规范市场经营秩序，确保烟花爆竹经营市场安全稳定。</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四、规划期限</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本《规划》由区应急管理局负责解释；本次布点规划自正式发布之日起实行，有效期1年。</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微软雅黑" w:eastAsia="仿宋_GB2312" w:cs="Times New Roman"/>
          <w:color w:val="auto"/>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宋体" w:eastAsia="仿宋_GB2312" w:cs="仿宋_GB2312"/>
          <w:i w:val="0"/>
          <w:iCs w:val="0"/>
          <w:caps w:val="0"/>
          <w:color w:val="1E1E1E"/>
          <w:spacing w:val="0"/>
          <w:kern w:val="0"/>
          <w:sz w:val="32"/>
          <w:szCs w:val="32"/>
          <w:shd w:val="clear" w:color="auto" w:fill="FFFFFF"/>
          <w:lang w:val="en-US" w:eastAsia="zh-CN" w:bidi="ar"/>
        </w:rPr>
      </w:pPr>
      <w:r>
        <w:rPr>
          <w:rFonts w:hint="eastAsia" w:ascii="仿宋_GB2312" w:hAnsi="微软雅黑" w:eastAsia="仿宋_GB2312" w:cs="Times New Roman"/>
          <w:sz w:val="32"/>
          <w:szCs w:val="32"/>
          <w:lang w:val="en-US" w:eastAsia="zh-CN"/>
        </w:rPr>
        <w:t>附件：2026年资阳区烟花爆竹经营（零售）布点规划表</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宋体" w:eastAsia="仿宋_GB2312" w:cs="仿宋_GB2312"/>
          <w:i w:val="0"/>
          <w:iCs w:val="0"/>
          <w:caps w:val="0"/>
          <w:color w:val="1E1E1E"/>
          <w:spacing w:val="0"/>
          <w:kern w:val="0"/>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宋体" w:eastAsia="仿宋_GB2312" w:cs="仿宋_GB2312"/>
          <w:i w:val="0"/>
          <w:iCs w:val="0"/>
          <w:caps w:val="0"/>
          <w:color w:val="1E1E1E"/>
          <w:spacing w:val="0"/>
          <w:kern w:val="0"/>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宋体" w:eastAsia="仿宋_GB2312" w:cs="仿宋_GB2312"/>
          <w:i w:val="0"/>
          <w:iCs w:val="0"/>
          <w:caps w:val="0"/>
          <w:color w:val="1E1E1E"/>
          <w:spacing w:val="0"/>
          <w:kern w:val="0"/>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center"/>
        <w:textAlignment w:val="auto"/>
        <w:rPr>
          <w:rFonts w:hint="eastAsia" w:ascii="仿宋_GB2312" w:hAnsi="宋体" w:eastAsia="仿宋_GB2312" w:cs="仿宋_GB2312"/>
          <w:i w:val="0"/>
          <w:iCs w:val="0"/>
          <w:caps w:val="0"/>
          <w:color w:val="1E1E1E"/>
          <w:spacing w:val="0"/>
          <w:kern w:val="0"/>
          <w:sz w:val="32"/>
          <w:szCs w:val="32"/>
          <w:shd w:val="clear" w:color="auto" w:fill="FFFFFF"/>
          <w:lang w:val="en-US" w:eastAsia="zh-CN" w:bidi="ar"/>
        </w:rPr>
      </w:pPr>
      <w:r>
        <w:rPr>
          <w:rFonts w:hint="eastAsia" w:ascii="仿宋_GB2312" w:hAnsi="宋体" w:eastAsia="仿宋_GB2312" w:cs="仿宋_GB2312"/>
          <w:i w:val="0"/>
          <w:iCs w:val="0"/>
          <w:caps w:val="0"/>
          <w:color w:val="1E1E1E"/>
          <w:spacing w:val="0"/>
          <w:kern w:val="0"/>
          <w:sz w:val="32"/>
          <w:szCs w:val="32"/>
          <w:shd w:val="clear" w:color="auto"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center"/>
        <w:textAlignment w:val="auto"/>
        <w:rPr>
          <w:rFonts w:hint="default" w:ascii="仿宋_GB2312" w:hAnsi="宋体" w:eastAsia="仿宋_GB2312" w:cs="仿宋_GB2312"/>
          <w:i w:val="0"/>
          <w:iCs w:val="0"/>
          <w:caps w:val="0"/>
          <w:color w:val="1E1E1E"/>
          <w:spacing w:val="0"/>
          <w:kern w:val="0"/>
          <w:sz w:val="32"/>
          <w:szCs w:val="32"/>
          <w:shd w:val="clear" w:color="auto" w:fill="FFFFFF"/>
          <w:lang w:val="en-US" w:eastAsia="zh-CN" w:bidi="ar"/>
        </w:rPr>
      </w:pPr>
    </w:p>
    <w:p>
      <w:pPr>
        <w:keepNext w:val="0"/>
        <w:keepLines w:val="0"/>
        <w:widowControl/>
        <w:suppressLineNumbers w:val="0"/>
        <w:jc w:val="left"/>
        <w:rPr>
          <w:rFonts w:hint="eastAsia" w:ascii="宋体" w:hAnsi="宋体" w:eastAsia="宋体" w:cs="宋体"/>
          <w:sz w:val="32"/>
          <w:szCs w:val="32"/>
        </w:rPr>
      </w:pPr>
    </w:p>
    <w:p>
      <w:pPr>
        <w:keepNext w:val="0"/>
        <w:keepLines w:val="0"/>
        <w:widowControl/>
        <w:suppressLineNumbers w:val="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widowControl/>
        <w:suppressLineNumbers w:val="0"/>
        <w:jc w:val="left"/>
        <w:rPr>
          <w:rFonts w:hint="eastAsia" w:ascii="黑体" w:hAnsi="黑体" w:eastAsia="黑体" w:cs="黑体"/>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w w:val="100"/>
          <w:sz w:val="44"/>
          <w:szCs w:val="44"/>
          <w:lang w:val="en-US" w:eastAsia="zh-CN"/>
        </w:rPr>
      </w:pPr>
      <w:r>
        <w:rPr>
          <w:rFonts w:hint="eastAsia" w:ascii="方正小标宋_GBK" w:hAnsi="方正小标宋_GBK" w:eastAsia="方正小标宋_GBK" w:cs="方正小标宋_GBK"/>
          <w:w w:val="100"/>
          <w:sz w:val="44"/>
          <w:szCs w:val="44"/>
          <w:lang w:val="en-US" w:eastAsia="zh-CN"/>
        </w:rPr>
        <w:t>2026年资阳区烟花爆竹经营（零售）布点</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w w:val="100"/>
          <w:sz w:val="44"/>
          <w:szCs w:val="44"/>
          <w:lang w:val="en-US" w:eastAsia="zh-CN"/>
        </w:rPr>
      </w:pPr>
      <w:r>
        <w:rPr>
          <w:rFonts w:hint="eastAsia" w:ascii="方正小标宋_GBK" w:hAnsi="方正小标宋_GBK" w:eastAsia="方正小标宋_GBK" w:cs="方正小标宋_GBK"/>
          <w:w w:val="100"/>
          <w:sz w:val="44"/>
          <w:szCs w:val="44"/>
          <w:lang w:val="en-US" w:eastAsia="zh-CN"/>
        </w:rPr>
        <w:t>规划表</w:t>
      </w:r>
    </w:p>
    <w:p>
      <w:pPr>
        <w:widowControl/>
        <w:spacing w:line="590" w:lineRule="exact"/>
        <w:rPr>
          <w:rFonts w:hint="eastAsia" w:ascii="宋体" w:hAnsi="宋体" w:eastAsia="宋体" w:cs="宋体"/>
          <w:sz w:val="32"/>
          <w:szCs w:val="32"/>
        </w:rPr>
      </w:pPr>
    </w:p>
    <w:tbl>
      <w:tblPr>
        <w:tblStyle w:val="8"/>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1650"/>
        <w:gridCol w:w="2100"/>
        <w:gridCol w:w="172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1494" w:type="dxa"/>
            <w:noWrap w:val="0"/>
            <w:vAlign w:val="center"/>
          </w:tcPr>
          <w:p>
            <w:pPr>
              <w:widowControl/>
              <w:spacing w:line="59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乡 镇</w:t>
            </w:r>
          </w:p>
        </w:tc>
        <w:tc>
          <w:tcPr>
            <w:tcW w:w="1650" w:type="dxa"/>
            <w:noWrap w:val="0"/>
            <w:vAlign w:val="center"/>
          </w:tcPr>
          <w:p>
            <w:pPr>
              <w:widowControl/>
              <w:spacing w:line="59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常住人口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万人</w:t>
            </w:r>
            <w:r>
              <w:rPr>
                <w:rFonts w:hint="eastAsia" w:ascii="仿宋_GB2312" w:hAnsi="仿宋_GB2312" w:eastAsia="仿宋_GB2312" w:cs="仿宋_GB2312"/>
                <w:color w:val="000000"/>
                <w:kern w:val="0"/>
                <w:sz w:val="32"/>
                <w:szCs w:val="32"/>
                <w:lang w:eastAsia="zh-CN"/>
              </w:rPr>
              <w:t>）</w:t>
            </w:r>
          </w:p>
        </w:tc>
        <w:tc>
          <w:tcPr>
            <w:tcW w:w="2100" w:type="dxa"/>
            <w:noWrap w:val="0"/>
            <w:vAlign w:val="center"/>
          </w:tcPr>
          <w:p>
            <w:pPr>
              <w:widowControl/>
              <w:spacing w:line="590" w:lineRule="exact"/>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地</w:t>
            </w:r>
            <w:r>
              <w:rPr>
                <w:rFonts w:hint="eastAsia" w:ascii="仿宋_GB2312" w:hAnsi="仿宋_GB2312" w:eastAsia="仿宋_GB2312" w:cs="仿宋_GB2312"/>
                <w:color w:val="000000"/>
                <w:kern w:val="0"/>
                <w:sz w:val="32"/>
                <w:szCs w:val="32"/>
                <w:lang w:val="en-US" w:eastAsia="zh-CN"/>
              </w:rPr>
              <w:t>域面积</w:t>
            </w:r>
          </w:p>
          <w:p>
            <w:pPr>
              <w:widowControl/>
              <w:spacing w:line="590" w:lineRule="exact"/>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（平方公里）</w:t>
            </w:r>
          </w:p>
        </w:tc>
        <w:tc>
          <w:tcPr>
            <w:tcW w:w="1725" w:type="dxa"/>
            <w:noWrap w:val="0"/>
            <w:vAlign w:val="center"/>
          </w:tcPr>
          <w:p>
            <w:pPr>
              <w:widowControl/>
              <w:spacing w:line="590" w:lineRule="exact"/>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布点规划数量</w:t>
            </w:r>
            <w:r>
              <w:rPr>
                <w:rFonts w:hint="eastAsia" w:ascii="仿宋_GB2312" w:hAnsi="仿宋_GB2312" w:eastAsia="仿宋_GB2312" w:cs="仿宋_GB2312"/>
                <w:color w:val="000000"/>
                <w:kern w:val="0"/>
                <w:sz w:val="32"/>
                <w:szCs w:val="32"/>
                <w:lang w:val="en-US" w:eastAsia="zh-CN"/>
              </w:rPr>
              <w:t>(家)</w:t>
            </w:r>
          </w:p>
        </w:tc>
        <w:tc>
          <w:tcPr>
            <w:tcW w:w="1545" w:type="dxa"/>
            <w:noWrap w:val="0"/>
            <w:vAlign w:val="center"/>
          </w:tcPr>
          <w:p>
            <w:pPr>
              <w:widowControl/>
              <w:spacing w:line="590" w:lineRule="exact"/>
              <w:jc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494"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茈湖口镇</w:t>
            </w:r>
          </w:p>
        </w:tc>
        <w:tc>
          <w:tcPr>
            <w:tcW w:w="1650" w:type="dxa"/>
            <w:noWrap w:val="0"/>
            <w:vAlign w:val="center"/>
          </w:tcPr>
          <w:p>
            <w:pPr>
              <w:widowControl/>
              <w:spacing w:line="590" w:lineRule="exact"/>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4.2</w:t>
            </w:r>
          </w:p>
        </w:tc>
        <w:tc>
          <w:tcPr>
            <w:tcW w:w="2100" w:type="dxa"/>
            <w:noWrap w:val="0"/>
            <w:vAlign w:val="center"/>
          </w:tcPr>
          <w:p>
            <w:pPr>
              <w:widowControl/>
              <w:spacing w:line="590" w:lineRule="exact"/>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92</w:t>
            </w:r>
          </w:p>
        </w:tc>
        <w:tc>
          <w:tcPr>
            <w:tcW w:w="1725" w:type="dxa"/>
            <w:noWrap w:val="0"/>
            <w:vAlign w:val="center"/>
          </w:tcPr>
          <w:p>
            <w:pPr>
              <w:widowControl/>
              <w:spacing w:line="590" w:lineRule="exact"/>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w:t>
            </w:r>
          </w:p>
        </w:tc>
        <w:tc>
          <w:tcPr>
            <w:tcW w:w="1545" w:type="dxa"/>
            <w:noWrap w:val="0"/>
            <w:vAlign w:val="center"/>
          </w:tcPr>
          <w:p>
            <w:pPr>
              <w:widowControl/>
              <w:spacing w:line="590" w:lineRule="exact"/>
              <w:jc w:val="center"/>
              <w:rPr>
                <w:rFonts w:hint="eastAsia" w:ascii="仿宋_GB2312" w:hAnsi="仿宋_GB2312" w:eastAsia="仿宋_GB2312" w:cs="仿宋_GB2312"/>
                <w:color w:val="000000"/>
                <w:kern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94" w:type="dxa"/>
            <w:noWrap w:val="0"/>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张家</w:t>
            </w:r>
            <w:r>
              <w:rPr>
                <w:rFonts w:hint="eastAsia" w:ascii="仿宋_GB2312" w:hAnsi="仿宋_GB2312" w:eastAsia="仿宋_GB2312" w:cs="仿宋_GB2312"/>
                <w:sz w:val="28"/>
                <w:szCs w:val="28"/>
                <w:lang w:val="en-US" w:eastAsia="zh-CN"/>
              </w:rPr>
              <w:t>塞乡</w:t>
            </w:r>
          </w:p>
        </w:tc>
        <w:tc>
          <w:tcPr>
            <w:tcW w:w="1650" w:type="dxa"/>
            <w:noWrap w:val="0"/>
            <w:vAlign w:val="center"/>
          </w:tcPr>
          <w:p>
            <w:pPr>
              <w:widowControl/>
              <w:spacing w:line="590" w:lineRule="exact"/>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4.1</w:t>
            </w:r>
          </w:p>
        </w:tc>
        <w:tc>
          <w:tcPr>
            <w:tcW w:w="2100" w:type="dxa"/>
            <w:noWrap w:val="0"/>
            <w:vAlign w:val="center"/>
          </w:tcPr>
          <w:p>
            <w:pPr>
              <w:widowControl/>
              <w:spacing w:line="590" w:lineRule="exact"/>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90</w:t>
            </w:r>
          </w:p>
        </w:tc>
        <w:tc>
          <w:tcPr>
            <w:tcW w:w="1725" w:type="dxa"/>
            <w:noWrap w:val="0"/>
            <w:vAlign w:val="center"/>
          </w:tcPr>
          <w:p>
            <w:pPr>
              <w:widowControl/>
              <w:spacing w:line="590" w:lineRule="exact"/>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w:t>
            </w:r>
          </w:p>
        </w:tc>
        <w:tc>
          <w:tcPr>
            <w:tcW w:w="1545" w:type="dxa"/>
            <w:noWrap w:val="0"/>
            <w:vAlign w:val="center"/>
          </w:tcPr>
          <w:p>
            <w:pPr>
              <w:widowControl/>
              <w:spacing w:line="590" w:lineRule="exact"/>
              <w:jc w:val="center"/>
              <w:rPr>
                <w:rFonts w:hint="eastAsia" w:ascii="仿宋_GB2312" w:hAnsi="仿宋_GB2312" w:eastAsia="仿宋_GB2312" w:cs="仿宋_GB2312"/>
                <w:color w:val="000000"/>
                <w:kern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94"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沙头镇</w:t>
            </w:r>
          </w:p>
        </w:tc>
        <w:tc>
          <w:tcPr>
            <w:tcW w:w="1650" w:type="dxa"/>
            <w:noWrap w:val="0"/>
            <w:vAlign w:val="center"/>
          </w:tcPr>
          <w:p>
            <w:pPr>
              <w:widowControl/>
              <w:tabs>
                <w:tab w:val="center" w:pos="802"/>
                <w:tab w:val="right" w:pos="1485"/>
              </w:tabs>
              <w:spacing w:line="590" w:lineRule="exact"/>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2.7</w:t>
            </w:r>
          </w:p>
        </w:tc>
        <w:tc>
          <w:tcPr>
            <w:tcW w:w="2100" w:type="dxa"/>
            <w:noWrap w:val="0"/>
            <w:vAlign w:val="center"/>
          </w:tcPr>
          <w:p>
            <w:pPr>
              <w:widowControl/>
              <w:spacing w:line="590" w:lineRule="exact"/>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43</w:t>
            </w:r>
          </w:p>
        </w:tc>
        <w:tc>
          <w:tcPr>
            <w:tcW w:w="1725" w:type="dxa"/>
            <w:noWrap w:val="0"/>
            <w:vAlign w:val="center"/>
          </w:tcPr>
          <w:p>
            <w:pPr>
              <w:widowControl/>
              <w:spacing w:line="590" w:lineRule="exact"/>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w:t>
            </w:r>
          </w:p>
        </w:tc>
        <w:tc>
          <w:tcPr>
            <w:tcW w:w="1545" w:type="dxa"/>
            <w:noWrap w:val="0"/>
            <w:vAlign w:val="center"/>
          </w:tcPr>
          <w:p>
            <w:pPr>
              <w:widowControl/>
              <w:spacing w:line="590" w:lineRule="exact"/>
              <w:jc w:val="center"/>
              <w:rPr>
                <w:rFonts w:hint="eastAsia" w:ascii="仿宋_GB2312" w:hAnsi="仿宋_GB2312" w:eastAsia="仿宋_GB2312" w:cs="仿宋_GB2312"/>
                <w:color w:val="000000"/>
                <w:kern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94"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新桥河镇</w:t>
            </w:r>
          </w:p>
        </w:tc>
        <w:tc>
          <w:tcPr>
            <w:tcW w:w="1650" w:type="dxa"/>
            <w:noWrap w:val="0"/>
            <w:vAlign w:val="center"/>
          </w:tcPr>
          <w:p>
            <w:pPr>
              <w:widowControl/>
              <w:spacing w:line="590" w:lineRule="exact"/>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9.2</w:t>
            </w:r>
          </w:p>
        </w:tc>
        <w:tc>
          <w:tcPr>
            <w:tcW w:w="2100" w:type="dxa"/>
            <w:noWrap w:val="0"/>
            <w:vAlign w:val="center"/>
          </w:tcPr>
          <w:p>
            <w:pPr>
              <w:widowControl/>
              <w:spacing w:line="590" w:lineRule="exact"/>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140</w:t>
            </w:r>
          </w:p>
        </w:tc>
        <w:tc>
          <w:tcPr>
            <w:tcW w:w="1725" w:type="dxa"/>
            <w:noWrap w:val="0"/>
            <w:vAlign w:val="center"/>
          </w:tcPr>
          <w:p>
            <w:pPr>
              <w:widowControl/>
              <w:spacing w:line="590" w:lineRule="exact"/>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w:t>
            </w:r>
          </w:p>
        </w:tc>
        <w:tc>
          <w:tcPr>
            <w:tcW w:w="1545" w:type="dxa"/>
            <w:noWrap w:val="0"/>
            <w:vAlign w:val="center"/>
          </w:tcPr>
          <w:p>
            <w:pPr>
              <w:widowControl/>
              <w:spacing w:line="590" w:lineRule="exact"/>
              <w:jc w:val="center"/>
              <w:rPr>
                <w:rFonts w:hint="eastAsia" w:ascii="仿宋_GB2312" w:hAnsi="仿宋_GB2312" w:eastAsia="仿宋_GB2312" w:cs="仿宋_GB2312"/>
                <w:color w:val="000000"/>
                <w:kern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94" w:type="dxa"/>
            <w:noWrap w:val="0"/>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总</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数</w:t>
            </w:r>
          </w:p>
        </w:tc>
        <w:tc>
          <w:tcPr>
            <w:tcW w:w="1650" w:type="dxa"/>
            <w:noWrap w:val="0"/>
            <w:vAlign w:val="center"/>
          </w:tcPr>
          <w:p>
            <w:pPr>
              <w:widowControl/>
              <w:spacing w:line="590" w:lineRule="exact"/>
              <w:jc w:val="center"/>
              <w:rPr>
                <w:rFonts w:hint="default" w:ascii="仿宋_GB2312" w:hAnsi="仿宋_GB2312" w:eastAsia="仿宋_GB2312" w:cs="仿宋_GB2312"/>
                <w:color w:val="000000"/>
                <w:kern w:val="0"/>
                <w:sz w:val="32"/>
                <w:szCs w:val="32"/>
                <w:lang w:eastAsia="zh-CN"/>
              </w:rPr>
            </w:pPr>
            <w:r>
              <w:rPr>
                <w:rFonts w:hint="default" w:ascii="仿宋_GB2312" w:hAnsi="仿宋_GB2312" w:eastAsia="仿宋_GB2312" w:cs="仿宋_GB2312"/>
                <w:color w:val="000000"/>
                <w:kern w:val="0"/>
                <w:sz w:val="32"/>
                <w:szCs w:val="32"/>
                <w:lang w:eastAsia="zh-CN"/>
              </w:rPr>
              <w:fldChar w:fldCharType="begin"/>
            </w:r>
            <w:r>
              <w:rPr>
                <w:rFonts w:hint="default" w:ascii="仿宋_GB2312" w:hAnsi="仿宋_GB2312" w:eastAsia="仿宋_GB2312" w:cs="仿宋_GB2312"/>
                <w:color w:val="000000"/>
                <w:kern w:val="0"/>
                <w:sz w:val="32"/>
                <w:szCs w:val="32"/>
                <w:lang w:eastAsia="zh-CN"/>
              </w:rPr>
              <w:instrText xml:space="preserve"> =SUM(ABOVE) \* MERGEFORMAT </w:instrText>
            </w:r>
            <w:r>
              <w:rPr>
                <w:rFonts w:hint="default" w:ascii="仿宋_GB2312" w:hAnsi="仿宋_GB2312" w:eastAsia="仿宋_GB2312" w:cs="仿宋_GB2312"/>
                <w:color w:val="000000"/>
                <w:kern w:val="0"/>
                <w:sz w:val="32"/>
                <w:szCs w:val="32"/>
                <w:lang w:eastAsia="zh-CN"/>
              </w:rPr>
              <w:fldChar w:fldCharType="separate"/>
            </w:r>
            <w:r>
              <w:rPr>
                <w:rFonts w:hint="default" w:ascii="仿宋_GB2312" w:hAnsi="仿宋_GB2312" w:eastAsia="仿宋_GB2312" w:cs="仿宋_GB2312"/>
                <w:color w:val="000000"/>
                <w:kern w:val="0"/>
                <w:sz w:val="32"/>
                <w:szCs w:val="32"/>
                <w:lang w:eastAsia="zh-CN"/>
              </w:rPr>
              <w:t>20.2</w:t>
            </w:r>
            <w:r>
              <w:rPr>
                <w:rFonts w:hint="default" w:ascii="仿宋_GB2312" w:hAnsi="仿宋_GB2312" w:eastAsia="仿宋_GB2312" w:cs="仿宋_GB2312"/>
                <w:color w:val="000000"/>
                <w:kern w:val="0"/>
                <w:sz w:val="32"/>
                <w:szCs w:val="32"/>
                <w:lang w:eastAsia="zh-CN"/>
              </w:rPr>
              <w:fldChar w:fldCharType="end"/>
            </w:r>
          </w:p>
        </w:tc>
        <w:tc>
          <w:tcPr>
            <w:tcW w:w="2100" w:type="dxa"/>
            <w:noWrap w:val="0"/>
            <w:vAlign w:val="center"/>
          </w:tcPr>
          <w:p>
            <w:pPr>
              <w:widowControl/>
              <w:spacing w:line="590" w:lineRule="exact"/>
              <w:jc w:val="center"/>
              <w:rPr>
                <w:rFonts w:hint="default"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fldChar w:fldCharType="begin"/>
            </w:r>
            <w:r>
              <w:rPr>
                <w:rFonts w:hint="eastAsia" w:ascii="仿宋_GB2312" w:hAnsi="仿宋_GB2312" w:eastAsia="仿宋_GB2312" w:cs="仿宋_GB2312"/>
                <w:color w:val="000000"/>
                <w:kern w:val="0"/>
                <w:sz w:val="32"/>
                <w:szCs w:val="32"/>
                <w:lang w:val="en-US" w:eastAsia="zh-CN"/>
              </w:rPr>
              <w:instrText xml:space="preserve"> =SUM(ABOVE) \* MERGEFORMAT </w:instrText>
            </w:r>
            <w:r>
              <w:rPr>
                <w:rFonts w:hint="eastAsia" w:ascii="仿宋_GB2312" w:hAnsi="仿宋_GB2312" w:eastAsia="仿宋_GB2312" w:cs="仿宋_GB2312"/>
                <w:color w:val="000000"/>
                <w:kern w:val="0"/>
                <w:sz w:val="32"/>
                <w:szCs w:val="32"/>
                <w:lang w:val="en-US" w:eastAsia="zh-CN"/>
              </w:rPr>
              <w:fldChar w:fldCharType="separate"/>
            </w:r>
            <w:r>
              <w:rPr>
                <w:rFonts w:hint="eastAsia" w:ascii="仿宋_GB2312" w:hAnsi="仿宋_GB2312" w:eastAsia="仿宋_GB2312" w:cs="仿宋_GB2312"/>
                <w:color w:val="000000"/>
                <w:kern w:val="0"/>
                <w:sz w:val="32"/>
                <w:szCs w:val="32"/>
                <w:lang w:val="en-US" w:eastAsia="zh-CN"/>
              </w:rPr>
              <w:t>365</w:t>
            </w:r>
            <w:r>
              <w:rPr>
                <w:rFonts w:hint="eastAsia" w:ascii="仿宋_GB2312" w:hAnsi="仿宋_GB2312" w:eastAsia="仿宋_GB2312" w:cs="仿宋_GB2312"/>
                <w:color w:val="000000"/>
                <w:kern w:val="0"/>
                <w:sz w:val="32"/>
                <w:szCs w:val="32"/>
                <w:lang w:val="en-US" w:eastAsia="zh-CN"/>
              </w:rPr>
              <w:fldChar w:fldCharType="end"/>
            </w:r>
          </w:p>
        </w:tc>
        <w:tc>
          <w:tcPr>
            <w:tcW w:w="1725" w:type="dxa"/>
            <w:noWrap w:val="0"/>
            <w:vAlign w:val="center"/>
          </w:tcPr>
          <w:p>
            <w:pPr>
              <w:widowControl/>
              <w:spacing w:line="590" w:lineRule="exact"/>
              <w:jc w:val="center"/>
              <w:rPr>
                <w:rFonts w:hint="default"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fldChar w:fldCharType="begin"/>
            </w:r>
            <w:r>
              <w:rPr>
                <w:rFonts w:hint="eastAsia" w:ascii="仿宋_GB2312" w:hAnsi="仿宋_GB2312" w:eastAsia="仿宋_GB2312" w:cs="仿宋_GB2312"/>
                <w:color w:val="000000"/>
                <w:kern w:val="0"/>
                <w:sz w:val="32"/>
                <w:szCs w:val="32"/>
                <w:lang w:val="en-US" w:eastAsia="zh-CN"/>
              </w:rPr>
              <w:instrText xml:space="preserve"> =SUM(ABOVE) \* MERGEFORMAT </w:instrText>
            </w:r>
            <w:r>
              <w:rPr>
                <w:rFonts w:hint="eastAsia" w:ascii="仿宋_GB2312" w:hAnsi="仿宋_GB2312" w:eastAsia="仿宋_GB2312" w:cs="仿宋_GB2312"/>
                <w:color w:val="000000"/>
                <w:kern w:val="0"/>
                <w:sz w:val="32"/>
                <w:szCs w:val="32"/>
                <w:lang w:val="en-US" w:eastAsia="zh-CN"/>
              </w:rPr>
              <w:fldChar w:fldCharType="separate"/>
            </w:r>
            <w:r>
              <w:rPr>
                <w:rFonts w:hint="eastAsia" w:ascii="仿宋_GB2312" w:hAnsi="仿宋_GB2312" w:eastAsia="仿宋_GB2312" w:cs="仿宋_GB2312"/>
                <w:color w:val="000000"/>
                <w:kern w:val="0"/>
                <w:sz w:val="32"/>
                <w:szCs w:val="32"/>
                <w:lang w:val="en-US" w:eastAsia="zh-CN"/>
              </w:rPr>
              <w:t>16</w:t>
            </w:r>
            <w:r>
              <w:rPr>
                <w:rFonts w:hint="eastAsia" w:ascii="仿宋_GB2312" w:hAnsi="仿宋_GB2312" w:eastAsia="仿宋_GB2312" w:cs="仿宋_GB2312"/>
                <w:color w:val="000000"/>
                <w:kern w:val="0"/>
                <w:sz w:val="32"/>
                <w:szCs w:val="32"/>
                <w:lang w:val="en-US" w:eastAsia="zh-CN"/>
              </w:rPr>
              <w:fldChar w:fldCharType="end"/>
            </w:r>
          </w:p>
        </w:tc>
        <w:tc>
          <w:tcPr>
            <w:tcW w:w="1545" w:type="dxa"/>
            <w:noWrap w:val="0"/>
            <w:vAlign w:val="center"/>
          </w:tcPr>
          <w:p>
            <w:pPr>
              <w:widowControl/>
              <w:spacing w:line="590" w:lineRule="exact"/>
              <w:jc w:val="center"/>
              <w:rPr>
                <w:rFonts w:hint="eastAsia" w:ascii="仿宋_GB2312" w:hAnsi="仿宋_GB2312" w:eastAsia="仿宋_GB2312" w:cs="仿宋_GB2312"/>
                <w:color w:val="000000"/>
                <w:kern w:val="0"/>
                <w:sz w:val="32"/>
                <w:szCs w:val="32"/>
                <w:lang w:val="en-US" w:eastAsia="zh-CN"/>
              </w:rPr>
            </w:pPr>
          </w:p>
        </w:tc>
      </w:tr>
    </w:tbl>
    <w:p>
      <w:pPr>
        <w:widowControl/>
        <w:spacing w:line="590" w:lineRule="exact"/>
        <w:ind w:firstLine="645"/>
        <w:jc w:val="center"/>
        <w:rPr>
          <w:rFonts w:hint="eastAsia" w:ascii="仿宋_GB2312" w:hAnsi="仿宋_GB2312" w:eastAsia="仿宋_GB2312" w:cs="仿宋_GB2312"/>
          <w:color w:val="000000"/>
          <w:kern w:val="0"/>
          <w:sz w:val="32"/>
          <w:szCs w:val="32"/>
        </w:rPr>
      </w:pPr>
    </w:p>
    <w:p>
      <w:pPr>
        <w:widowControl/>
        <w:spacing w:line="590" w:lineRule="exact"/>
        <w:ind w:firstLine="645"/>
        <w:jc w:val="center"/>
        <w:rPr>
          <w:rFonts w:ascii="仿宋" w:hAnsi="仿宋" w:eastAsia="仿宋" w:cs="宋体"/>
          <w:color w:val="000000"/>
          <w:kern w:val="0"/>
          <w:sz w:val="32"/>
          <w:szCs w:val="32"/>
        </w:rPr>
      </w:pPr>
    </w:p>
    <w:p>
      <w:pPr>
        <w:widowControl/>
        <w:spacing w:line="590" w:lineRule="exact"/>
        <w:ind w:firstLine="645"/>
        <w:jc w:val="center"/>
        <w:rPr>
          <w:rFonts w:hint="default" w:ascii="仿宋" w:hAnsi="仿宋" w:eastAsia="仿宋" w:cs="宋体"/>
          <w:color w:val="000000"/>
          <w:kern w:val="0"/>
          <w:sz w:val="32"/>
          <w:szCs w:val="32"/>
          <w:lang w:val="en-US" w:eastAsia="zh-CN"/>
        </w:rPr>
      </w:pPr>
    </w:p>
    <w:p>
      <w:pPr>
        <w:ind w:firstLine="640" w:firstLineChars="200"/>
        <w:rPr>
          <w:rFonts w:hint="eastAsia" w:ascii="仿宋_GB2312" w:hAnsi="仿宋_GB2312" w:eastAsia="仿宋_GB2312" w:cs="仿宋_GB2312"/>
          <w:i w:val="0"/>
          <w:iCs w:val="0"/>
          <w:caps w:val="0"/>
          <w:color w:val="auto"/>
          <w:spacing w:val="0"/>
          <w:sz w:val="32"/>
          <w:szCs w:val="32"/>
          <w:shd w:val="clear" w:color="auto" w:fill="FFFFFF"/>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00"/>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3NmM1NzcyZThhYmE0MWMwM2E4ZWIzNTY3NDcwMGQifQ=="/>
  </w:docVars>
  <w:rsids>
    <w:rsidRoot w:val="00000000"/>
    <w:rsid w:val="0F3F92CF"/>
    <w:rsid w:val="1672D08B"/>
    <w:rsid w:val="1C8C38CB"/>
    <w:rsid w:val="315A2FAC"/>
    <w:rsid w:val="316D029A"/>
    <w:rsid w:val="35092088"/>
    <w:rsid w:val="36B543F1"/>
    <w:rsid w:val="37FD8771"/>
    <w:rsid w:val="3BCF1527"/>
    <w:rsid w:val="3CC43634"/>
    <w:rsid w:val="42A92768"/>
    <w:rsid w:val="4A440E27"/>
    <w:rsid w:val="4EE43E38"/>
    <w:rsid w:val="4EFFE0F6"/>
    <w:rsid w:val="513C7AC3"/>
    <w:rsid w:val="53395EAF"/>
    <w:rsid w:val="537FCA92"/>
    <w:rsid w:val="599A3368"/>
    <w:rsid w:val="5B2DD361"/>
    <w:rsid w:val="5E6C37BF"/>
    <w:rsid w:val="5F056343"/>
    <w:rsid w:val="5FB7E227"/>
    <w:rsid w:val="63155BAA"/>
    <w:rsid w:val="63704743"/>
    <w:rsid w:val="64EF4FA6"/>
    <w:rsid w:val="65CD0D2C"/>
    <w:rsid w:val="676708BA"/>
    <w:rsid w:val="68BC15AD"/>
    <w:rsid w:val="6CFF6E03"/>
    <w:rsid w:val="72EA4071"/>
    <w:rsid w:val="7309731F"/>
    <w:rsid w:val="76D03D10"/>
    <w:rsid w:val="76D66C29"/>
    <w:rsid w:val="7FBEDC35"/>
    <w:rsid w:val="7FED4CF7"/>
    <w:rsid w:val="9DFB4BF7"/>
    <w:rsid w:val="BFEDAF6C"/>
    <w:rsid w:val="DFFAC58A"/>
    <w:rsid w:val="ED9F2EEA"/>
    <w:rsid w:val="EEFE9FDE"/>
    <w:rsid w:val="EF6FA586"/>
    <w:rsid w:val="F7B92D40"/>
    <w:rsid w:val="FDF77B11"/>
    <w:rsid w:val="FEDFB444"/>
    <w:rsid w:val="FF5F85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0"/>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table" w:styleId="8">
    <w:name w:val="Table Grid"/>
    <w:basedOn w:val="7"/>
    <w:qFormat/>
    <w:uiPriority w:val="39"/>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uiPriority w:val="0"/>
    <w:rPr>
      <w:color w:val="0000FF"/>
      <w:u w:val="single"/>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24</TotalTime>
  <ScaleCrop>false</ScaleCrop>
  <LinksUpToDate>false</LinksUpToDate>
  <CharactersWithSpaces>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2023-09-13T04:50:50Z</dcterms:created>
  <dc:creator>25811</dc:creator>
  <cp:lastModifiedBy>lenovo</cp:lastModifiedBy>
  <dcterms:modified xsi:type="dcterms:W3CDTF">2026-02-06T17:17:11Z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E46845E7A6A591E1B8B0856946FD8FA9</vt:lpwstr>
  </property>
</Properties>
</file>