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6A5E2B">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8"/>
          <w:szCs w:val="48"/>
        </w:rPr>
        <w:t>益阳市资阳区医疗保障局本级2026年部门预算公开说明</w:t>
      </w:r>
      <w:r>
        <w:rPr>
          <w:rFonts w:hint="eastAsia" w:ascii="等线" w:hAnsi="等线" w:eastAsia="等线" w:cs="Times New Roman"/>
          <w:color w:val="000000"/>
          <w:kern w:val="2"/>
          <w:sz w:val="21"/>
          <w:szCs w:val="21"/>
        </w:rPr>
        <w:t xml:space="preserve"> </w:t>
      </w:r>
    </w:p>
    <w:p w14:paraId="5C936222">
      <w:pPr>
        <w:spacing w:before="0" w:beforeAutospacing="0" w:after="1" w:afterAutospacing="0"/>
        <w:jc w:val="center"/>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57BE270A">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36"/>
          <w:szCs w:val="36"/>
        </w:rPr>
        <w:t>目 录</w:t>
      </w:r>
      <w:r>
        <w:rPr>
          <w:rFonts w:hint="eastAsia" w:ascii="等线" w:hAnsi="等线" w:eastAsia="等线" w:cs="Times New Roman"/>
          <w:color w:val="000000"/>
          <w:kern w:val="2"/>
          <w:sz w:val="21"/>
          <w:szCs w:val="21"/>
        </w:rPr>
        <w:t xml:space="preserve"> </w:t>
      </w:r>
    </w:p>
    <w:p w14:paraId="2C9E934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第一部分 2026年部门预算说明</w:t>
      </w:r>
      <w:r>
        <w:rPr>
          <w:rFonts w:hint="eastAsia" w:ascii="等线" w:hAnsi="等线" w:eastAsia="等线" w:cs="Times New Roman"/>
          <w:color w:val="000000"/>
          <w:kern w:val="2"/>
          <w:sz w:val="21"/>
          <w:szCs w:val="21"/>
        </w:rPr>
        <w:t xml:space="preserve"> </w:t>
      </w:r>
    </w:p>
    <w:p w14:paraId="676A9E0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一、部门基本概况</w:t>
      </w:r>
      <w:r>
        <w:rPr>
          <w:rFonts w:hint="eastAsia" w:ascii="等线" w:hAnsi="等线" w:eastAsia="等线" w:cs="Times New Roman"/>
          <w:color w:val="000000"/>
          <w:kern w:val="2"/>
          <w:sz w:val="21"/>
          <w:szCs w:val="21"/>
        </w:rPr>
        <w:t xml:space="preserve"> </w:t>
      </w:r>
    </w:p>
    <w:p w14:paraId="0FEF776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（一）职能职责</w:t>
      </w:r>
      <w:r>
        <w:rPr>
          <w:rFonts w:hint="eastAsia" w:ascii="等线" w:hAnsi="等线" w:eastAsia="等线" w:cs="Times New Roman"/>
          <w:color w:val="000000"/>
          <w:kern w:val="2"/>
          <w:sz w:val="21"/>
          <w:szCs w:val="21"/>
        </w:rPr>
        <w:t xml:space="preserve"> </w:t>
      </w:r>
    </w:p>
    <w:p w14:paraId="7DF0E70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（二）机构设置</w:t>
      </w:r>
      <w:r>
        <w:rPr>
          <w:rFonts w:hint="eastAsia" w:ascii="等线" w:hAnsi="等线" w:eastAsia="等线" w:cs="Times New Roman"/>
          <w:color w:val="000000"/>
          <w:kern w:val="2"/>
          <w:sz w:val="21"/>
          <w:szCs w:val="21"/>
        </w:rPr>
        <w:t xml:space="preserve"> </w:t>
      </w:r>
    </w:p>
    <w:p w14:paraId="61184F9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二、部门预算单位构成</w:t>
      </w:r>
      <w:r>
        <w:rPr>
          <w:rFonts w:hint="eastAsia" w:ascii="等线" w:hAnsi="等线" w:eastAsia="等线" w:cs="Times New Roman"/>
          <w:color w:val="000000"/>
          <w:kern w:val="2"/>
          <w:sz w:val="21"/>
          <w:szCs w:val="21"/>
        </w:rPr>
        <w:t xml:space="preserve"> </w:t>
      </w:r>
    </w:p>
    <w:p w14:paraId="2CB531D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三、部门收支总体情况</w:t>
      </w:r>
      <w:r>
        <w:rPr>
          <w:rFonts w:hint="eastAsia" w:ascii="等线" w:hAnsi="等线" w:eastAsia="等线" w:cs="Times New Roman"/>
          <w:color w:val="000000"/>
          <w:kern w:val="2"/>
          <w:sz w:val="21"/>
          <w:szCs w:val="21"/>
        </w:rPr>
        <w:t xml:space="preserve"> </w:t>
      </w:r>
    </w:p>
    <w:p w14:paraId="7F158FE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（一）收入预算</w:t>
      </w:r>
      <w:r>
        <w:rPr>
          <w:rFonts w:hint="eastAsia" w:ascii="等线" w:hAnsi="等线" w:eastAsia="等线" w:cs="Times New Roman"/>
          <w:color w:val="000000"/>
          <w:kern w:val="2"/>
          <w:sz w:val="21"/>
          <w:szCs w:val="21"/>
        </w:rPr>
        <w:t xml:space="preserve"> </w:t>
      </w:r>
    </w:p>
    <w:p w14:paraId="4F596FA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（二）支出预算</w:t>
      </w:r>
      <w:r>
        <w:rPr>
          <w:rFonts w:hint="eastAsia" w:ascii="等线" w:hAnsi="等线" w:eastAsia="等线" w:cs="Times New Roman"/>
          <w:color w:val="000000"/>
          <w:kern w:val="2"/>
          <w:sz w:val="21"/>
          <w:szCs w:val="21"/>
        </w:rPr>
        <w:t xml:space="preserve"> </w:t>
      </w:r>
    </w:p>
    <w:p w14:paraId="2F18461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四、一般公共预算拨款支出</w:t>
      </w:r>
      <w:r>
        <w:rPr>
          <w:rFonts w:hint="eastAsia" w:ascii="等线" w:hAnsi="等线" w:eastAsia="等线" w:cs="Times New Roman"/>
          <w:color w:val="000000"/>
          <w:kern w:val="2"/>
          <w:sz w:val="21"/>
          <w:szCs w:val="21"/>
        </w:rPr>
        <w:t xml:space="preserve"> </w:t>
      </w:r>
    </w:p>
    <w:p w14:paraId="1D8EDDF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（一）基本支出</w:t>
      </w:r>
      <w:r>
        <w:rPr>
          <w:rFonts w:hint="eastAsia" w:ascii="等线" w:hAnsi="等线" w:eastAsia="等线" w:cs="Times New Roman"/>
          <w:color w:val="000000"/>
          <w:kern w:val="2"/>
          <w:sz w:val="21"/>
          <w:szCs w:val="21"/>
        </w:rPr>
        <w:t xml:space="preserve"> </w:t>
      </w:r>
    </w:p>
    <w:p w14:paraId="6D8B6D8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（二）项目支出</w:t>
      </w:r>
      <w:r>
        <w:rPr>
          <w:rFonts w:hint="eastAsia" w:ascii="等线" w:hAnsi="等线" w:eastAsia="等线" w:cs="Times New Roman"/>
          <w:color w:val="000000"/>
          <w:kern w:val="2"/>
          <w:sz w:val="21"/>
          <w:szCs w:val="21"/>
        </w:rPr>
        <w:t xml:space="preserve"> </w:t>
      </w:r>
    </w:p>
    <w:p w14:paraId="179647D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五、政府性基金预算支出</w:t>
      </w:r>
      <w:r>
        <w:rPr>
          <w:rFonts w:hint="eastAsia" w:ascii="等线" w:hAnsi="等线" w:eastAsia="等线" w:cs="Times New Roman"/>
          <w:color w:val="000000"/>
          <w:kern w:val="2"/>
          <w:sz w:val="21"/>
          <w:szCs w:val="21"/>
        </w:rPr>
        <w:t xml:space="preserve"> </w:t>
      </w:r>
    </w:p>
    <w:p w14:paraId="19A57F0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六、其他重要事项的情况说明</w:t>
      </w:r>
      <w:r>
        <w:rPr>
          <w:rFonts w:hint="eastAsia" w:ascii="等线" w:hAnsi="等线" w:eastAsia="等线" w:cs="Times New Roman"/>
          <w:color w:val="000000"/>
          <w:kern w:val="2"/>
          <w:sz w:val="21"/>
          <w:szCs w:val="21"/>
        </w:rPr>
        <w:t xml:space="preserve"> </w:t>
      </w:r>
    </w:p>
    <w:p w14:paraId="7E00262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（一）机关运行经费</w:t>
      </w:r>
      <w:r>
        <w:rPr>
          <w:rFonts w:hint="eastAsia" w:ascii="等线" w:hAnsi="等线" w:eastAsia="等线" w:cs="Times New Roman"/>
          <w:color w:val="000000"/>
          <w:kern w:val="2"/>
          <w:sz w:val="21"/>
          <w:szCs w:val="21"/>
        </w:rPr>
        <w:t xml:space="preserve"> </w:t>
      </w:r>
    </w:p>
    <w:p w14:paraId="23739CE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（二）“三公”经费预算</w:t>
      </w:r>
      <w:r>
        <w:rPr>
          <w:rFonts w:hint="eastAsia" w:ascii="等线" w:hAnsi="等线" w:eastAsia="等线" w:cs="Times New Roman"/>
          <w:color w:val="000000"/>
          <w:kern w:val="2"/>
          <w:sz w:val="21"/>
          <w:szCs w:val="21"/>
        </w:rPr>
        <w:t xml:space="preserve"> </w:t>
      </w:r>
    </w:p>
    <w:p w14:paraId="02ADB60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（三）一般性支出情况</w:t>
      </w:r>
      <w:r>
        <w:rPr>
          <w:rFonts w:hint="eastAsia" w:ascii="等线" w:hAnsi="等线" w:eastAsia="等线" w:cs="Times New Roman"/>
          <w:color w:val="000000"/>
          <w:kern w:val="2"/>
          <w:sz w:val="21"/>
          <w:szCs w:val="21"/>
        </w:rPr>
        <w:t xml:space="preserve"> </w:t>
      </w:r>
    </w:p>
    <w:p w14:paraId="6833AA8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（四）政府采购情况</w:t>
      </w:r>
      <w:r>
        <w:rPr>
          <w:rFonts w:hint="eastAsia" w:ascii="等线" w:hAnsi="等线" w:eastAsia="等线" w:cs="Times New Roman"/>
          <w:color w:val="000000"/>
          <w:kern w:val="2"/>
          <w:sz w:val="21"/>
          <w:szCs w:val="21"/>
        </w:rPr>
        <w:t xml:space="preserve"> </w:t>
      </w:r>
    </w:p>
    <w:p w14:paraId="05F911E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（五）国有资产占用使用及新增资产配置情况</w:t>
      </w:r>
      <w:r>
        <w:rPr>
          <w:rFonts w:hint="eastAsia" w:ascii="等线" w:hAnsi="等线" w:eastAsia="等线" w:cs="Times New Roman"/>
          <w:color w:val="000000"/>
          <w:kern w:val="2"/>
          <w:sz w:val="21"/>
          <w:szCs w:val="21"/>
        </w:rPr>
        <w:t xml:space="preserve"> </w:t>
      </w:r>
    </w:p>
    <w:p w14:paraId="13DDF4A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（六）部门整体支出、单位项目支出、重点（专项）项目支出预算绩效目标情况说明</w:t>
      </w:r>
      <w:r>
        <w:rPr>
          <w:rFonts w:hint="eastAsia" w:ascii="等线" w:hAnsi="等线" w:eastAsia="等线" w:cs="Times New Roman"/>
          <w:color w:val="000000"/>
          <w:kern w:val="2"/>
          <w:sz w:val="21"/>
          <w:szCs w:val="21"/>
        </w:rPr>
        <w:t xml:space="preserve"> </w:t>
      </w:r>
    </w:p>
    <w:p w14:paraId="10F9E4D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七、名词解释</w:t>
      </w:r>
    </w:p>
    <w:p w14:paraId="3B99A5C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第二部分</w:t>
      </w:r>
      <w:r>
        <w:rPr>
          <w:rFonts w:hint="eastAsia" w:ascii="等线" w:hAnsi="等线" w:eastAsia="等线" w:cs="Times New Roman"/>
          <w:b/>
          <w:bCs/>
          <w:color w:val="000000"/>
          <w:kern w:val="2"/>
          <w:sz w:val="21"/>
          <w:szCs w:val="21"/>
        </w:rPr>
        <w:t xml:space="preserve"> </w:t>
      </w:r>
      <w:r>
        <w:rPr>
          <w:rFonts w:hint="eastAsia" w:ascii="宋体" w:hAnsi="宋体" w:eastAsia="宋体" w:cs="宋体"/>
          <w:b/>
          <w:bCs/>
          <w:color w:val="000000"/>
          <w:kern w:val="2"/>
          <w:sz w:val="32"/>
          <w:szCs w:val="32"/>
        </w:rPr>
        <w:t>2026年部门预算表</w:t>
      </w:r>
      <w:r>
        <w:rPr>
          <w:rFonts w:hint="eastAsia" w:ascii="等线" w:hAnsi="等线" w:eastAsia="等线" w:cs="Times New Roman"/>
          <w:color w:val="000000"/>
          <w:kern w:val="2"/>
          <w:sz w:val="21"/>
          <w:szCs w:val="21"/>
        </w:rPr>
        <w:t xml:space="preserve"> </w:t>
      </w:r>
    </w:p>
    <w:p w14:paraId="449CB7B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1、收支总表</w:t>
      </w:r>
      <w:r>
        <w:rPr>
          <w:rFonts w:hint="eastAsia" w:ascii="等线" w:hAnsi="等线" w:eastAsia="等线" w:cs="Times New Roman"/>
          <w:color w:val="000000"/>
          <w:kern w:val="2"/>
          <w:sz w:val="21"/>
          <w:szCs w:val="21"/>
        </w:rPr>
        <w:t xml:space="preserve"> </w:t>
      </w:r>
    </w:p>
    <w:p w14:paraId="359E1EA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2、收入总表</w:t>
      </w:r>
      <w:r>
        <w:rPr>
          <w:rFonts w:hint="eastAsia" w:ascii="等线" w:hAnsi="等线" w:eastAsia="等线" w:cs="Times New Roman"/>
          <w:color w:val="000000"/>
          <w:kern w:val="2"/>
          <w:sz w:val="21"/>
          <w:szCs w:val="21"/>
        </w:rPr>
        <w:t xml:space="preserve"> </w:t>
      </w:r>
    </w:p>
    <w:p w14:paraId="1763BA5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3、支出总表</w:t>
      </w:r>
      <w:r>
        <w:rPr>
          <w:rFonts w:hint="eastAsia" w:ascii="等线" w:hAnsi="等线" w:eastAsia="等线" w:cs="Times New Roman"/>
          <w:color w:val="000000"/>
          <w:kern w:val="2"/>
          <w:sz w:val="21"/>
          <w:szCs w:val="21"/>
        </w:rPr>
        <w:t xml:space="preserve"> </w:t>
      </w:r>
    </w:p>
    <w:p w14:paraId="4FF4C06E">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4、支出预算分类汇总表（按政府预算经济分类）</w:t>
      </w:r>
      <w:r>
        <w:rPr>
          <w:rFonts w:hint="eastAsia" w:ascii="等线" w:hAnsi="等线" w:eastAsia="等线" w:cs="Times New Roman"/>
          <w:color w:val="000000"/>
          <w:kern w:val="2"/>
          <w:sz w:val="21"/>
          <w:szCs w:val="21"/>
        </w:rPr>
        <w:t xml:space="preserve"> </w:t>
      </w:r>
    </w:p>
    <w:p w14:paraId="4FD7311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5、支出预算分类汇总表（按部门预算经济分类）</w:t>
      </w:r>
      <w:r>
        <w:rPr>
          <w:rFonts w:hint="eastAsia" w:ascii="等线" w:hAnsi="等线" w:eastAsia="等线" w:cs="Times New Roman"/>
          <w:color w:val="000000"/>
          <w:kern w:val="2"/>
          <w:sz w:val="21"/>
          <w:szCs w:val="21"/>
        </w:rPr>
        <w:t xml:space="preserve"> </w:t>
      </w:r>
    </w:p>
    <w:p w14:paraId="5344A86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6、财政拨款收支总表</w:t>
      </w:r>
      <w:r>
        <w:rPr>
          <w:rFonts w:hint="eastAsia" w:ascii="等线" w:hAnsi="等线" w:eastAsia="等线" w:cs="Times New Roman"/>
          <w:color w:val="000000"/>
          <w:kern w:val="2"/>
          <w:sz w:val="21"/>
          <w:szCs w:val="21"/>
        </w:rPr>
        <w:t xml:space="preserve"> </w:t>
      </w:r>
    </w:p>
    <w:p w14:paraId="127B686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7、一般公共预算支出表</w:t>
      </w:r>
      <w:r>
        <w:rPr>
          <w:rFonts w:hint="eastAsia" w:ascii="等线" w:hAnsi="等线" w:eastAsia="等线" w:cs="Times New Roman"/>
          <w:color w:val="000000"/>
          <w:kern w:val="2"/>
          <w:sz w:val="21"/>
          <w:szCs w:val="21"/>
        </w:rPr>
        <w:t xml:space="preserve"> </w:t>
      </w:r>
    </w:p>
    <w:p w14:paraId="296481E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8、一般公共预算基本支出表</w:t>
      </w:r>
      <w:r>
        <w:rPr>
          <w:rFonts w:hint="eastAsia" w:ascii="等线" w:hAnsi="等线" w:eastAsia="等线" w:cs="Times New Roman"/>
          <w:color w:val="000000"/>
          <w:kern w:val="2"/>
          <w:sz w:val="21"/>
          <w:szCs w:val="21"/>
        </w:rPr>
        <w:t xml:space="preserve"> </w:t>
      </w:r>
    </w:p>
    <w:p w14:paraId="1DBBF97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9、一般公共预算基本支出表--人员经费(工资福利支出)(按政府预算经济分类)</w:t>
      </w:r>
      <w:r>
        <w:rPr>
          <w:rFonts w:hint="eastAsia" w:ascii="等线" w:hAnsi="等线" w:eastAsia="等线" w:cs="Times New Roman"/>
          <w:color w:val="000000"/>
          <w:kern w:val="2"/>
          <w:sz w:val="21"/>
          <w:szCs w:val="21"/>
        </w:rPr>
        <w:t xml:space="preserve"> </w:t>
      </w:r>
    </w:p>
    <w:p w14:paraId="25F5F78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10、一般公共预算基本支出表--人员经费(工资福利支出)(按部门预算经济分类)</w:t>
      </w:r>
      <w:r>
        <w:rPr>
          <w:rFonts w:hint="eastAsia" w:ascii="等线" w:hAnsi="等线" w:eastAsia="等线" w:cs="Times New Roman"/>
          <w:color w:val="000000"/>
          <w:kern w:val="2"/>
          <w:sz w:val="21"/>
          <w:szCs w:val="21"/>
        </w:rPr>
        <w:t xml:space="preserve"> </w:t>
      </w:r>
    </w:p>
    <w:p w14:paraId="0E908F3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11、一般公共预算基本支出表--人员经费(对个人和家庭的补助)(按政府预算经济分类)</w:t>
      </w:r>
      <w:r>
        <w:rPr>
          <w:rFonts w:hint="eastAsia" w:ascii="等线" w:hAnsi="等线" w:eastAsia="等线" w:cs="Times New Roman"/>
          <w:color w:val="000000"/>
          <w:kern w:val="2"/>
          <w:sz w:val="21"/>
          <w:szCs w:val="21"/>
        </w:rPr>
        <w:t xml:space="preserve"> </w:t>
      </w:r>
    </w:p>
    <w:p w14:paraId="37E9A2C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12、一般公共预算基本支出表--人员经费(对个人和家庭的补助)（按部门预算经济分类）</w:t>
      </w:r>
      <w:r>
        <w:rPr>
          <w:rFonts w:hint="eastAsia" w:ascii="等线" w:hAnsi="等线" w:eastAsia="等线" w:cs="Times New Roman"/>
          <w:color w:val="000000"/>
          <w:kern w:val="2"/>
          <w:sz w:val="21"/>
          <w:szCs w:val="21"/>
        </w:rPr>
        <w:t xml:space="preserve"> </w:t>
      </w:r>
    </w:p>
    <w:p w14:paraId="5CE989D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13、一般公共预算基本支出表--公用经费(商品和服务支出)（按政府预算经济分类）</w:t>
      </w:r>
      <w:r>
        <w:rPr>
          <w:rFonts w:hint="eastAsia" w:ascii="等线" w:hAnsi="等线" w:eastAsia="等线" w:cs="Times New Roman"/>
          <w:color w:val="000000"/>
          <w:kern w:val="2"/>
          <w:sz w:val="21"/>
          <w:szCs w:val="21"/>
        </w:rPr>
        <w:t xml:space="preserve"> </w:t>
      </w:r>
    </w:p>
    <w:p w14:paraId="670EA90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14、一般公共预算基本支出表--公用经费(商品和服务支出)(按部门预算经济分类)</w:t>
      </w:r>
      <w:r>
        <w:rPr>
          <w:rFonts w:hint="eastAsia" w:ascii="等线" w:hAnsi="等线" w:eastAsia="等线" w:cs="Times New Roman"/>
          <w:color w:val="000000"/>
          <w:kern w:val="2"/>
          <w:sz w:val="21"/>
          <w:szCs w:val="21"/>
        </w:rPr>
        <w:t xml:space="preserve"> </w:t>
      </w:r>
    </w:p>
    <w:p w14:paraId="2BB267E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15、一般公共预算“三公”经费支出表</w:t>
      </w:r>
      <w:r>
        <w:rPr>
          <w:rFonts w:hint="eastAsia" w:ascii="等线" w:hAnsi="等线" w:eastAsia="等线" w:cs="Times New Roman"/>
          <w:color w:val="000000"/>
          <w:kern w:val="2"/>
          <w:sz w:val="21"/>
          <w:szCs w:val="21"/>
        </w:rPr>
        <w:t xml:space="preserve"> </w:t>
      </w:r>
    </w:p>
    <w:p w14:paraId="2997709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16、政府性基金预算支出表</w:t>
      </w:r>
      <w:r>
        <w:rPr>
          <w:rFonts w:hint="eastAsia" w:ascii="等线" w:hAnsi="等线" w:eastAsia="等线" w:cs="Times New Roman"/>
          <w:color w:val="000000"/>
          <w:kern w:val="2"/>
          <w:sz w:val="21"/>
          <w:szCs w:val="21"/>
        </w:rPr>
        <w:t xml:space="preserve"> </w:t>
      </w:r>
    </w:p>
    <w:p w14:paraId="389069F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17、政府性基金预算支出分类汇总表（按政府预算经济分类）</w:t>
      </w:r>
      <w:r>
        <w:rPr>
          <w:rFonts w:hint="eastAsia" w:ascii="等线" w:hAnsi="等线" w:eastAsia="等线" w:cs="Times New Roman"/>
          <w:color w:val="000000"/>
          <w:kern w:val="2"/>
          <w:sz w:val="21"/>
          <w:szCs w:val="21"/>
        </w:rPr>
        <w:t xml:space="preserve"> </w:t>
      </w:r>
    </w:p>
    <w:p w14:paraId="4ED46B9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18、政府性基金预算支出分类汇总表（按部门预算经济分类）</w:t>
      </w:r>
      <w:r>
        <w:rPr>
          <w:rFonts w:hint="eastAsia" w:ascii="等线" w:hAnsi="等线" w:eastAsia="等线" w:cs="Times New Roman"/>
          <w:color w:val="000000"/>
          <w:kern w:val="2"/>
          <w:sz w:val="21"/>
          <w:szCs w:val="21"/>
        </w:rPr>
        <w:t xml:space="preserve"> </w:t>
      </w:r>
    </w:p>
    <w:p w14:paraId="10817EF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19、国有资本经营预算支出表</w:t>
      </w:r>
      <w:r>
        <w:rPr>
          <w:rFonts w:hint="eastAsia" w:ascii="等线" w:hAnsi="等线" w:eastAsia="等线" w:cs="Times New Roman"/>
          <w:color w:val="000000"/>
          <w:kern w:val="2"/>
          <w:sz w:val="21"/>
          <w:szCs w:val="21"/>
        </w:rPr>
        <w:t xml:space="preserve"> </w:t>
      </w:r>
    </w:p>
    <w:p w14:paraId="6709460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20、财政专户管理资金预算支出表</w:t>
      </w:r>
      <w:r>
        <w:rPr>
          <w:rFonts w:hint="eastAsia" w:ascii="等线" w:hAnsi="等线" w:eastAsia="等线" w:cs="Times New Roman"/>
          <w:color w:val="000000"/>
          <w:kern w:val="2"/>
          <w:sz w:val="21"/>
          <w:szCs w:val="21"/>
        </w:rPr>
        <w:t xml:space="preserve"> </w:t>
      </w:r>
    </w:p>
    <w:p w14:paraId="383FBC8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21、专项资金预算汇总表</w:t>
      </w:r>
      <w:r>
        <w:rPr>
          <w:rFonts w:hint="eastAsia" w:ascii="等线" w:hAnsi="等线" w:eastAsia="等线" w:cs="Times New Roman"/>
          <w:color w:val="000000"/>
          <w:kern w:val="2"/>
          <w:sz w:val="21"/>
          <w:szCs w:val="21"/>
        </w:rPr>
        <w:t xml:space="preserve"> </w:t>
      </w:r>
    </w:p>
    <w:p w14:paraId="36D6219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22、项目支出绩效目标表</w:t>
      </w:r>
      <w:r>
        <w:rPr>
          <w:rFonts w:hint="eastAsia" w:ascii="等线" w:hAnsi="等线" w:eastAsia="等线" w:cs="Times New Roman"/>
          <w:color w:val="000000"/>
          <w:kern w:val="2"/>
          <w:sz w:val="21"/>
          <w:szCs w:val="21"/>
        </w:rPr>
        <w:t xml:space="preserve"> </w:t>
      </w:r>
    </w:p>
    <w:p w14:paraId="0A291399">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23、整体支出绩效目标表</w:t>
      </w:r>
      <w:r>
        <w:rPr>
          <w:rFonts w:hint="eastAsia" w:ascii="等线" w:hAnsi="等线" w:eastAsia="等线" w:cs="Times New Roman"/>
          <w:color w:val="000000"/>
          <w:kern w:val="2"/>
          <w:sz w:val="21"/>
          <w:szCs w:val="21"/>
        </w:rPr>
        <w:t xml:space="preserve"> </w:t>
      </w:r>
    </w:p>
    <w:p w14:paraId="537120E6">
      <w:pPr>
        <w:spacing w:before="0" w:beforeAutospacing="0" w:after="1" w:afterAutospacing="0"/>
        <w:ind w:left="0" w:firstLine="643"/>
        <w:rPr>
          <w:rFonts w:hint="eastAsia" w:ascii="等线" w:hAnsi="等线" w:eastAsia="等线" w:cs="Times New Roman"/>
          <w:kern w:val="2"/>
          <w:sz w:val="21"/>
          <w:szCs w:val="21"/>
        </w:rPr>
      </w:pPr>
      <w:r>
        <w:rPr>
          <w:rStyle w:val="17"/>
          <w:rFonts w:hint="eastAsia" w:ascii="宋体" w:hAnsi="宋体" w:eastAsia="宋体" w:cs="宋体"/>
          <w:b/>
          <w:bCs w:val="0"/>
          <w:color w:val="000000"/>
          <w:sz w:val="28"/>
          <w:szCs w:val="28"/>
        </w:rPr>
        <w:t>注：以上</w:t>
      </w:r>
      <w:r>
        <w:rPr>
          <w:rStyle w:val="17"/>
          <w:rFonts w:hint="eastAsia" w:ascii="宋体" w:hAnsi="宋体" w:eastAsia="宋体" w:cs="宋体"/>
          <w:b/>
          <w:bCs/>
          <w:color w:val="000000"/>
          <w:sz w:val="28"/>
          <w:szCs w:val="28"/>
        </w:rPr>
        <w:t>部门</w:t>
      </w:r>
      <w:r>
        <w:rPr>
          <w:rStyle w:val="17"/>
          <w:rFonts w:hint="eastAsia" w:ascii="宋体" w:hAnsi="宋体" w:eastAsia="宋体" w:cs="宋体"/>
          <w:b/>
          <w:bCs w:val="0"/>
          <w:color w:val="000000"/>
          <w:sz w:val="28"/>
          <w:szCs w:val="28"/>
        </w:rPr>
        <w:t>预算报表中，空表表示本</w:t>
      </w:r>
      <w:r>
        <w:rPr>
          <w:rStyle w:val="17"/>
          <w:rFonts w:hint="eastAsia" w:ascii="宋体" w:hAnsi="宋体" w:eastAsia="宋体" w:cs="宋体"/>
          <w:b/>
          <w:bCs/>
          <w:color w:val="000000"/>
          <w:sz w:val="28"/>
          <w:szCs w:val="28"/>
        </w:rPr>
        <w:t>部门</w:t>
      </w:r>
      <w:r>
        <w:rPr>
          <w:rStyle w:val="17"/>
          <w:rFonts w:hint="eastAsia" w:ascii="宋体" w:hAnsi="宋体" w:eastAsia="宋体" w:cs="宋体"/>
          <w:b/>
          <w:bCs w:val="0"/>
          <w:color w:val="000000"/>
          <w:sz w:val="28"/>
          <w:szCs w:val="28"/>
        </w:rPr>
        <w:t>无相关收支情况。</w:t>
      </w:r>
      <w:r>
        <w:rPr>
          <w:rFonts w:hint="eastAsia" w:ascii="等线" w:hAnsi="等线" w:eastAsia="等线" w:cs="Times New Roman"/>
          <w:color w:val="000000"/>
          <w:kern w:val="2"/>
          <w:sz w:val="21"/>
          <w:szCs w:val="21"/>
        </w:rPr>
        <w:t xml:space="preserve"> </w:t>
      </w:r>
    </w:p>
    <w:p w14:paraId="25BF01B3">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3D1E5E47">
      <w:pPr>
        <w:spacing w:before="0" w:beforeAutospacing="0" w:after="1" w:afterAutospacing="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229786A3">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0"/>
          <w:szCs w:val="40"/>
        </w:rPr>
        <w:t>第一部分 2026年部门预算说明</w:t>
      </w:r>
      <w:r>
        <w:rPr>
          <w:rFonts w:hint="eastAsia" w:ascii="等线" w:hAnsi="等线" w:eastAsia="等线" w:cs="Times New Roman"/>
          <w:color w:val="000000"/>
          <w:kern w:val="2"/>
          <w:sz w:val="21"/>
          <w:szCs w:val="21"/>
        </w:rPr>
        <w:t xml:space="preserve"> </w:t>
      </w:r>
    </w:p>
    <w:p w14:paraId="3A7AEAD3">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 xml:space="preserve"> </w:t>
      </w:r>
      <w:r>
        <w:rPr>
          <w:rFonts w:hint="eastAsia" w:ascii="等线" w:hAnsi="等线" w:eastAsia="等线" w:cs="Times New Roman"/>
          <w:color w:val="000000"/>
          <w:kern w:val="2"/>
          <w:sz w:val="21"/>
          <w:szCs w:val="21"/>
        </w:rPr>
        <w:t xml:space="preserve"> </w:t>
      </w:r>
    </w:p>
    <w:p w14:paraId="052C412A">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一、</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基本概况</w:t>
      </w:r>
      <w:r>
        <w:rPr>
          <w:rFonts w:hint="eastAsia" w:ascii="等线" w:hAnsi="等线" w:eastAsia="等线" w:cs="Times New Roman"/>
          <w:color w:val="000000"/>
          <w:kern w:val="2"/>
          <w:sz w:val="21"/>
          <w:szCs w:val="21"/>
        </w:rPr>
        <w:t xml:space="preserve"> </w:t>
      </w:r>
    </w:p>
    <w:p w14:paraId="3F77E172">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（一）职能职责</w:t>
      </w:r>
      <w:r>
        <w:rPr>
          <w:rFonts w:hint="eastAsia" w:ascii="等线" w:hAnsi="等线" w:eastAsia="等线" w:cs="Times New Roman"/>
          <w:color w:val="000000"/>
          <w:kern w:val="2"/>
          <w:sz w:val="21"/>
          <w:szCs w:val="21"/>
        </w:rPr>
        <w:t xml:space="preserve"> </w:t>
      </w:r>
    </w:p>
    <w:p w14:paraId="56B4F1D4">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1、负责全区医疗保险、生育保险、医疗救助等医疗保障制度政策的规范和执行。</w:t>
      </w:r>
      <w:r>
        <w:rPr>
          <w:rFonts w:hint="default" w:ascii="Times New Roman" w:hAnsi="Times New Roman" w:eastAsia="等线" w:cs="Times New Roman"/>
          <w:color w:val="000000"/>
          <w:kern w:val="2"/>
          <w:sz w:val="32"/>
          <w:szCs w:val="32"/>
        </w:rPr>
        <w:t xml:space="preserve"> </w:t>
      </w:r>
    </w:p>
    <w:p w14:paraId="0D9D0B97">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2、制定全区定点医药机构协议和支付管理。</w:t>
      </w:r>
      <w:r>
        <w:rPr>
          <w:rFonts w:hint="default" w:ascii="Times New Roman" w:hAnsi="Times New Roman" w:eastAsia="等线" w:cs="Times New Roman"/>
          <w:color w:val="000000"/>
          <w:kern w:val="2"/>
          <w:sz w:val="32"/>
          <w:szCs w:val="32"/>
        </w:rPr>
        <w:t xml:space="preserve"> </w:t>
      </w:r>
    </w:p>
    <w:p w14:paraId="213C6C7D">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3、组织城乡药品、医用耗材、医疗服务设施等医保目录和支付标准的实施。</w:t>
      </w:r>
      <w:r>
        <w:rPr>
          <w:rFonts w:hint="default" w:ascii="Times New Roman" w:hAnsi="Times New Roman" w:eastAsia="等线" w:cs="Times New Roman"/>
          <w:color w:val="000000"/>
          <w:kern w:val="2"/>
          <w:sz w:val="32"/>
          <w:szCs w:val="32"/>
        </w:rPr>
        <w:t xml:space="preserve"> </w:t>
      </w:r>
    </w:p>
    <w:p w14:paraId="1D3A5D42">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4、负责指导、监督全区医疗保障经办和公共服务体系、信息化建设，依法查处医疗保障领域违法违规行为。</w:t>
      </w:r>
      <w:r>
        <w:rPr>
          <w:rFonts w:hint="default" w:ascii="Times New Roman" w:hAnsi="Times New Roman" w:eastAsia="等线" w:cs="Times New Roman"/>
          <w:color w:val="000000"/>
          <w:kern w:val="2"/>
          <w:sz w:val="32"/>
          <w:szCs w:val="32"/>
        </w:rPr>
        <w:t xml:space="preserve"> </w:t>
      </w:r>
    </w:p>
    <w:p w14:paraId="4DF800AC">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5、负责区级医疗保险、生育保险、医疗救助、离休干部等医疗保障经办业务工作。</w:t>
      </w:r>
      <w:r>
        <w:rPr>
          <w:rFonts w:hint="default" w:ascii="Times New Roman" w:hAnsi="Times New Roman" w:eastAsia="等线" w:cs="Times New Roman"/>
          <w:color w:val="000000"/>
          <w:kern w:val="2"/>
          <w:sz w:val="32"/>
          <w:szCs w:val="32"/>
        </w:rPr>
        <w:t xml:space="preserve"> </w:t>
      </w:r>
    </w:p>
    <w:p w14:paraId="769AB27C">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（二）机构设置</w:t>
      </w:r>
      <w:r>
        <w:rPr>
          <w:rFonts w:hint="eastAsia" w:ascii="等线" w:hAnsi="等线" w:eastAsia="等线" w:cs="Times New Roman"/>
          <w:color w:val="000000"/>
          <w:kern w:val="2"/>
          <w:sz w:val="21"/>
          <w:szCs w:val="21"/>
        </w:rPr>
        <w:t xml:space="preserve"> </w:t>
      </w:r>
    </w:p>
    <w:p w14:paraId="2A740228">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益阳市资阳区医疗保障局本级内设机构包括：下设办公室、财务股、业务股三个股室和益阳市资阳区医疗保障事务中心一个二级机构。目前局机关在职职工4人，区医保事务中心在职职工26人。</w:t>
      </w:r>
      <w:r>
        <w:rPr>
          <w:rFonts w:hint="eastAsia" w:ascii="等线" w:hAnsi="等线" w:eastAsia="等线" w:cs="Times New Roman"/>
          <w:color w:val="000000"/>
          <w:kern w:val="2"/>
          <w:sz w:val="21"/>
          <w:szCs w:val="21"/>
        </w:rPr>
        <w:t xml:space="preserve"> </w:t>
      </w:r>
    </w:p>
    <w:p w14:paraId="2A2DBF7C">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二、</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预算单位构成</w:t>
      </w:r>
      <w:r>
        <w:rPr>
          <w:rFonts w:hint="eastAsia" w:ascii="等线" w:hAnsi="等线" w:eastAsia="等线" w:cs="Times New Roman"/>
          <w:color w:val="000000"/>
          <w:kern w:val="2"/>
          <w:sz w:val="21"/>
          <w:szCs w:val="21"/>
        </w:rPr>
        <w:t xml:space="preserve"> </w:t>
      </w:r>
    </w:p>
    <w:p w14:paraId="24A20048">
      <w:pPr>
        <w:spacing w:before="0" w:beforeAutospacing="0" w:after="1" w:afterAutospacing="0"/>
        <w:ind w:left="0" w:firstLine="627"/>
        <w:rPr>
          <w:rFonts w:hint="eastAsia" w:ascii="等线" w:hAnsi="等线" w:eastAsia="等线" w:cs="Times New Roman"/>
          <w:kern w:val="2"/>
          <w:sz w:val="21"/>
          <w:szCs w:val="21"/>
        </w:rPr>
      </w:pPr>
      <w:r>
        <w:rPr>
          <w:rFonts w:hint="eastAsia" w:ascii="宋体" w:hAnsi="宋体" w:eastAsia="宋体" w:cs="宋体"/>
          <w:color w:val="000000"/>
          <w:kern w:val="2"/>
          <w:sz w:val="32"/>
          <w:szCs w:val="32"/>
        </w:rPr>
        <w:t>本部门预算为汇总预算，纳入编制范围的预算单位包括：1、益阳市资阳区医疗保障局本级；2、益阳市资阳区医疗保障事务中心。</w:t>
      </w:r>
    </w:p>
    <w:p w14:paraId="66391E17">
      <w:pPr>
        <w:spacing w:before="0" w:beforeAutospacing="0" w:after="1" w:afterAutospacing="0"/>
        <w:ind w:left="0" w:firstLine="627"/>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三、</w:t>
      </w:r>
      <w:r>
        <w:rPr>
          <w:rStyle w:val="17"/>
          <w:rFonts w:hint="eastAsia" w:ascii="宋体" w:hAnsi="宋体" w:eastAsia="宋体" w:cs="宋体"/>
          <w:b/>
          <w:bCs/>
          <w:color w:val="000000"/>
          <w:sz w:val="32"/>
          <w:szCs w:val="32"/>
        </w:rPr>
        <w:t>部门</w:t>
      </w:r>
      <w:r>
        <w:rPr>
          <w:rStyle w:val="17"/>
          <w:rFonts w:hint="eastAsia" w:ascii="宋体" w:hAnsi="宋体" w:eastAsia="宋体" w:cs="宋体"/>
          <w:b/>
          <w:bCs w:val="0"/>
          <w:color w:val="000000"/>
          <w:sz w:val="32"/>
          <w:szCs w:val="32"/>
        </w:rPr>
        <w:t>收支总体情况</w:t>
      </w:r>
      <w:r>
        <w:rPr>
          <w:rFonts w:hint="eastAsia" w:ascii="等线" w:hAnsi="等线" w:eastAsia="等线" w:cs="Times New Roman"/>
          <w:color w:val="000000"/>
          <w:kern w:val="2"/>
          <w:sz w:val="21"/>
          <w:szCs w:val="21"/>
        </w:rPr>
        <w:t xml:space="preserve"> </w:t>
      </w:r>
    </w:p>
    <w:p w14:paraId="38D7D601">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（一）收入预算：</w:t>
      </w:r>
      <w:r>
        <w:rPr>
          <w:rFonts w:hint="eastAsia" w:ascii="宋体" w:hAnsi="宋体" w:eastAsia="宋体" w:cs="宋体"/>
          <w:color w:val="000000"/>
          <w:kern w:val="2"/>
          <w:sz w:val="32"/>
          <w:szCs w:val="32"/>
        </w:rPr>
        <w:t>包括一般公共预算、政府性基金、国有资本经营预算等财政拨款收入，以及经营收入、事业收入等单位资金。2026年本部门收入预算227.5万元，其中，一般公共预算拨款收入227.5万元。收入较去年减少7.46万元，主要原因是退休一人。</w:t>
      </w:r>
      <w:r>
        <w:rPr>
          <w:rFonts w:hint="eastAsia" w:ascii="等线" w:hAnsi="等线" w:eastAsia="等线" w:cs="Times New Roman"/>
          <w:color w:val="000000"/>
          <w:kern w:val="2"/>
          <w:sz w:val="21"/>
          <w:szCs w:val="21"/>
        </w:rPr>
        <w:t xml:space="preserve"> </w:t>
      </w:r>
    </w:p>
    <w:p w14:paraId="3B6BF749">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（二）支出预算：</w:t>
      </w:r>
      <w:r>
        <w:rPr>
          <w:rFonts w:hint="eastAsia" w:ascii="宋体" w:hAnsi="宋体" w:eastAsia="宋体" w:cs="宋体"/>
          <w:color w:val="000000"/>
          <w:kern w:val="2"/>
          <w:sz w:val="32"/>
          <w:szCs w:val="32"/>
        </w:rPr>
        <w:t>2026年本部门支出预算227.5万元，其中：</w:t>
      </w:r>
      <w:r>
        <w:rPr>
          <w:rFonts w:hint="eastAsia" w:ascii="等线" w:hAnsi="等线" w:eastAsia="等线" w:cs="Times New Roman"/>
          <w:color w:val="000000"/>
          <w:kern w:val="2"/>
          <w:sz w:val="21"/>
          <w:szCs w:val="21"/>
        </w:rPr>
        <w:t xml:space="preserve"> </w:t>
      </w:r>
    </w:p>
    <w:p w14:paraId="2D3D5939">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一般公共服务支出39.58万元，社会保障和就业支出6.33万元，卫生健康支出176.84万元，住房保障支出4.75万元。支出较去年减少7.46万元，主要原因是退休一人。</w:t>
      </w:r>
      <w:r>
        <w:rPr>
          <w:rFonts w:hint="eastAsia" w:ascii="等线" w:hAnsi="等线" w:eastAsia="等线" w:cs="Times New Roman"/>
          <w:color w:val="000000"/>
          <w:kern w:val="2"/>
          <w:sz w:val="21"/>
          <w:szCs w:val="21"/>
        </w:rPr>
        <w:t xml:space="preserve"> </w:t>
      </w:r>
    </w:p>
    <w:p w14:paraId="31A5A96F">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四、一般公共预算拨款支出</w:t>
      </w:r>
      <w:r>
        <w:rPr>
          <w:rFonts w:hint="eastAsia" w:ascii="等线" w:hAnsi="等线" w:eastAsia="等线" w:cs="Times New Roman"/>
          <w:color w:val="000000"/>
          <w:kern w:val="2"/>
          <w:sz w:val="21"/>
          <w:szCs w:val="21"/>
        </w:rPr>
        <w:t xml:space="preserve"> </w:t>
      </w:r>
    </w:p>
    <w:p w14:paraId="41A2C25A">
      <w:pPr>
        <w:spacing w:before="0" w:beforeAutospacing="0" w:after="1" w:afterAutospacing="0"/>
        <w:ind w:left="0" w:firstLine="88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2026年本部门一般公共预算拨款支出预算227.5万元，其中：一般公共服务支出39.58万元，占17.4%；社会保障和就业支出6.33万元，占2.78%；卫生健康支出176.84万元，占77.73%；住房保障支出4.75万元，占2.09%。具体安排情况如下：</w:t>
      </w:r>
      <w:r>
        <w:rPr>
          <w:rFonts w:hint="eastAsia" w:ascii="等线" w:hAnsi="等线" w:eastAsia="等线" w:cs="Times New Roman"/>
          <w:color w:val="000000"/>
          <w:kern w:val="2"/>
          <w:sz w:val="21"/>
          <w:szCs w:val="21"/>
        </w:rPr>
        <w:t xml:space="preserve"> </w:t>
      </w:r>
    </w:p>
    <w:p w14:paraId="3A8C6D4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（一）基本支出：</w:t>
      </w:r>
      <w:r>
        <w:rPr>
          <w:rFonts w:hint="eastAsia" w:ascii="宋体" w:hAnsi="宋体" w:eastAsia="宋体" w:cs="宋体"/>
          <w:color w:val="000000"/>
          <w:kern w:val="2"/>
          <w:sz w:val="32"/>
          <w:szCs w:val="32"/>
        </w:rPr>
        <w:t>2026年本部门基本支出预算62.28万元，主要是为保障部门正常运转、完成日常工作任务而发生的各项支出，包括用于基本工资、津贴补贴等人员经费以及办公费、印刷费、水电费、办公设备购置等公用经费。</w:t>
      </w:r>
      <w:r>
        <w:rPr>
          <w:rFonts w:hint="eastAsia" w:ascii="等线" w:hAnsi="等线" w:eastAsia="等线" w:cs="Times New Roman"/>
          <w:color w:val="000000"/>
          <w:kern w:val="2"/>
          <w:sz w:val="21"/>
          <w:szCs w:val="21"/>
        </w:rPr>
        <w:t xml:space="preserve"> </w:t>
      </w:r>
    </w:p>
    <w:p w14:paraId="04E5CEC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（二）项目支出：</w:t>
      </w:r>
      <w:r>
        <w:rPr>
          <w:rFonts w:hint="eastAsia" w:ascii="宋体" w:hAnsi="宋体" w:eastAsia="宋体" w:cs="宋体"/>
          <w:color w:val="000000"/>
          <w:kern w:val="2"/>
          <w:sz w:val="32"/>
          <w:szCs w:val="32"/>
        </w:rPr>
        <w:t>2026年本部门项目支出预算165.22万元，主要是部门为完成特定行政工作任务或事业发展目标而发生的支出，包括有关事业发展专项、专项业务费、基本建设支出等，其中：其他医疗保障管理事务支出165.22万元，主要用于医保筹资等方面。</w:t>
      </w:r>
      <w:r>
        <w:rPr>
          <w:rFonts w:hint="eastAsia" w:ascii="等线" w:hAnsi="等线" w:eastAsia="等线" w:cs="Times New Roman"/>
          <w:color w:val="000000"/>
          <w:kern w:val="2"/>
          <w:sz w:val="21"/>
          <w:szCs w:val="21"/>
        </w:rPr>
        <w:t xml:space="preserve"> </w:t>
      </w:r>
    </w:p>
    <w:p w14:paraId="7E3EC9F4">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五、政府性基金预算支出</w:t>
      </w:r>
      <w:r>
        <w:rPr>
          <w:rFonts w:hint="eastAsia" w:ascii="等线" w:hAnsi="等线" w:eastAsia="等线" w:cs="Times New Roman"/>
          <w:color w:val="000000"/>
          <w:kern w:val="2"/>
          <w:sz w:val="21"/>
          <w:szCs w:val="21"/>
        </w:rPr>
        <w:t xml:space="preserve"> </w:t>
      </w:r>
    </w:p>
    <w:p w14:paraId="505EB137">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本部门无政府性基金安排的支出。</w:t>
      </w:r>
      <w:r>
        <w:rPr>
          <w:rFonts w:hint="eastAsia" w:ascii="等线" w:hAnsi="等线" w:eastAsia="等线" w:cs="Times New Roman"/>
          <w:color w:val="000000"/>
          <w:kern w:val="2"/>
          <w:sz w:val="21"/>
          <w:szCs w:val="21"/>
        </w:rPr>
        <w:t xml:space="preserve"> </w:t>
      </w:r>
    </w:p>
    <w:p w14:paraId="7BC47BD4">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六、其他重要事项的情况说明</w:t>
      </w:r>
      <w:r>
        <w:rPr>
          <w:rFonts w:hint="eastAsia" w:ascii="等线" w:hAnsi="等线" w:eastAsia="等线" w:cs="Times New Roman"/>
          <w:color w:val="000000"/>
          <w:kern w:val="2"/>
          <w:sz w:val="21"/>
          <w:szCs w:val="21"/>
        </w:rPr>
        <w:t xml:space="preserve"> </w:t>
      </w:r>
    </w:p>
    <w:p w14:paraId="27C766C9">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（一）机关运行经费：</w:t>
      </w:r>
      <w:r>
        <w:rPr>
          <w:rFonts w:hint="eastAsia" w:ascii="宋体" w:hAnsi="宋体" w:eastAsia="宋体" w:cs="宋体"/>
          <w:color w:val="000000"/>
          <w:kern w:val="2"/>
          <w:sz w:val="32"/>
          <w:szCs w:val="32"/>
        </w:rPr>
        <w:t>2026年本部门机关运行经费8.01万元，比上年预算减少0.38万元，</w:t>
      </w:r>
    </w:p>
    <w:p w14:paraId="105A1A5F">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比上年预算下降4.53%，主要原因是退休一人。</w:t>
      </w:r>
      <w:r>
        <w:rPr>
          <w:rFonts w:hint="eastAsia" w:ascii="等线" w:hAnsi="等线" w:eastAsia="等线" w:cs="Times New Roman"/>
          <w:color w:val="000000"/>
          <w:kern w:val="2"/>
          <w:sz w:val="21"/>
          <w:szCs w:val="21"/>
        </w:rPr>
        <w:t xml:space="preserve"> </w:t>
      </w:r>
    </w:p>
    <w:p w14:paraId="66CB4FCF">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（二）“三公”经费预算：</w:t>
      </w:r>
      <w:r>
        <w:rPr>
          <w:rFonts w:hint="eastAsia" w:ascii="宋体" w:hAnsi="宋体" w:eastAsia="宋体" w:cs="宋体"/>
          <w:color w:val="000000"/>
          <w:kern w:val="2"/>
          <w:sz w:val="32"/>
          <w:szCs w:val="32"/>
        </w:rPr>
        <w:t>2026年本部门“三公”经费预算数为0万元，其中，公务接待费0万元，公务用车购置及运行费0万元（其中，公务用车购置费0万元，公务用车运行费0万元），因公出国（境）费0万元。2026年“三公”经费预算较2025年持平。主要原因是公务接待、公务用车购置运行、因公出国等三公相关预算2026年与2025年未发生变化。</w:t>
      </w:r>
      <w:r>
        <w:rPr>
          <w:rFonts w:hint="eastAsia" w:ascii="等线" w:hAnsi="等线" w:eastAsia="等线" w:cs="Times New Roman"/>
          <w:color w:val="000000"/>
          <w:kern w:val="2"/>
          <w:sz w:val="21"/>
          <w:szCs w:val="21"/>
        </w:rPr>
        <w:t xml:space="preserve"> </w:t>
      </w:r>
    </w:p>
    <w:p w14:paraId="66BBD693">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（三）一般性支出情况：</w:t>
      </w:r>
      <w:r>
        <w:rPr>
          <w:rFonts w:hint="eastAsia" w:ascii="宋体" w:hAnsi="宋体" w:eastAsia="宋体" w:cs="宋体"/>
          <w:color w:val="000000"/>
          <w:kern w:val="2"/>
          <w:sz w:val="32"/>
          <w:szCs w:val="32"/>
        </w:rPr>
        <w:t>2026年本部门会议费预算0万元，本年度无会议费支出；培训费预算0万元，本年度无培训费支出；拟举办0场节庆、晚会、论坛、赛事活动，开支0万元，无相关活动计划。</w:t>
      </w:r>
      <w:r>
        <w:rPr>
          <w:rFonts w:hint="eastAsia" w:ascii="等线" w:hAnsi="等线" w:eastAsia="等线" w:cs="Times New Roman"/>
          <w:color w:val="000000"/>
          <w:kern w:val="2"/>
          <w:sz w:val="21"/>
          <w:szCs w:val="21"/>
        </w:rPr>
        <w:t xml:space="preserve"> </w:t>
      </w:r>
    </w:p>
    <w:p w14:paraId="76D08DC9">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（四）政府采购情况：</w:t>
      </w:r>
      <w:r>
        <w:rPr>
          <w:rFonts w:hint="eastAsia" w:ascii="宋体" w:hAnsi="宋体" w:eastAsia="宋体" w:cs="宋体"/>
          <w:color w:val="000000"/>
          <w:kern w:val="2"/>
          <w:sz w:val="32"/>
          <w:szCs w:val="32"/>
        </w:rPr>
        <w:t>2026年本部门政府采购预算总额0万元，其中，货物类采购预算0万元；工程类采购预算0万元；服务类采购预算0万元。</w:t>
      </w:r>
      <w:r>
        <w:rPr>
          <w:rFonts w:hint="eastAsia" w:ascii="等线" w:hAnsi="等线" w:eastAsia="等线" w:cs="Times New Roman"/>
          <w:color w:val="000000"/>
          <w:kern w:val="2"/>
          <w:sz w:val="21"/>
          <w:szCs w:val="21"/>
        </w:rPr>
        <w:t xml:space="preserve"> </w:t>
      </w:r>
    </w:p>
    <w:p w14:paraId="3A9117F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（五）国有资产占用使用及新增资产配置情况：</w:t>
      </w:r>
      <w:r>
        <w:rPr>
          <w:rFonts w:hint="eastAsia" w:ascii="宋体" w:hAnsi="宋体" w:eastAsia="宋体" w:cs="宋体"/>
          <w:color w:val="000000"/>
          <w:kern w:val="2"/>
          <w:sz w:val="32"/>
          <w:szCs w:val="32"/>
        </w:rPr>
        <w:t>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2026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eastAsia" w:ascii="等线" w:hAnsi="等线" w:eastAsia="等线" w:cs="Times New Roman"/>
          <w:color w:val="000000"/>
          <w:kern w:val="2"/>
          <w:sz w:val="21"/>
          <w:szCs w:val="21"/>
        </w:rPr>
        <w:t xml:space="preserve"> </w:t>
      </w:r>
    </w:p>
    <w:p w14:paraId="47727E0B">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（六）</w:t>
      </w:r>
      <w:r>
        <w:rPr>
          <w:rStyle w:val="17"/>
          <w:rFonts w:hint="eastAsia" w:ascii="宋体" w:hAnsi="宋体" w:eastAsia="宋体" w:cs="宋体"/>
          <w:b/>
          <w:bCs/>
          <w:color w:val="000000"/>
          <w:sz w:val="32"/>
          <w:szCs w:val="32"/>
        </w:rPr>
        <w:t>部门</w:t>
      </w:r>
      <w:r>
        <w:rPr>
          <w:rFonts w:hint="eastAsia" w:ascii="宋体" w:hAnsi="宋体" w:eastAsia="宋体" w:cs="宋体"/>
          <w:b/>
          <w:bCs/>
          <w:color w:val="000000"/>
          <w:kern w:val="2"/>
          <w:sz w:val="32"/>
          <w:szCs w:val="32"/>
        </w:rPr>
        <w:t>整体支出、单位项目支出、重点（专项）项目支出预算绩效目标情况说明：</w:t>
      </w:r>
      <w:r>
        <w:rPr>
          <w:rFonts w:hint="eastAsia" w:ascii="宋体" w:hAnsi="宋体" w:eastAsia="宋体" w:cs="宋体"/>
          <w:color w:val="000000"/>
          <w:kern w:val="2"/>
          <w:sz w:val="32"/>
          <w:szCs w:val="32"/>
        </w:rPr>
        <w:t>本部门所有支出实行绩效目标管理，其中：纳入2026年部门整体支出绩效目标的金额为227.5万元，基本支出62.28万元，单位项目支出165.22万元。具体绩效目标详见报表。</w:t>
      </w:r>
      <w:r>
        <w:rPr>
          <w:rFonts w:hint="eastAsia" w:ascii="等线" w:hAnsi="等线" w:eastAsia="等线" w:cs="Times New Roman"/>
          <w:color w:val="000000"/>
          <w:kern w:val="2"/>
          <w:sz w:val="21"/>
          <w:szCs w:val="21"/>
        </w:rPr>
        <w:t xml:space="preserve"> </w:t>
      </w:r>
    </w:p>
    <w:p w14:paraId="30411FD2">
      <w:pPr>
        <w:spacing w:before="0" w:beforeAutospacing="0" w:after="1" w:afterAutospacing="0"/>
        <w:ind w:left="0" w:firstLine="660"/>
        <w:rPr>
          <w:rFonts w:hint="eastAsia" w:ascii="等线" w:hAnsi="等线" w:eastAsia="等线" w:cs="Times New Roman"/>
          <w:kern w:val="2"/>
          <w:sz w:val="21"/>
          <w:szCs w:val="21"/>
        </w:rPr>
      </w:pPr>
      <w:r>
        <w:rPr>
          <w:rStyle w:val="17"/>
          <w:rFonts w:hint="eastAsia" w:ascii="宋体" w:hAnsi="宋体" w:eastAsia="宋体" w:cs="宋体"/>
          <w:b/>
          <w:bCs w:val="0"/>
          <w:color w:val="000000"/>
          <w:sz w:val="32"/>
          <w:szCs w:val="32"/>
        </w:rPr>
        <w:t>七、名词解释</w:t>
      </w:r>
      <w:r>
        <w:rPr>
          <w:rFonts w:hint="eastAsia" w:ascii="等线" w:hAnsi="等线" w:eastAsia="等线" w:cs="Times New Roman"/>
          <w:color w:val="000000"/>
          <w:kern w:val="2"/>
          <w:sz w:val="21"/>
          <w:szCs w:val="21"/>
        </w:rPr>
        <w:t xml:space="preserve"> </w:t>
      </w:r>
    </w:p>
    <w:p w14:paraId="4FB1ABA2">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hint="eastAsia" w:ascii="等线" w:hAnsi="等线" w:eastAsia="等线" w:cs="Times New Roman"/>
          <w:color w:val="000000"/>
          <w:kern w:val="2"/>
          <w:sz w:val="21"/>
          <w:szCs w:val="21"/>
        </w:rPr>
        <w:t xml:space="preserve"> </w:t>
      </w:r>
    </w:p>
    <w:p w14:paraId="568734E7">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hint="eastAsia" w:ascii="等线" w:hAnsi="等线" w:eastAsia="等线" w:cs="Times New Roman"/>
          <w:color w:val="000000"/>
          <w:kern w:val="2"/>
          <w:sz w:val="21"/>
          <w:szCs w:val="21"/>
        </w:rPr>
        <w:t xml:space="preserve"> </w:t>
      </w:r>
    </w:p>
    <w:p w14:paraId="1A140311">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3、国有资本经营预算: 是对国有资本收益作出支出安排的收支预算。应当按照收支平衡的原则编制，不列赤字，并安排资金调入一般公共预算。</w:t>
      </w:r>
      <w:r>
        <w:rPr>
          <w:rFonts w:hint="eastAsia" w:ascii="等线" w:hAnsi="等线" w:eastAsia="等线" w:cs="Times New Roman"/>
          <w:color w:val="000000"/>
          <w:kern w:val="2"/>
          <w:sz w:val="21"/>
          <w:szCs w:val="21"/>
        </w:rPr>
        <w:t xml:space="preserve"> </w:t>
      </w:r>
    </w:p>
    <w:p w14:paraId="69FDF725">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4、社会保险基金预算: 是对社会保险缴款、一般公共预算安排和其他方式筹集的资金，专项用于社会保险的收支预算。应当按照统筹层次和社会保险项目分别编制，做到收支平衡。</w:t>
      </w:r>
      <w:r>
        <w:rPr>
          <w:rFonts w:hint="eastAsia" w:ascii="等线" w:hAnsi="等线" w:eastAsia="等线" w:cs="Times New Roman"/>
          <w:color w:val="000000"/>
          <w:kern w:val="2"/>
          <w:sz w:val="21"/>
          <w:szCs w:val="21"/>
        </w:rPr>
        <w:t xml:space="preserve"> </w:t>
      </w:r>
    </w:p>
    <w:p w14:paraId="749C9429">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5、基本支出：指为保障机构正常运转、完成日常工作任务而发生的人员支出和公用支出。</w:t>
      </w:r>
      <w:r>
        <w:rPr>
          <w:rFonts w:hint="eastAsia" w:ascii="等线" w:hAnsi="等线" w:eastAsia="等线" w:cs="Times New Roman"/>
          <w:color w:val="000000"/>
          <w:kern w:val="2"/>
          <w:sz w:val="21"/>
          <w:szCs w:val="21"/>
        </w:rPr>
        <w:t xml:space="preserve"> </w:t>
      </w:r>
    </w:p>
    <w:p w14:paraId="715E0D9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6、项目支出：指在基本支出之外为完成特定行政任务和事业发展目标所发生的支出。</w:t>
      </w:r>
      <w:r>
        <w:rPr>
          <w:rFonts w:hint="eastAsia" w:ascii="等线" w:hAnsi="等线" w:eastAsia="等线" w:cs="Times New Roman"/>
          <w:color w:val="000000"/>
          <w:kern w:val="2"/>
          <w:sz w:val="21"/>
          <w:szCs w:val="21"/>
        </w:rPr>
        <w:t xml:space="preserve"> </w:t>
      </w:r>
    </w:p>
    <w:p w14:paraId="767504A0">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rFonts w:hint="eastAsia" w:ascii="等线" w:hAnsi="等线" w:eastAsia="等线" w:cs="Times New Roman"/>
          <w:color w:val="000000"/>
          <w:kern w:val="2"/>
          <w:sz w:val="21"/>
          <w:szCs w:val="21"/>
        </w:rPr>
        <w:t xml:space="preserve"> </w:t>
      </w:r>
    </w:p>
    <w:p w14:paraId="700788A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r>
        <w:rPr>
          <w:rFonts w:hint="eastAsia" w:ascii="等线" w:hAnsi="等线" w:eastAsia="等线" w:cs="Times New Roman"/>
          <w:color w:val="000000"/>
          <w:kern w:val="2"/>
          <w:sz w:val="21"/>
          <w:szCs w:val="21"/>
        </w:rPr>
        <w:t xml:space="preserve"> </w:t>
      </w:r>
    </w:p>
    <w:p w14:paraId="13BDCB17">
      <w:pPr>
        <w:pStyle w:val="13"/>
        <w:keepNext w:val="0"/>
        <w:keepLines w:val="0"/>
        <w:widowControl/>
        <w:suppressLineNumbers w:val="0"/>
        <w:spacing w:before="0" w:beforeAutospacing="0" w:after="1"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E1951C2">
      <w:pPr>
        <w:spacing w:before="0" w:beforeAutospacing="0" w:after="240"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41E39EBF">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55C9D553">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33D9AEDA">
      <w:pPr>
        <w:spacing w:before="0" w:beforeAutospacing="0" w:after="1" w:afterAutospacing="0"/>
        <w:jc w:val="center"/>
        <w:rPr>
          <w:rFonts w:hint="eastAsia" w:ascii="等线" w:hAnsi="等线" w:eastAsia="等线" w:cs="Times New Roman"/>
          <w:kern w:val="2"/>
          <w:sz w:val="21"/>
          <w:szCs w:val="21"/>
        </w:rPr>
      </w:pPr>
      <w:r>
        <w:rPr>
          <w:rStyle w:val="17"/>
          <w:rFonts w:hint="eastAsia" w:ascii="宋体" w:hAnsi="宋体" w:eastAsia="宋体" w:cs="宋体"/>
          <w:b/>
          <w:bCs w:val="0"/>
          <w:color w:val="000000"/>
          <w:sz w:val="40"/>
          <w:szCs w:val="40"/>
        </w:rPr>
        <w:t>第二部分 2026年部门预算表</w:t>
      </w:r>
      <w:r>
        <w:rPr>
          <w:rFonts w:hint="eastAsia" w:ascii="等线" w:hAnsi="等线" w:eastAsia="等线" w:cs="Times New Roman"/>
          <w:color w:val="000000"/>
          <w:kern w:val="2"/>
          <w:sz w:val="21"/>
          <w:szCs w:val="21"/>
        </w:rPr>
        <w:t xml:space="preserve"> </w:t>
      </w:r>
    </w:p>
    <w:p w14:paraId="25F14048">
      <w:pPr>
        <w:spacing w:before="0" w:beforeAutospacing="0" w:after="1" w:afterAutospacing="0"/>
        <w:jc w:val="center"/>
        <w:rPr>
          <w:rFonts w:hint="eastAsia" w:ascii="等线" w:hAnsi="等线" w:eastAsia="等线" w:cs="Times New Roman"/>
          <w:kern w:val="2"/>
          <w:sz w:val="21"/>
          <w:szCs w:val="21"/>
        </w:rPr>
      </w:pPr>
      <w:r>
        <w:fldChar w:fldCharType="begin"/>
      </w:r>
      <w:r>
        <w:instrText xml:space="preserve"> HYPERLINK "http://yjs.jbreport.com/home/downloadAttachment?attachGUID=a9fe5f2fb55b4bcd9d61e9391cd2a46c" </w:instrText>
      </w:r>
      <w:r>
        <w:fldChar w:fldCharType="separate"/>
      </w:r>
      <w:r>
        <w:rPr>
          <w:rStyle w:val="12"/>
          <w:rFonts w:hint="eastAsia" w:ascii="宋体" w:hAnsi="宋体" w:eastAsia="宋体" w:cs="宋体"/>
          <w:color w:val="0000FF"/>
          <w:sz w:val="36"/>
          <w:szCs w:val="36"/>
          <w:u w:val="single"/>
        </w:rPr>
        <w:t>032001__益阳市资阳区医疗保障局部门预算公开表.xlsx</w:t>
      </w:r>
      <w: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doNotWrapTextWithPunct/>
    <w:doNotUseEastAsianBreakRules/>
    <w:growAutofit/>
    <w:useFELayout/>
    <w:useAltKinsokuLineBreakRules/>
    <w:compatSetting w:name="compatibilityMode" w:uri="http://schemas.microsoft.com/office/word" w:val="11"/>
  </w:compat>
  <w:rsids>
    <w:rsidRoot w:val="00000000"/>
    <w:rsid w:val="620E4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paragraph" w:customStyle="1" w:styleId="13">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4">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5">
    <w:name w:val="10"/>
    <w:basedOn w:val="11"/>
    <w:uiPriority w:val="0"/>
    <w:rPr>
      <w:rFonts w:hint="default" w:ascii="Times New Roman" w:hAnsi="Times New Roman" w:cs="Times New Roman"/>
    </w:rPr>
  </w:style>
  <w:style w:type="character" w:customStyle="1" w:styleId="16">
    <w:name w:val="16"/>
    <w:basedOn w:val="11"/>
    <w:uiPriority w:val="0"/>
    <w:rPr>
      <w:rFonts w:hint="default" w:ascii="Times New Roman" w:hAnsi="Times New Roman" w:cs="Times New Roman"/>
      <w:color w:val="0000FF"/>
      <w:u w:val="single"/>
    </w:rPr>
  </w:style>
  <w:style w:type="character" w:customStyle="1" w:styleId="17">
    <w:name w:val="15"/>
    <w:basedOn w:val="11"/>
    <w:uiPriority w:val="0"/>
    <w:rPr>
      <w:rFonts w:hint="default" w:ascii="Times New Roman" w:hAnsi="Times New Roman" w:cs="Times New Roman"/>
      <w:b/>
    </w:rPr>
  </w:style>
  <w:style w:type="paragraph" w:customStyle="1" w:styleId="18">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Characters>3434</Characters>
  <Lines>1</Lines>
  <Paragraphs>1</Paragraphs>
  <TotalTime>0</TotalTime>
  <ScaleCrop>false</ScaleCrop>
  <LinksUpToDate>false</LinksUpToDate>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2026-01-26T06:14:01Z</dcterms:created>
  <dc:creator>Administrator</dc:creator>
  <cp:lastModifiedBy>清凉听潮</cp:lastModifiedBy>
  <dcterms:modified xsi:type="dcterms:W3CDTF">2026-01-26T06:14:02Z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837862D6787F4C99A941A91207C7D3B3_13</vt:lpwstr>
  </property>
</Properties>
</file>