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9E2A0">
      <w:pPr>
        <w:keepNext w:val="0"/>
        <w:keepLines w:val="0"/>
        <w:pageBreakBefore w:val="0"/>
        <w:widowControl w:val="0"/>
        <w:kinsoku/>
        <w:wordWrap/>
        <w:overflowPunct/>
        <w:topLinePunct w:val="0"/>
        <w:autoSpaceDE w:val="0"/>
        <w:autoSpaceDN/>
        <w:bidi w:val="0"/>
        <w:adjustRightInd/>
        <w:snapToGrid/>
        <w:spacing w:line="700" w:lineRule="exact"/>
        <w:ind w:left="0" w:leftChars="0" w:right="0"/>
        <w:jc w:val="center"/>
        <w:textAlignment w:val="auto"/>
        <w:rPr>
          <w:rFonts w:hint="eastAsia" w:ascii="楷体_GB2312" w:hAnsi="楷体_GB2312" w:eastAsia="楷体_GB2312" w:cs="楷体_GB2312"/>
          <w:spacing w:val="0"/>
          <w:w w:val="100"/>
          <w:kern w:val="2"/>
          <w:sz w:val="32"/>
          <w:szCs w:val="32"/>
          <w:highlight w:val="none"/>
          <w:lang w:val="en-US" w:eastAsia="zh-CN" w:bidi="ar-SA"/>
        </w:rPr>
      </w:pPr>
      <w:r>
        <w:rPr>
          <w:rFonts w:hint="eastAsia" w:ascii="方正小标宋简体" w:hAnsi="Times New Roman" w:eastAsia="方正小标宋简体" w:cs="Times New Roman"/>
          <w:bCs/>
          <w:spacing w:val="0"/>
          <w:w w:val="100"/>
          <w:sz w:val="44"/>
          <w:szCs w:val="44"/>
          <w:highlight w:val="none"/>
        </w:rPr>
        <w:t>关于</w:t>
      </w:r>
      <w:r>
        <w:rPr>
          <w:rFonts w:hint="eastAsia" w:ascii="方正小标宋简体" w:hAnsi="Times New Roman" w:eastAsia="方正小标宋简体" w:cs="Times New Roman"/>
          <w:bCs/>
          <w:spacing w:val="0"/>
          <w:w w:val="100"/>
          <w:sz w:val="44"/>
          <w:szCs w:val="44"/>
          <w:highlight w:val="none"/>
          <w:lang w:eastAsia="zh-CN"/>
        </w:rPr>
        <w:t>益阳市</w:t>
      </w:r>
      <w:r>
        <w:rPr>
          <w:rFonts w:hint="eastAsia" w:ascii="方正小标宋简体" w:hAnsi="Times New Roman" w:eastAsia="方正小标宋简体" w:cs="Times New Roman"/>
          <w:bCs/>
          <w:spacing w:val="0"/>
          <w:w w:val="100"/>
          <w:sz w:val="44"/>
          <w:szCs w:val="44"/>
          <w:highlight w:val="none"/>
        </w:rPr>
        <w:t>资阳区202</w:t>
      </w:r>
      <w:r>
        <w:rPr>
          <w:rFonts w:hint="eastAsia" w:ascii="方正小标宋简体" w:hAnsi="Times New Roman" w:eastAsia="方正小标宋简体" w:cs="Times New Roman"/>
          <w:bCs/>
          <w:spacing w:val="0"/>
          <w:w w:val="100"/>
          <w:sz w:val="44"/>
          <w:szCs w:val="44"/>
          <w:highlight w:val="none"/>
          <w:lang w:val="en-US" w:eastAsia="zh-CN"/>
        </w:rPr>
        <w:t>5</w:t>
      </w:r>
      <w:r>
        <w:rPr>
          <w:rFonts w:hint="eastAsia" w:ascii="方正小标宋简体" w:hAnsi="Times New Roman" w:eastAsia="方正小标宋简体" w:cs="Times New Roman"/>
          <w:bCs/>
          <w:spacing w:val="0"/>
          <w:w w:val="100"/>
          <w:sz w:val="44"/>
          <w:szCs w:val="44"/>
          <w:highlight w:val="none"/>
        </w:rPr>
        <w:t>年财政预算执行情况和202</w:t>
      </w:r>
      <w:r>
        <w:rPr>
          <w:rFonts w:hint="eastAsia" w:ascii="方正小标宋简体" w:hAnsi="Times New Roman" w:eastAsia="方正小标宋简体" w:cs="Times New Roman"/>
          <w:bCs/>
          <w:spacing w:val="0"/>
          <w:w w:val="100"/>
          <w:sz w:val="44"/>
          <w:szCs w:val="44"/>
          <w:highlight w:val="none"/>
          <w:lang w:val="en-US" w:eastAsia="zh-CN"/>
        </w:rPr>
        <w:t>6</w:t>
      </w:r>
      <w:r>
        <w:rPr>
          <w:rFonts w:hint="eastAsia" w:ascii="方正小标宋简体" w:hAnsi="Times New Roman" w:eastAsia="方正小标宋简体" w:cs="Times New Roman"/>
          <w:bCs/>
          <w:spacing w:val="0"/>
          <w:w w:val="100"/>
          <w:sz w:val="44"/>
          <w:szCs w:val="44"/>
          <w:highlight w:val="none"/>
        </w:rPr>
        <w:t>年财政预算（草案）的报告</w:t>
      </w:r>
    </w:p>
    <w:p w14:paraId="2B9CA6E9">
      <w:pPr>
        <w:keepNext w:val="0"/>
        <w:keepLines w:val="0"/>
        <w:pageBreakBefore w:val="0"/>
        <w:widowControl w:val="0"/>
        <w:kinsoku/>
        <w:wordWrap/>
        <w:overflowPunct/>
        <w:topLinePunct w:val="0"/>
        <w:autoSpaceDN/>
        <w:bidi w:val="0"/>
        <w:adjustRightInd/>
        <w:snapToGrid/>
        <w:spacing w:line="700" w:lineRule="exact"/>
        <w:jc w:val="center"/>
        <w:textAlignment w:val="auto"/>
        <w:rPr>
          <w:rFonts w:hint="eastAsia" w:ascii="楷体" w:hAnsi="楷体" w:eastAsia="楷体" w:cs="仿宋"/>
          <w:bCs/>
          <w:color w:val="000000"/>
          <w:w w:val="76"/>
          <w:sz w:val="32"/>
          <w:szCs w:val="32"/>
          <w:highlight w:val="none"/>
        </w:rPr>
      </w:pPr>
      <w:r>
        <w:rPr>
          <w:rFonts w:hint="eastAsia" w:ascii="楷体" w:hAnsi="楷体" w:eastAsia="楷体" w:cs="仿宋"/>
          <w:bCs/>
          <w:color w:val="000000"/>
          <w:w w:val="76"/>
          <w:sz w:val="32"/>
          <w:szCs w:val="32"/>
          <w:highlight w:val="none"/>
        </w:rPr>
        <w:t>—202</w:t>
      </w:r>
      <w:r>
        <w:rPr>
          <w:rFonts w:hint="eastAsia" w:ascii="楷体" w:hAnsi="楷体" w:eastAsia="楷体" w:cs="仿宋"/>
          <w:bCs/>
          <w:color w:val="000000"/>
          <w:w w:val="76"/>
          <w:sz w:val="32"/>
          <w:szCs w:val="32"/>
          <w:highlight w:val="none"/>
          <w:lang w:val="en-US" w:eastAsia="zh-CN"/>
        </w:rPr>
        <w:t>5</w:t>
      </w:r>
      <w:r>
        <w:rPr>
          <w:rFonts w:hint="eastAsia" w:ascii="楷体" w:hAnsi="楷体" w:eastAsia="楷体" w:cs="仿宋"/>
          <w:bCs/>
          <w:color w:val="000000"/>
          <w:w w:val="76"/>
          <w:sz w:val="32"/>
          <w:szCs w:val="32"/>
          <w:highlight w:val="none"/>
        </w:rPr>
        <w:t>年12月</w:t>
      </w:r>
      <w:r>
        <w:rPr>
          <w:rFonts w:hint="eastAsia" w:ascii="楷体" w:hAnsi="楷体" w:eastAsia="楷体" w:cs="仿宋"/>
          <w:bCs/>
          <w:color w:val="000000"/>
          <w:w w:val="76"/>
          <w:sz w:val="32"/>
          <w:szCs w:val="32"/>
          <w:highlight w:val="none"/>
          <w:lang w:val="en-US" w:eastAsia="zh-CN"/>
        </w:rPr>
        <w:t>18</w:t>
      </w:r>
      <w:bookmarkStart w:id="0" w:name="_GoBack"/>
      <w:bookmarkEnd w:id="0"/>
      <w:r>
        <w:rPr>
          <w:rFonts w:hint="eastAsia" w:ascii="楷体" w:hAnsi="楷体" w:eastAsia="楷体" w:cs="仿宋"/>
          <w:bCs/>
          <w:color w:val="000000"/>
          <w:w w:val="76"/>
          <w:sz w:val="32"/>
          <w:szCs w:val="32"/>
          <w:highlight w:val="none"/>
        </w:rPr>
        <w:t>日在益阳市资阳区第六届人民代表大会第</w:t>
      </w:r>
      <w:r>
        <w:rPr>
          <w:rFonts w:hint="eastAsia" w:ascii="楷体" w:hAnsi="楷体" w:eastAsia="楷体" w:cs="仿宋"/>
          <w:bCs/>
          <w:color w:val="000000"/>
          <w:w w:val="76"/>
          <w:sz w:val="32"/>
          <w:szCs w:val="32"/>
          <w:highlight w:val="none"/>
          <w:lang w:eastAsia="zh-CN"/>
        </w:rPr>
        <w:t>五</w:t>
      </w:r>
      <w:r>
        <w:rPr>
          <w:rFonts w:hint="eastAsia" w:ascii="楷体" w:hAnsi="楷体" w:eastAsia="楷体" w:cs="仿宋"/>
          <w:bCs/>
          <w:color w:val="000000"/>
          <w:w w:val="76"/>
          <w:sz w:val="32"/>
          <w:szCs w:val="32"/>
          <w:highlight w:val="none"/>
        </w:rPr>
        <w:t>次会议上</w:t>
      </w:r>
    </w:p>
    <w:p w14:paraId="14FCD253">
      <w:pPr>
        <w:keepNext w:val="0"/>
        <w:keepLines w:val="0"/>
        <w:pageBreakBefore w:val="0"/>
        <w:widowControl w:val="0"/>
        <w:kinsoku/>
        <w:wordWrap/>
        <w:overflowPunct/>
        <w:topLinePunct w:val="0"/>
        <w:autoSpaceDN/>
        <w:bidi w:val="0"/>
        <w:adjustRightInd/>
        <w:snapToGrid/>
        <w:spacing w:line="700" w:lineRule="exact"/>
        <w:jc w:val="center"/>
        <w:textAlignment w:val="auto"/>
        <w:rPr>
          <w:rFonts w:ascii="黑体" w:hAnsi="Times New Roman" w:eastAsia="黑体" w:cs="Times New Roman"/>
          <w:sz w:val="32"/>
          <w:szCs w:val="32"/>
          <w:highlight w:val="none"/>
        </w:rPr>
      </w:pPr>
      <w:r>
        <w:rPr>
          <w:rFonts w:hint="eastAsia" w:ascii="楷体" w:hAnsi="楷体" w:eastAsia="楷体" w:cs="仿宋"/>
          <w:bCs/>
          <w:color w:val="000000"/>
          <w:w w:val="76"/>
          <w:sz w:val="32"/>
          <w:szCs w:val="32"/>
          <w:highlight w:val="none"/>
        </w:rPr>
        <w:t>益阳市资阳区财政局</w:t>
      </w:r>
    </w:p>
    <w:p w14:paraId="5443523E">
      <w:pPr>
        <w:keepNext w:val="0"/>
        <w:keepLines w:val="0"/>
        <w:pageBreakBefore w:val="0"/>
        <w:widowControl w:val="0"/>
        <w:kinsoku/>
        <w:wordWrap/>
        <w:overflowPunct/>
        <w:topLinePunct w:val="0"/>
        <w:bidi w:val="0"/>
        <w:snapToGrid/>
        <w:spacing w:line="600" w:lineRule="exact"/>
        <w:ind w:left="0" w:leftChars="0" w:right="0"/>
        <w:jc w:val="both"/>
        <w:textAlignment w:val="auto"/>
        <w:rPr>
          <w:rFonts w:hint="eastAsia" w:ascii="仿宋_GB2312" w:hAnsi="Times New Roman" w:eastAsia="仿宋_GB2312" w:cs="Times New Roman"/>
          <w:spacing w:val="0"/>
          <w:w w:val="100"/>
          <w:sz w:val="32"/>
          <w:szCs w:val="32"/>
          <w:highlight w:val="none"/>
        </w:rPr>
      </w:pPr>
    </w:p>
    <w:p w14:paraId="769C66DF">
      <w:pPr>
        <w:keepNext w:val="0"/>
        <w:keepLines w:val="0"/>
        <w:pageBreakBefore w:val="0"/>
        <w:widowControl w:val="0"/>
        <w:kinsoku/>
        <w:wordWrap/>
        <w:overflowPunct/>
        <w:topLinePunct w:val="0"/>
        <w:bidi w:val="0"/>
        <w:snapToGrid/>
        <w:spacing w:line="600" w:lineRule="exact"/>
        <w:ind w:left="0" w:leftChars="0" w:right="0"/>
        <w:jc w:val="both"/>
        <w:textAlignment w:val="auto"/>
        <w:rPr>
          <w:rFonts w:ascii="黑体" w:hAnsi="Times New Roman" w:eastAsia="黑体" w:cs="Times New Roman"/>
          <w:spacing w:val="0"/>
          <w:w w:val="100"/>
          <w:sz w:val="32"/>
          <w:szCs w:val="32"/>
          <w:highlight w:val="none"/>
        </w:rPr>
      </w:pPr>
      <w:r>
        <w:rPr>
          <w:rFonts w:hint="eastAsia" w:ascii="仿宋_GB2312" w:hAnsi="Times New Roman" w:eastAsia="仿宋_GB2312" w:cs="Times New Roman"/>
          <w:spacing w:val="0"/>
          <w:w w:val="100"/>
          <w:sz w:val="32"/>
          <w:szCs w:val="32"/>
          <w:highlight w:val="none"/>
          <w:lang w:eastAsia="zh-CN"/>
        </w:rPr>
        <w:t>各位代表</w:t>
      </w:r>
      <w:r>
        <w:rPr>
          <w:rFonts w:hint="eastAsia" w:ascii="仿宋_GB2312" w:hAnsi="Times New Roman" w:eastAsia="仿宋_GB2312" w:cs="Times New Roman"/>
          <w:spacing w:val="0"/>
          <w:w w:val="100"/>
          <w:sz w:val="32"/>
          <w:szCs w:val="32"/>
          <w:highlight w:val="none"/>
        </w:rPr>
        <w:t>：</w:t>
      </w:r>
    </w:p>
    <w:p w14:paraId="7E399C4D">
      <w:pPr>
        <w:keepNext w:val="0"/>
        <w:keepLines w:val="0"/>
        <w:pageBreakBefore w:val="0"/>
        <w:widowControl w:val="0"/>
        <w:kinsoku/>
        <w:wordWrap/>
        <w:overflowPunct/>
        <w:topLinePunct w:val="0"/>
        <w:bidi w:val="0"/>
        <w:snapToGrid/>
        <w:spacing w:line="600" w:lineRule="exact"/>
        <w:ind w:firstLine="640" w:firstLineChars="200"/>
        <w:textAlignment w:val="auto"/>
        <w:rPr>
          <w:rFonts w:ascii="黑体" w:hAnsi="Times New Roman" w:eastAsia="黑体" w:cs="Times New Roman"/>
          <w:spacing w:val="0"/>
          <w:w w:val="100"/>
          <w:sz w:val="32"/>
          <w:szCs w:val="32"/>
          <w:highlight w:val="none"/>
        </w:rPr>
      </w:pPr>
      <w:r>
        <w:rPr>
          <w:rFonts w:hint="eastAsia" w:ascii="仿宋_GB2312" w:hAnsi="Times New Roman" w:eastAsia="仿宋_GB2312" w:cs="Times New Roman"/>
          <w:spacing w:val="0"/>
          <w:w w:val="100"/>
          <w:sz w:val="32"/>
          <w:szCs w:val="32"/>
          <w:highlight w:val="none"/>
        </w:rPr>
        <w:t>受区人民政府委托，向大会报告资阳区202</w:t>
      </w:r>
      <w:r>
        <w:rPr>
          <w:rFonts w:hint="eastAsia" w:ascii="仿宋_GB2312" w:hAnsi="Times New Roman" w:eastAsia="仿宋_GB2312" w:cs="Times New Roman"/>
          <w:spacing w:val="0"/>
          <w:w w:val="100"/>
          <w:sz w:val="32"/>
          <w:szCs w:val="32"/>
          <w:highlight w:val="none"/>
          <w:lang w:val="en-US" w:eastAsia="zh-CN"/>
        </w:rPr>
        <w:t>5</w:t>
      </w:r>
      <w:r>
        <w:rPr>
          <w:rFonts w:hint="eastAsia" w:ascii="仿宋_GB2312" w:hAnsi="Times New Roman" w:eastAsia="仿宋_GB2312" w:cs="Times New Roman"/>
          <w:spacing w:val="0"/>
          <w:w w:val="100"/>
          <w:sz w:val="32"/>
          <w:szCs w:val="32"/>
          <w:highlight w:val="none"/>
        </w:rPr>
        <w:t>年财政预算执行情况和202</w:t>
      </w:r>
      <w:r>
        <w:rPr>
          <w:rFonts w:hint="eastAsia" w:ascii="仿宋_GB2312" w:hAnsi="Times New Roman" w:eastAsia="仿宋_GB2312" w:cs="Times New Roman"/>
          <w:spacing w:val="0"/>
          <w:w w:val="100"/>
          <w:sz w:val="32"/>
          <w:szCs w:val="32"/>
          <w:highlight w:val="none"/>
          <w:lang w:val="en-US" w:eastAsia="zh-CN"/>
        </w:rPr>
        <w:t>6</w:t>
      </w:r>
      <w:r>
        <w:rPr>
          <w:rFonts w:hint="eastAsia" w:ascii="仿宋_GB2312" w:hAnsi="Times New Roman" w:eastAsia="仿宋_GB2312" w:cs="Times New Roman"/>
          <w:spacing w:val="0"/>
          <w:w w:val="100"/>
          <w:sz w:val="32"/>
          <w:szCs w:val="32"/>
          <w:highlight w:val="none"/>
        </w:rPr>
        <w:t>年财政预算（草案），请予审议。</w:t>
      </w:r>
      <w:r>
        <w:rPr>
          <w:rFonts w:hint="eastAsia" w:ascii="仿宋_GB2312" w:hAnsi="Times New Roman" w:eastAsia="仿宋_GB2312" w:cs="Times New Roman"/>
          <w:sz w:val="32"/>
          <w:szCs w:val="32"/>
        </w:rPr>
        <w:t>并请各位政协委员和列席大会的各界人士提出宝贵意见。</w:t>
      </w:r>
    </w:p>
    <w:p w14:paraId="637078B3">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ascii="黑体" w:hAnsi="黑体" w:eastAsia="黑体" w:cs="Times New Roman"/>
          <w:spacing w:val="0"/>
          <w:w w:val="100"/>
          <w:sz w:val="32"/>
          <w:szCs w:val="32"/>
          <w:highlight w:val="none"/>
        </w:rPr>
      </w:pPr>
      <w:r>
        <w:rPr>
          <w:rFonts w:hint="eastAsia" w:ascii="黑体" w:hAnsi="黑体" w:eastAsia="黑体" w:cs="Times New Roman"/>
          <w:spacing w:val="0"/>
          <w:w w:val="100"/>
          <w:sz w:val="32"/>
          <w:szCs w:val="32"/>
          <w:highlight w:val="none"/>
        </w:rPr>
        <w:t>一、202</w:t>
      </w:r>
      <w:r>
        <w:rPr>
          <w:rFonts w:hint="eastAsia" w:ascii="黑体" w:hAnsi="黑体" w:eastAsia="黑体" w:cs="Times New Roman"/>
          <w:spacing w:val="0"/>
          <w:w w:val="100"/>
          <w:sz w:val="32"/>
          <w:szCs w:val="32"/>
          <w:highlight w:val="none"/>
          <w:lang w:val="en-US" w:eastAsia="zh-CN"/>
        </w:rPr>
        <w:t>5</w:t>
      </w:r>
      <w:r>
        <w:rPr>
          <w:rFonts w:hint="eastAsia" w:ascii="黑体" w:hAnsi="黑体" w:eastAsia="黑体" w:cs="Times New Roman"/>
          <w:spacing w:val="0"/>
          <w:w w:val="100"/>
          <w:sz w:val="32"/>
          <w:szCs w:val="32"/>
          <w:highlight w:val="none"/>
        </w:rPr>
        <w:t>年财政预算预计执行情况</w:t>
      </w:r>
    </w:p>
    <w:p w14:paraId="7A340F1A">
      <w:pPr>
        <w:keepNext w:val="0"/>
        <w:keepLines w:val="0"/>
        <w:pageBreakBefore w:val="0"/>
        <w:widowControl w:val="0"/>
        <w:kinsoku/>
        <w:wordWrap/>
        <w:overflowPunct/>
        <w:topLinePunct w:val="0"/>
        <w:bidi w:val="0"/>
        <w:snapToGrid/>
        <w:spacing w:line="600" w:lineRule="exact"/>
        <w:ind w:left="0" w:leftChars="0" w:right="0" w:firstLine="642"/>
        <w:jc w:val="both"/>
        <w:textAlignment w:val="auto"/>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spacing w:val="0"/>
          <w:w w:val="100"/>
          <w:sz w:val="32"/>
          <w:szCs w:val="32"/>
          <w:highlight w:val="none"/>
          <w:lang w:val="en-US" w:eastAsia="zh-CN"/>
        </w:rPr>
        <w:t>2025年既是“十四五”规划的收官之年，也是“十五五”规划谋篇布局之年。</w:t>
      </w:r>
      <w:r>
        <w:rPr>
          <w:rFonts w:hint="eastAsia" w:ascii="仿宋_GB2312" w:hAnsi="仿宋_GB2312" w:eastAsia="仿宋_GB2312" w:cs="仿宋_GB2312"/>
          <w:spacing w:val="0"/>
          <w:w w:val="100"/>
          <w:sz w:val="32"/>
          <w:szCs w:val="32"/>
          <w:highlight w:val="none"/>
        </w:rPr>
        <w:t>我们始终坚持以习近平新时代中国特色社会主义思想为指导，</w:t>
      </w:r>
      <w:r>
        <w:rPr>
          <w:rFonts w:hint="eastAsia" w:ascii="仿宋_GB2312" w:hAnsi="仿宋_GB2312" w:eastAsia="仿宋_GB2312" w:cs="仿宋_GB2312"/>
          <w:spacing w:val="0"/>
          <w:w w:val="100"/>
          <w:sz w:val="32"/>
          <w:szCs w:val="32"/>
          <w:highlight w:val="none"/>
          <w:lang w:eastAsia="zh-CN"/>
        </w:rPr>
        <w:t>全面贯彻落实</w:t>
      </w:r>
      <w:r>
        <w:rPr>
          <w:rFonts w:hint="eastAsia" w:ascii="仿宋_GB2312" w:hAnsi="仿宋_GB2312" w:eastAsia="仿宋_GB2312" w:cs="仿宋_GB2312"/>
          <w:spacing w:val="0"/>
          <w:w w:val="100"/>
          <w:sz w:val="32"/>
          <w:szCs w:val="32"/>
          <w:highlight w:val="none"/>
        </w:rPr>
        <w:t>党的二十大和二十届</w:t>
      </w:r>
      <w:r>
        <w:rPr>
          <w:rFonts w:hint="eastAsia" w:ascii="仿宋_GB2312" w:hAnsi="仿宋_GB2312" w:eastAsia="仿宋_GB2312" w:cs="仿宋_GB2312"/>
          <w:spacing w:val="0"/>
          <w:w w:val="100"/>
          <w:sz w:val="32"/>
          <w:szCs w:val="32"/>
          <w:highlight w:val="none"/>
          <w:lang w:eastAsia="zh-CN"/>
        </w:rPr>
        <w:t>历次</w:t>
      </w:r>
      <w:r>
        <w:rPr>
          <w:rFonts w:hint="eastAsia" w:ascii="仿宋_GB2312" w:hAnsi="仿宋_GB2312" w:eastAsia="仿宋_GB2312" w:cs="仿宋_GB2312"/>
          <w:spacing w:val="0"/>
          <w:w w:val="100"/>
          <w:sz w:val="32"/>
          <w:szCs w:val="32"/>
          <w:highlight w:val="none"/>
        </w:rPr>
        <w:t>全会精神，</w:t>
      </w:r>
      <w:r>
        <w:rPr>
          <w:rFonts w:hint="eastAsia" w:ascii="仿宋_GB2312" w:hAnsi="仿宋_GB2312" w:eastAsia="仿宋_GB2312" w:cs="仿宋_GB2312"/>
          <w:spacing w:val="0"/>
          <w:w w:val="100"/>
          <w:sz w:val="32"/>
          <w:szCs w:val="32"/>
          <w:highlight w:val="none"/>
          <w:lang w:eastAsia="zh-CN"/>
        </w:rPr>
        <w:t>深入</w:t>
      </w:r>
      <w:r>
        <w:rPr>
          <w:rFonts w:hint="eastAsia" w:ascii="仿宋_GB2312" w:hAnsi="仿宋_GB2312" w:eastAsia="仿宋_GB2312" w:cs="仿宋_GB2312"/>
          <w:spacing w:val="0"/>
          <w:w w:val="100"/>
          <w:sz w:val="32"/>
          <w:szCs w:val="32"/>
          <w:highlight w:val="none"/>
        </w:rPr>
        <w:t>落实习近平总书记</w:t>
      </w:r>
      <w:r>
        <w:rPr>
          <w:rFonts w:hint="eastAsia" w:ascii="仿宋_GB2312" w:hAnsi="仿宋_GB2312" w:eastAsia="仿宋_GB2312" w:cs="仿宋_GB2312"/>
          <w:spacing w:val="0"/>
          <w:w w:val="100"/>
          <w:sz w:val="32"/>
          <w:szCs w:val="32"/>
          <w:highlight w:val="none"/>
          <w:lang w:eastAsia="zh-CN"/>
        </w:rPr>
        <w:t>关于</w:t>
      </w:r>
      <w:r>
        <w:rPr>
          <w:rFonts w:hint="eastAsia" w:ascii="仿宋_GB2312" w:hAnsi="仿宋_GB2312" w:eastAsia="仿宋_GB2312" w:cs="仿宋_GB2312"/>
          <w:spacing w:val="0"/>
          <w:w w:val="100"/>
          <w:sz w:val="32"/>
          <w:szCs w:val="32"/>
          <w:highlight w:val="none"/>
        </w:rPr>
        <w:t>湖南</w:t>
      </w:r>
      <w:r>
        <w:rPr>
          <w:rFonts w:hint="eastAsia" w:ascii="仿宋_GB2312" w:hAnsi="仿宋_GB2312" w:eastAsia="仿宋_GB2312" w:cs="仿宋_GB2312"/>
          <w:spacing w:val="0"/>
          <w:w w:val="100"/>
          <w:sz w:val="32"/>
          <w:szCs w:val="32"/>
          <w:highlight w:val="none"/>
          <w:lang w:eastAsia="zh-CN"/>
        </w:rPr>
        <w:t>工作</w:t>
      </w:r>
      <w:r>
        <w:rPr>
          <w:rFonts w:hint="eastAsia" w:ascii="仿宋_GB2312" w:hAnsi="仿宋_GB2312" w:eastAsia="仿宋_GB2312" w:cs="仿宋_GB2312"/>
          <w:spacing w:val="0"/>
          <w:w w:val="100"/>
          <w:sz w:val="32"/>
          <w:szCs w:val="32"/>
          <w:highlight w:val="none"/>
        </w:rPr>
        <w:t>的重要</w:t>
      </w:r>
      <w:r>
        <w:rPr>
          <w:rFonts w:hint="eastAsia" w:ascii="仿宋_GB2312" w:hAnsi="仿宋_GB2312" w:eastAsia="仿宋_GB2312" w:cs="仿宋_GB2312"/>
          <w:spacing w:val="0"/>
          <w:w w:val="100"/>
          <w:sz w:val="32"/>
          <w:szCs w:val="32"/>
          <w:highlight w:val="none"/>
          <w:lang w:eastAsia="zh-CN"/>
        </w:rPr>
        <w:t>讲话和</w:t>
      </w:r>
      <w:r>
        <w:rPr>
          <w:rFonts w:hint="eastAsia" w:ascii="仿宋_GB2312" w:hAnsi="仿宋_GB2312" w:eastAsia="仿宋_GB2312" w:cs="仿宋_GB2312"/>
          <w:spacing w:val="0"/>
          <w:w w:val="100"/>
          <w:sz w:val="32"/>
          <w:szCs w:val="32"/>
          <w:highlight w:val="none"/>
        </w:rPr>
        <w:t>指示批示</w:t>
      </w:r>
      <w:r>
        <w:rPr>
          <w:rFonts w:hint="eastAsia" w:ascii="仿宋_GB2312" w:hAnsi="仿宋_GB2312" w:eastAsia="仿宋_GB2312" w:cs="仿宋_GB2312"/>
          <w:spacing w:val="0"/>
          <w:w w:val="100"/>
          <w:sz w:val="32"/>
          <w:szCs w:val="32"/>
          <w:highlight w:val="none"/>
          <w:lang w:eastAsia="zh-CN"/>
        </w:rPr>
        <w:t>精神</w:t>
      </w:r>
      <w:r>
        <w:rPr>
          <w:rFonts w:hint="eastAsia" w:ascii="仿宋_GB2312" w:hAnsi="仿宋_GB2312" w:eastAsia="仿宋_GB2312" w:cs="仿宋_GB2312"/>
          <w:spacing w:val="0"/>
          <w:w w:val="100"/>
          <w:sz w:val="32"/>
          <w:szCs w:val="32"/>
          <w:highlight w:val="none"/>
        </w:rPr>
        <w:t>，</w:t>
      </w:r>
      <w:r>
        <w:rPr>
          <w:rFonts w:hint="eastAsia" w:ascii="仿宋_GB2312" w:hAnsi="仿宋_GB2312" w:eastAsia="仿宋_GB2312" w:cs="仿宋_GB2312"/>
          <w:spacing w:val="0"/>
          <w:w w:val="100"/>
          <w:sz w:val="32"/>
          <w:szCs w:val="32"/>
          <w:highlight w:val="none"/>
          <w:lang w:eastAsia="zh-CN"/>
        </w:rPr>
        <w:t>在区委、区政府坚强领导和区人大监督指导下，较好地完成了年初确定的各项目标任务</w:t>
      </w:r>
      <w:r>
        <w:rPr>
          <w:rFonts w:hint="eastAsia" w:ascii="仿宋_GB2312" w:hAnsi="仿宋_GB2312" w:eastAsia="仿宋_GB2312" w:cs="仿宋_GB2312"/>
          <w:spacing w:val="0"/>
          <w:w w:val="100"/>
          <w:sz w:val="32"/>
          <w:szCs w:val="32"/>
          <w:highlight w:val="none"/>
        </w:rPr>
        <w:t>。</w:t>
      </w:r>
    </w:p>
    <w:p w14:paraId="36DB26EB">
      <w:pPr>
        <w:keepNext w:val="0"/>
        <w:keepLines w:val="0"/>
        <w:pageBreakBefore w:val="0"/>
        <w:widowControl w:val="0"/>
        <w:kinsoku/>
        <w:wordWrap/>
        <w:overflowPunct/>
        <w:topLinePunct w:val="0"/>
        <w:bidi w:val="0"/>
        <w:snapToGrid/>
        <w:spacing w:line="600" w:lineRule="exact"/>
        <w:ind w:left="0" w:leftChars="0" w:right="0" w:firstLine="642"/>
        <w:jc w:val="both"/>
        <w:textAlignment w:val="auto"/>
        <w:rPr>
          <w:rFonts w:ascii="楷体_GB2312" w:hAnsi="Times New Roman" w:eastAsia="楷体_GB2312" w:cs="Times New Roman"/>
          <w:b/>
          <w:bCs/>
          <w:spacing w:val="0"/>
          <w:w w:val="100"/>
          <w:sz w:val="32"/>
          <w:szCs w:val="32"/>
          <w:highlight w:val="none"/>
        </w:rPr>
      </w:pPr>
      <w:r>
        <w:rPr>
          <w:rFonts w:hint="eastAsia" w:ascii="楷体_GB2312" w:hAnsi="Times New Roman" w:eastAsia="楷体_GB2312" w:cs="Times New Roman"/>
          <w:b/>
          <w:bCs/>
          <w:spacing w:val="0"/>
          <w:w w:val="100"/>
          <w:sz w:val="32"/>
          <w:szCs w:val="32"/>
          <w:highlight w:val="none"/>
        </w:rPr>
        <w:t>（一）一般公共预算</w:t>
      </w:r>
    </w:p>
    <w:p w14:paraId="24CAD60B">
      <w:pPr>
        <w:keepNext w:val="0"/>
        <w:keepLines w:val="0"/>
        <w:pageBreakBefore w:val="0"/>
        <w:widowControl w:val="0"/>
        <w:kinsoku/>
        <w:wordWrap/>
        <w:overflowPunct/>
        <w:topLinePunct w:val="0"/>
        <w:bidi w:val="0"/>
        <w:snapToGrid/>
        <w:spacing w:line="600" w:lineRule="exact"/>
        <w:ind w:left="0" w:leftChars="0" w:right="0" w:firstLine="642"/>
        <w:jc w:val="both"/>
        <w:textAlignment w:val="auto"/>
        <w:rPr>
          <w:rFonts w:ascii="仿宋_GB2312" w:hAnsi="仿宋_GB2312" w:eastAsia="仿宋_GB2312" w:cs="仿宋_GB2312"/>
          <w:color w:val="000000"/>
          <w:spacing w:val="0"/>
          <w:w w:val="100"/>
          <w:kern w:val="0"/>
          <w:sz w:val="32"/>
          <w:szCs w:val="32"/>
          <w:highlight w:val="none"/>
        </w:rPr>
      </w:pPr>
      <w:r>
        <w:rPr>
          <w:rFonts w:hint="eastAsia" w:ascii="仿宋_GB2312" w:hAnsi="仿宋_GB2312" w:eastAsia="仿宋_GB2312" w:cs="仿宋_GB2312"/>
          <w:b/>
          <w:bCs/>
          <w:spacing w:val="0"/>
          <w:w w:val="100"/>
          <w:sz w:val="32"/>
          <w:szCs w:val="32"/>
          <w:highlight w:val="none"/>
        </w:rPr>
        <w:t>1.</w:t>
      </w:r>
      <w:r>
        <w:rPr>
          <w:rFonts w:hint="eastAsia" w:ascii="仿宋_GB2312" w:hAnsi="仿宋_GB2312" w:eastAsia="仿宋_GB2312" w:cs="仿宋_GB2312"/>
          <w:b/>
          <w:bCs/>
          <w:spacing w:val="0"/>
          <w:w w:val="100"/>
          <w:sz w:val="32"/>
          <w:szCs w:val="32"/>
          <w:highlight w:val="none"/>
          <w:lang w:val="en-US" w:eastAsia="zh-CN"/>
        </w:rPr>
        <w:t xml:space="preserve"> </w:t>
      </w:r>
      <w:r>
        <w:rPr>
          <w:rFonts w:hint="eastAsia" w:ascii="仿宋_GB2312" w:hAnsi="仿宋_GB2312" w:eastAsia="仿宋_GB2312" w:cs="仿宋_GB2312"/>
          <w:b/>
          <w:bCs/>
          <w:spacing w:val="0"/>
          <w:w w:val="100"/>
          <w:sz w:val="32"/>
          <w:szCs w:val="32"/>
          <w:highlight w:val="none"/>
        </w:rPr>
        <w:t>一般公共预算收入预计完成情况</w:t>
      </w:r>
    </w:p>
    <w:p w14:paraId="6403B4EC">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firstLine="640" w:firstLineChars="200"/>
        <w:jc w:val="both"/>
        <w:textAlignment w:val="auto"/>
        <w:rPr>
          <w:rFonts w:ascii="仿宋_GB2312" w:hAnsi="宋体" w:eastAsia="仿宋_GB2312" w:cs="Times New Roman"/>
          <w:color w:val="000000"/>
          <w:spacing w:val="0"/>
          <w:w w:val="100"/>
          <w:kern w:val="0"/>
          <w:sz w:val="32"/>
          <w:szCs w:val="32"/>
          <w:highlight w:val="none"/>
        </w:rPr>
      </w:pPr>
      <w:r>
        <w:rPr>
          <w:rFonts w:hint="eastAsia" w:ascii="仿宋_GB2312" w:hAnsi="宋体" w:eastAsia="仿宋_GB2312" w:cs="Times New Roman"/>
          <w:color w:val="000000"/>
          <w:spacing w:val="0"/>
          <w:w w:val="100"/>
          <w:kern w:val="0"/>
          <w:sz w:val="32"/>
          <w:szCs w:val="32"/>
          <w:highlight w:val="none"/>
        </w:rPr>
        <w:t>202</w:t>
      </w:r>
      <w:r>
        <w:rPr>
          <w:rFonts w:hint="eastAsia" w:ascii="仿宋_GB2312" w:hAnsi="宋体" w:eastAsia="仿宋_GB2312" w:cs="Times New Roman"/>
          <w:color w:val="000000"/>
          <w:spacing w:val="0"/>
          <w:w w:val="100"/>
          <w:kern w:val="0"/>
          <w:sz w:val="32"/>
          <w:szCs w:val="32"/>
          <w:highlight w:val="none"/>
          <w:lang w:val="en-US" w:eastAsia="zh-CN"/>
        </w:rPr>
        <w:t>5</w:t>
      </w:r>
      <w:r>
        <w:rPr>
          <w:rFonts w:hint="eastAsia" w:ascii="仿宋_GB2312" w:hAnsi="宋体" w:eastAsia="仿宋_GB2312" w:cs="Times New Roman"/>
          <w:color w:val="000000"/>
          <w:spacing w:val="0"/>
          <w:w w:val="100"/>
          <w:kern w:val="0"/>
          <w:sz w:val="32"/>
          <w:szCs w:val="32"/>
          <w:highlight w:val="none"/>
        </w:rPr>
        <w:t>年全区完成地方一般公共预算收入</w:t>
      </w:r>
      <w:r>
        <w:rPr>
          <w:rFonts w:hint="eastAsia" w:ascii="仿宋_GB2312" w:hAnsi="Times New Roman" w:eastAsia="仿宋_GB2312" w:cs="Times New Roman"/>
          <w:spacing w:val="0"/>
          <w:w w:val="100"/>
          <w:sz w:val="32"/>
          <w:szCs w:val="32"/>
          <w:highlight w:val="none"/>
          <w:lang w:val="en-US" w:eastAsia="zh-CN"/>
        </w:rPr>
        <w:t>115514万元</w:t>
      </w:r>
      <w:r>
        <w:rPr>
          <w:rFonts w:hint="eastAsia" w:ascii="仿宋_GB2312" w:hAnsi="宋体" w:eastAsia="仿宋_GB2312" w:cs="Times New Roman"/>
          <w:color w:val="000000"/>
          <w:spacing w:val="0"/>
          <w:w w:val="100"/>
          <w:kern w:val="0"/>
          <w:sz w:val="32"/>
          <w:szCs w:val="32"/>
          <w:highlight w:val="none"/>
        </w:rPr>
        <w:t>（含上划市级），同口径增长</w:t>
      </w:r>
      <w:r>
        <w:rPr>
          <w:rFonts w:hint="eastAsia" w:ascii="仿宋_GB2312" w:hAnsi="宋体" w:eastAsia="仿宋_GB2312" w:cs="Times New Roman"/>
          <w:color w:val="000000"/>
          <w:spacing w:val="0"/>
          <w:w w:val="100"/>
          <w:kern w:val="0"/>
          <w:sz w:val="32"/>
          <w:szCs w:val="32"/>
          <w:highlight w:val="none"/>
          <w:lang w:val="en-US" w:eastAsia="zh-CN"/>
        </w:rPr>
        <w:t>12.7</w:t>
      </w:r>
      <w:r>
        <w:rPr>
          <w:rFonts w:hint="eastAsia" w:ascii="仿宋_GB2312" w:hAnsi="宋体" w:eastAsia="仿宋_GB2312" w:cs="Times New Roman"/>
          <w:color w:val="000000"/>
          <w:spacing w:val="0"/>
          <w:w w:val="100"/>
          <w:kern w:val="0"/>
          <w:sz w:val="32"/>
          <w:szCs w:val="32"/>
          <w:highlight w:val="none"/>
        </w:rPr>
        <w:t>%。</w:t>
      </w:r>
    </w:p>
    <w:p w14:paraId="51489AB5">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firstLine="640" w:firstLineChars="200"/>
        <w:jc w:val="both"/>
        <w:textAlignment w:val="auto"/>
        <w:rPr>
          <w:rFonts w:ascii="仿宋_GB2312" w:hAnsi="宋体" w:eastAsia="仿宋_GB2312" w:cs="Times New Roman"/>
          <w:b/>
          <w:bCs/>
          <w:color w:val="000000"/>
          <w:spacing w:val="0"/>
          <w:w w:val="100"/>
          <w:kern w:val="0"/>
          <w:sz w:val="32"/>
          <w:szCs w:val="32"/>
          <w:highlight w:val="none"/>
        </w:rPr>
      </w:pPr>
      <w:r>
        <w:rPr>
          <w:rFonts w:hint="eastAsia" w:ascii="仿宋_GB2312" w:hAnsi="Times New Roman" w:eastAsia="仿宋_GB2312" w:cs="Times New Roman"/>
          <w:color w:val="000000"/>
          <w:spacing w:val="0"/>
          <w:w w:val="100"/>
          <w:sz w:val="32"/>
          <w:szCs w:val="32"/>
          <w:highlight w:val="none"/>
        </w:rPr>
        <w:t>地方一般预算收入中纯区级收入</w:t>
      </w:r>
      <w:r>
        <w:rPr>
          <w:rFonts w:hint="eastAsia" w:ascii="仿宋_GB2312" w:hAnsi="Times New Roman" w:eastAsia="仿宋_GB2312" w:cs="Times New Roman"/>
          <w:color w:val="000000"/>
          <w:spacing w:val="0"/>
          <w:w w:val="100"/>
          <w:sz w:val="32"/>
          <w:szCs w:val="32"/>
          <w:highlight w:val="none"/>
          <w:lang w:val="en-US" w:eastAsia="zh-CN"/>
        </w:rPr>
        <w:t>78686</w:t>
      </w:r>
      <w:r>
        <w:rPr>
          <w:rFonts w:hint="eastAsia" w:ascii="仿宋_GB2312" w:hAnsi="Times New Roman" w:eastAsia="仿宋_GB2312" w:cs="Times New Roman"/>
          <w:color w:val="000000"/>
          <w:spacing w:val="0"/>
          <w:w w:val="100"/>
          <w:sz w:val="32"/>
          <w:szCs w:val="32"/>
          <w:highlight w:val="none"/>
        </w:rPr>
        <w:t>万元，税收返还收入4693万元，财力性转移支付收入</w:t>
      </w:r>
      <w:r>
        <w:rPr>
          <w:rFonts w:hint="eastAsia" w:ascii="仿宋_GB2312" w:hAnsi="Times New Roman" w:eastAsia="仿宋_GB2312" w:cs="Times New Roman"/>
          <w:color w:val="000000"/>
          <w:spacing w:val="0"/>
          <w:w w:val="100"/>
          <w:sz w:val="32"/>
          <w:szCs w:val="32"/>
          <w:highlight w:val="none"/>
          <w:lang w:val="en-US" w:eastAsia="zh-CN"/>
        </w:rPr>
        <w:t>123026</w:t>
      </w:r>
      <w:r>
        <w:rPr>
          <w:rFonts w:hint="eastAsia" w:ascii="仿宋_GB2312" w:hAnsi="Times New Roman" w:eastAsia="仿宋_GB2312" w:cs="Times New Roman"/>
          <w:color w:val="000000"/>
          <w:spacing w:val="0"/>
          <w:w w:val="100"/>
          <w:sz w:val="32"/>
          <w:szCs w:val="32"/>
          <w:highlight w:val="none"/>
        </w:rPr>
        <w:t>万元，专项用途一般性转移支付收入</w:t>
      </w:r>
      <w:r>
        <w:rPr>
          <w:rFonts w:hint="eastAsia" w:ascii="仿宋_GB2312" w:hAnsi="Times New Roman" w:eastAsia="仿宋_GB2312" w:cs="Times New Roman"/>
          <w:color w:val="000000"/>
          <w:spacing w:val="0"/>
          <w:w w:val="100"/>
          <w:sz w:val="32"/>
          <w:szCs w:val="32"/>
          <w:highlight w:val="none"/>
          <w:lang w:val="en-US" w:eastAsia="zh-CN"/>
        </w:rPr>
        <w:t>91464</w:t>
      </w:r>
      <w:r>
        <w:rPr>
          <w:rFonts w:hint="eastAsia" w:ascii="仿宋_GB2312" w:hAnsi="Times New Roman" w:eastAsia="仿宋_GB2312" w:cs="Times New Roman"/>
          <w:color w:val="000000"/>
          <w:spacing w:val="0"/>
          <w:w w:val="100"/>
          <w:sz w:val="32"/>
          <w:szCs w:val="32"/>
          <w:highlight w:val="none"/>
        </w:rPr>
        <w:t>万元，专项转移支付收入</w:t>
      </w:r>
      <w:r>
        <w:rPr>
          <w:rFonts w:hint="eastAsia" w:ascii="仿宋_GB2312" w:hAnsi="Times New Roman" w:eastAsia="仿宋_GB2312" w:cs="Times New Roman"/>
          <w:color w:val="000000"/>
          <w:spacing w:val="0"/>
          <w:w w:val="100"/>
          <w:sz w:val="32"/>
          <w:szCs w:val="32"/>
          <w:highlight w:val="none"/>
          <w:lang w:val="en-US" w:eastAsia="zh-CN"/>
        </w:rPr>
        <w:t>28886</w:t>
      </w:r>
      <w:r>
        <w:rPr>
          <w:rFonts w:hint="eastAsia" w:ascii="仿宋_GB2312" w:hAnsi="Times New Roman" w:eastAsia="仿宋_GB2312" w:cs="Times New Roman"/>
          <w:color w:val="000000"/>
          <w:spacing w:val="0"/>
          <w:w w:val="100"/>
          <w:sz w:val="32"/>
          <w:szCs w:val="32"/>
          <w:highlight w:val="none"/>
        </w:rPr>
        <w:t>万元，</w:t>
      </w:r>
      <w:r>
        <w:rPr>
          <w:rFonts w:hint="eastAsia" w:ascii="仿宋_GB2312" w:hAnsi="Times New Roman" w:eastAsia="仿宋_GB2312" w:cs="Times New Roman"/>
          <w:color w:val="000000"/>
          <w:spacing w:val="0"/>
          <w:w w:val="100"/>
          <w:sz w:val="32"/>
          <w:szCs w:val="32"/>
          <w:highlight w:val="none"/>
          <w:lang w:eastAsia="zh-CN"/>
        </w:rPr>
        <w:t>地方政府一般债务转贷收入71150万元（其中再融资债券64150万元、新增债券7000万元），</w:t>
      </w:r>
      <w:r>
        <w:rPr>
          <w:rFonts w:hint="eastAsia" w:ascii="仿宋_GB2312" w:hAnsi="Times New Roman" w:eastAsia="仿宋_GB2312" w:cs="Times New Roman"/>
          <w:color w:val="000000"/>
          <w:spacing w:val="0"/>
          <w:w w:val="100"/>
          <w:sz w:val="32"/>
          <w:szCs w:val="32"/>
          <w:highlight w:val="none"/>
        </w:rPr>
        <w:t>上年结转23730万元，调入预算稳定调节资金18120万元，调入资金15943万元。全年收入总额</w:t>
      </w:r>
      <w:r>
        <w:rPr>
          <w:rFonts w:hint="eastAsia" w:ascii="仿宋_GB2312" w:hAnsi="Times New Roman" w:eastAsia="仿宋_GB2312" w:cs="Times New Roman"/>
          <w:color w:val="000000"/>
          <w:spacing w:val="0"/>
          <w:w w:val="100"/>
          <w:sz w:val="32"/>
          <w:szCs w:val="32"/>
          <w:highlight w:val="none"/>
          <w:lang w:val="en-US" w:eastAsia="zh-CN"/>
        </w:rPr>
        <w:t>455698</w:t>
      </w:r>
      <w:r>
        <w:rPr>
          <w:rFonts w:hint="eastAsia" w:ascii="仿宋_GB2312" w:hAnsi="Times New Roman" w:eastAsia="仿宋_GB2312" w:cs="Times New Roman"/>
          <w:color w:val="000000"/>
          <w:spacing w:val="0"/>
          <w:w w:val="100"/>
          <w:sz w:val="32"/>
          <w:szCs w:val="32"/>
          <w:highlight w:val="none"/>
        </w:rPr>
        <w:t>万元。</w:t>
      </w:r>
    </w:p>
    <w:p w14:paraId="588D8084">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0" w:leftChars="0" w:right="0" w:firstLine="643" w:firstLineChars="200"/>
        <w:jc w:val="both"/>
        <w:textAlignment w:val="auto"/>
        <w:rPr>
          <w:rFonts w:ascii="仿宋_GB2312" w:hAnsi="仿宋_GB2312" w:eastAsia="仿宋_GB2312" w:cs="仿宋_GB2312"/>
          <w:b/>
          <w:bCs/>
          <w:color w:val="000000"/>
          <w:spacing w:val="0"/>
          <w:w w:val="100"/>
          <w:sz w:val="32"/>
          <w:szCs w:val="32"/>
          <w:highlight w:val="none"/>
          <w:shd w:val="clear" w:color="FFFFFF" w:fill="D9D9D9"/>
        </w:rPr>
      </w:pPr>
      <w:r>
        <w:rPr>
          <w:rFonts w:hint="eastAsia" w:ascii="仿宋_GB2312" w:hAnsi="仿宋_GB2312" w:eastAsia="仿宋_GB2312" w:cs="仿宋_GB2312"/>
          <w:b/>
          <w:bCs/>
          <w:color w:val="000000"/>
          <w:spacing w:val="0"/>
          <w:w w:val="100"/>
          <w:sz w:val="32"/>
          <w:szCs w:val="32"/>
          <w:highlight w:val="none"/>
        </w:rPr>
        <w:t>一般公共预算支出预计完成情况</w:t>
      </w:r>
    </w:p>
    <w:p w14:paraId="2EA61B13">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ascii="仿宋_GB2312" w:hAnsi="Times New Roman" w:eastAsia="仿宋_GB2312" w:cs="Times New Roman"/>
          <w:color w:val="000000"/>
          <w:spacing w:val="0"/>
          <w:w w:val="100"/>
          <w:kern w:val="0"/>
          <w:sz w:val="32"/>
          <w:szCs w:val="32"/>
          <w:highlight w:val="none"/>
          <w:lang w:val="en-US" w:eastAsia="zh-CN" w:bidi="ar-SA"/>
        </w:rPr>
      </w:pPr>
      <w:r>
        <w:rPr>
          <w:rFonts w:hint="eastAsia" w:ascii="仿宋_GB2312" w:hAnsi="Times New Roman" w:eastAsia="仿宋_GB2312" w:cs="Times New Roman"/>
          <w:color w:val="000000"/>
          <w:spacing w:val="0"/>
          <w:w w:val="100"/>
          <w:kern w:val="0"/>
          <w:sz w:val="32"/>
          <w:szCs w:val="32"/>
          <w:highlight w:val="none"/>
          <w:lang w:val="en-US" w:eastAsia="zh-CN" w:bidi="ar-SA"/>
        </w:rPr>
        <w:t>2025年全区完成一般公共预算支出343637万元，比上年实际支出增加14298万元，增长4.34%。</w:t>
      </w:r>
    </w:p>
    <w:p w14:paraId="1EA57EB3">
      <w:pPr>
        <w:keepNext w:val="0"/>
        <w:keepLines w:val="0"/>
        <w:pageBreakBefore w:val="0"/>
        <w:widowControl w:val="0"/>
        <w:numPr>
          <w:ilvl w:val="0"/>
          <w:numId w:val="1"/>
        </w:numPr>
        <w:kinsoku/>
        <w:wordWrap/>
        <w:overflowPunct/>
        <w:topLinePunct w:val="0"/>
        <w:bidi w:val="0"/>
        <w:snapToGrid/>
        <w:spacing w:line="600" w:lineRule="exact"/>
        <w:ind w:left="0" w:leftChars="0" w:right="0" w:firstLine="643" w:firstLineChars="200"/>
        <w:jc w:val="both"/>
        <w:textAlignment w:val="auto"/>
        <w:rPr>
          <w:rFonts w:ascii="仿宋_GB2312" w:hAnsi="仿宋_GB2312" w:eastAsia="仿宋_GB2312" w:cs="仿宋_GB2312"/>
          <w:spacing w:val="0"/>
          <w:w w:val="100"/>
          <w:kern w:val="2"/>
          <w:sz w:val="32"/>
          <w:szCs w:val="32"/>
          <w:highlight w:val="none"/>
          <w:lang w:val="en-US" w:eastAsia="zh-CN" w:bidi="ar-SA"/>
        </w:rPr>
      </w:pPr>
      <w:r>
        <w:rPr>
          <w:rFonts w:hint="eastAsia" w:ascii="仿宋_GB2312" w:hAnsi="仿宋_GB2312" w:eastAsia="仿宋_GB2312" w:cs="仿宋_GB2312"/>
          <w:b/>
          <w:bCs/>
          <w:color w:val="000000"/>
          <w:spacing w:val="0"/>
          <w:w w:val="100"/>
          <w:kern w:val="0"/>
          <w:sz w:val="32"/>
          <w:szCs w:val="32"/>
          <w:highlight w:val="none"/>
          <w:lang w:val="en-US" w:eastAsia="zh-CN" w:bidi="ar-SA"/>
        </w:rPr>
        <w:t>收支平衡情况</w:t>
      </w:r>
    </w:p>
    <w:p w14:paraId="57066EDD">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ascii="仿宋_GB2312" w:hAnsi="仿宋_GB2312" w:eastAsia="仿宋_GB2312" w:cs="仿宋_GB2312"/>
          <w:spacing w:val="0"/>
          <w:w w:val="100"/>
          <w:kern w:val="2"/>
          <w:sz w:val="32"/>
          <w:szCs w:val="32"/>
          <w:highlight w:val="none"/>
          <w:lang w:val="en-US" w:eastAsia="zh-CN" w:bidi="ar-SA"/>
        </w:rPr>
      </w:pPr>
      <w:r>
        <w:rPr>
          <w:rFonts w:hint="eastAsia" w:ascii="仿宋_GB2312" w:hAnsi="仿宋_GB2312" w:eastAsia="仿宋_GB2312" w:cs="仿宋_GB2312"/>
          <w:spacing w:val="0"/>
          <w:w w:val="100"/>
          <w:kern w:val="2"/>
          <w:sz w:val="32"/>
          <w:szCs w:val="32"/>
          <w:highlight w:val="none"/>
          <w:lang w:val="en-US" w:eastAsia="zh-CN" w:bidi="ar-SA"/>
        </w:rPr>
        <w:t>全年收入总计</w:t>
      </w:r>
      <w:r>
        <w:rPr>
          <w:rFonts w:hint="eastAsia" w:ascii="仿宋_GB2312" w:hAnsi="Times New Roman" w:eastAsia="仿宋_GB2312" w:cs="Times New Roman"/>
          <w:color w:val="000000"/>
          <w:spacing w:val="0"/>
          <w:w w:val="100"/>
          <w:sz w:val="32"/>
          <w:szCs w:val="32"/>
          <w:highlight w:val="none"/>
          <w:lang w:val="en-US" w:eastAsia="zh-CN"/>
        </w:rPr>
        <w:t>455698万元</w:t>
      </w:r>
      <w:r>
        <w:rPr>
          <w:rFonts w:hint="eastAsia" w:ascii="仿宋_GB2312" w:hAnsi="仿宋_GB2312" w:eastAsia="仿宋_GB2312" w:cs="仿宋_GB2312"/>
          <w:spacing w:val="0"/>
          <w:w w:val="100"/>
          <w:kern w:val="2"/>
          <w:sz w:val="32"/>
          <w:szCs w:val="32"/>
          <w:highlight w:val="none"/>
          <w:lang w:val="en-US" w:eastAsia="zh-CN" w:bidi="ar-SA"/>
        </w:rPr>
        <w:t>，一般公共预算支出</w:t>
      </w:r>
      <w:r>
        <w:rPr>
          <w:rFonts w:hint="eastAsia" w:ascii="仿宋_GB2312" w:hAnsi="Times New Roman" w:eastAsia="仿宋_GB2312" w:cs="Times New Roman"/>
          <w:color w:val="000000"/>
          <w:spacing w:val="0"/>
          <w:w w:val="100"/>
          <w:kern w:val="0"/>
          <w:sz w:val="32"/>
          <w:szCs w:val="32"/>
          <w:highlight w:val="none"/>
          <w:lang w:val="en-US" w:eastAsia="zh-CN" w:bidi="ar-SA"/>
        </w:rPr>
        <w:t>343637</w:t>
      </w:r>
      <w:r>
        <w:rPr>
          <w:rFonts w:hint="eastAsia" w:ascii="仿宋_GB2312" w:hAnsi="仿宋_GB2312" w:eastAsia="仿宋_GB2312" w:cs="仿宋_GB2312"/>
          <w:spacing w:val="0"/>
          <w:w w:val="100"/>
          <w:kern w:val="2"/>
          <w:sz w:val="32"/>
          <w:szCs w:val="32"/>
          <w:highlight w:val="none"/>
          <w:lang w:val="en-US" w:eastAsia="zh-CN" w:bidi="ar-SA"/>
        </w:rPr>
        <w:t>万元，上解上级支出12998万元，地方政府一般债务还本支出64150万元，</w:t>
      </w:r>
      <w:r>
        <w:rPr>
          <w:rFonts w:hint="eastAsia" w:ascii="仿宋_GB2312" w:hAnsi="Calibri" w:eastAsia="仿宋_GB2312"/>
          <w:bCs/>
          <w:color w:val="000000"/>
          <w:spacing w:val="0"/>
          <w:w w:val="100"/>
          <w:sz w:val="32"/>
          <w:szCs w:val="32"/>
          <w:highlight w:val="none"/>
          <w:lang w:val="en-US" w:eastAsia="zh-CN"/>
        </w:rPr>
        <w:t>安排预算稳定调节基金13965万元，</w:t>
      </w:r>
      <w:r>
        <w:rPr>
          <w:rFonts w:hint="eastAsia" w:ascii="仿宋_GB2312" w:hAnsi="仿宋_GB2312" w:eastAsia="仿宋_GB2312" w:cs="仿宋_GB2312"/>
          <w:spacing w:val="0"/>
          <w:w w:val="100"/>
          <w:kern w:val="2"/>
          <w:sz w:val="32"/>
          <w:szCs w:val="32"/>
          <w:highlight w:val="none"/>
          <w:lang w:val="en-US" w:eastAsia="zh-CN" w:bidi="ar-SA"/>
        </w:rPr>
        <w:t>结转下年支出</w:t>
      </w:r>
      <w:r>
        <w:rPr>
          <w:rFonts w:hint="eastAsia" w:ascii="仿宋_GB2312" w:hAnsi="宋体" w:eastAsia="仿宋_GB2312"/>
          <w:color w:val="000000"/>
          <w:kern w:val="0"/>
          <w:sz w:val="32"/>
          <w:szCs w:val="32"/>
          <w:vertAlign w:val="superscript"/>
        </w:rPr>
        <w:t>①</w:t>
      </w:r>
      <w:r>
        <w:rPr>
          <w:rFonts w:hint="eastAsia" w:ascii="仿宋_GB2312" w:hAnsi="Calibri" w:eastAsia="仿宋_GB2312"/>
          <w:bCs/>
          <w:color w:val="000000"/>
          <w:spacing w:val="0"/>
          <w:w w:val="100"/>
          <w:sz w:val="32"/>
          <w:szCs w:val="32"/>
          <w:highlight w:val="none"/>
          <w:lang w:val="en-US" w:eastAsia="zh-CN"/>
        </w:rPr>
        <w:t>20948</w:t>
      </w:r>
      <w:r>
        <w:rPr>
          <w:rFonts w:hint="eastAsia" w:ascii="仿宋_GB2312" w:hAnsi="仿宋_GB2312" w:eastAsia="仿宋_GB2312" w:cs="仿宋_GB2312"/>
          <w:spacing w:val="0"/>
          <w:w w:val="100"/>
          <w:kern w:val="2"/>
          <w:sz w:val="32"/>
          <w:szCs w:val="32"/>
          <w:highlight w:val="none"/>
          <w:lang w:val="en-US" w:eastAsia="zh-CN" w:bidi="ar-SA"/>
        </w:rPr>
        <w:t>万元，收支平衡。其中，区级可用财力223287万元（含一般债券收入7000万元），对应安排区级财政支出223287万元（含一般债券支出7000万元）。</w:t>
      </w:r>
    </w:p>
    <w:p w14:paraId="215F99EA">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ascii="仿宋_GB2312" w:hAnsi="Times New Roman" w:eastAsia="仿宋_GB2312" w:cs="Times New Roman"/>
          <w:spacing w:val="0"/>
          <w:w w:val="100"/>
          <w:kern w:val="2"/>
          <w:sz w:val="32"/>
          <w:szCs w:val="32"/>
          <w:highlight w:val="none"/>
          <w:lang w:val="en-US" w:eastAsia="zh-CN" w:bidi="ar-SA"/>
        </w:rPr>
      </w:pPr>
      <w:r>
        <w:rPr>
          <w:rFonts w:hint="eastAsia" w:ascii="楷体_GB2312" w:hAnsi="楷体_GB2312" w:eastAsia="楷体_GB2312" w:cs="楷体_GB2312"/>
          <w:b/>
          <w:bCs/>
          <w:spacing w:val="0"/>
          <w:w w:val="100"/>
          <w:kern w:val="2"/>
          <w:sz w:val="32"/>
          <w:szCs w:val="32"/>
          <w:highlight w:val="none"/>
          <w:lang w:val="en-US" w:eastAsia="zh-CN" w:bidi="ar-SA"/>
        </w:rPr>
        <w:t>（二）政府性基金</w:t>
      </w:r>
    </w:p>
    <w:p w14:paraId="4DD6A9F9">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ascii="仿宋_GB2312" w:hAnsi="Times New Roman" w:eastAsia="仿宋_GB2312" w:cs="Times New Roman"/>
          <w:spacing w:val="0"/>
          <w:w w:val="100"/>
          <w:sz w:val="32"/>
          <w:szCs w:val="32"/>
          <w:highlight w:val="none"/>
        </w:rPr>
      </w:pPr>
      <w:r>
        <w:rPr>
          <w:rFonts w:hint="eastAsia" w:ascii="仿宋_GB2312" w:hAnsi="Times New Roman" w:eastAsia="仿宋_GB2312" w:cs="Times New Roman"/>
          <w:spacing w:val="0"/>
          <w:w w:val="100"/>
          <w:sz w:val="32"/>
          <w:szCs w:val="32"/>
          <w:highlight w:val="none"/>
        </w:rPr>
        <w:t>202</w:t>
      </w:r>
      <w:r>
        <w:rPr>
          <w:rFonts w:hint="eastAsia" w:ascii="仿宋_GB2312" w:hAnsi="Times New Roman" w:eastAsia="仿宋_GB2312" w:cs="Times New Roman"/>
          <w:spacing w:val="0"/>
          <w:w w:val="100"/>
          <w:sz w:val="32"/>
          <w:szCs w:val="32"/>
          <w:highlight w:val="none"/>
          <w:lang w:val="en-US" w:eastAsia="zh-CN"/>
        </w:rPr>
        <w:t>5</w:t>
      </w:r>
      <w:r>
        <w:rPr>
          <w:rFonts w:hint="eastAsia" w:ascii="仿宋_GB2312" w:hAnsi="Times New Roman" w:eastAsia="仿宋_GB2312" w:cs="Times New Roman"/>
          <w:spacing w:val="0"/>
          <w:w w:val="100"/>
          <w:sz w:val="32"/>
          <w:szCs w:val="32"/>
          <w:highlight w:val="none"/>
        </w:rPr>
        <w:t>年全区完成政府性基金收入总计</w:t>
      </w:r>
      <w:r>
        <w:rPr>
          <w:rFonts w:hint="eastAsia" w:ascii="仿宋_GB2312" w:hAnsi="Times New Roman" w:eastAsia="仿宋_GB2312" w:cs="Times New Roman"/>
          <w:spacing w:val="0"/>
          <w:w w:val="100"/>
          <w:sz w:val="32"/>
          <w:szCs w:val="32"/>
          <w:highlight w:val="none"/>
          <w:lang w:val="en-US" w:eastAsia="zh-CN"/>
        </w:rPr>
        <w:t>145119</w:t>
      </w:r>
      <w:r>
        <w:rPr>
          <w:rFonts w:hint="eastAsia" w:ascii="仿宋_GB2312" w:hAnsi="Times New Roman" w:eastAsia="仿宋_GB2312" w:cs="Times New Roman"/>
          <w:spacing w:val="0"/>
          <w:w w:val="100"/>
          <w:sz w:val="32"/>
          <w:szCs w:val="32"/>
          <w:highlight w:val="none"/>
        </w:rPr>
        <w:t>万元。</w:t>
      </w:r>
      <w:r>
        <w:rPr>
          <w:rFonts w:hint="eastAsia" w:ascii="仿宋_GB2312" w:hAnsi="Times New Roman" w:eastAsia="仿宋_GB2312" w:cs="Times New Roman"/>
          <w:spacing w:val="0"/>
          <w:w w:val="100"/>
          <w:sz w:val="32"/>
          <w:szCs w:val="32"/>
          <w:highlight w:val="none"/>
          <w:lang w:eastAsia="zh-CN"/>
        </w:rPr>
        <w:t>地方</w:t>
      </w:r>
      <w:r>
        <w:rPr>
          <w:rFonts w:hint="eastAsia" w:ascii="仿宋_GB2312" w:hAnsi="Times New Roman" w:eastAsia="仿宋_GB2312" w:cs="Times New Roman"/>
          <w:spacing w:val="0"/>
          <w:w w:val="100"/>
          <w:sz w:val="32"/>
          <w:szCs w:val="32"/>
          <w:highlight w:val="none"/>
        </w:rPr>
        <w:t>政府性基金收入预计完成</w:t>
      </w:r>
      <w:r>
        <w:rPr>
          <w:rFonts w:hint="eastAsia" w:ascii="仿宋_GB2312" w:hAnsi="Times New Roman" w:eastAsia="仿宋_GB2312" w:cs="Times New Roman"/>
          <w:spacing w:val="0"/>
          <w:w w:val="100"/>
          <w:sz w:val="32"/>
          <w:szCs w:val="32"/>
          <w:highlight w:val="none"/>
          <w:lang w:val="en-US" w:eastAsia="zh-CN"/>
        </w:rPr>
        <w:t>28417</w:t>
      </w:r>
      <w:r>
        <w:rPr>
          <w:rFonts w:hint="eastAsia" w:ascii="仿宋_GB2312" w:hAnsi="Times New Roman" w:eastAsia="仿宋_GB2312" w:cs="Times New Roman"/>
          <w:spacing w:val="0"/>
          <w:w w:val="100"/>
          <w:sz w:val="32"/>
          <w:szCs w:val="32"/>
          <w:highlight w:val="none"/>
        </w:rPr>
        <w:t>万元</w:t>
      </w:r>
      <w:r>
        <w:rPr>
          <w:rFonts w:hint="eastAsia" w:ascii="仿宋_GB2312" w:hAnsi="Times New Roman" w:eastAsia="仿宋_GB2312" w:cs="Times New Roman"/>
          <w:spacing w:val="0"/>
          <w:w w:val="100"/>
          <w:sz w:val="32"/>
          <w:szCs w:val="32"/>
          <w:highlight w:val="none"/>
          <w:lang w:eastAsia="zh-CN"/>
        </w:rPr>
        <w:t>，</w:t>
      </w:r>
      <w:r>
        <w:rPr>
          <w:rFonts w:hint="eastAsia" w:ascii="仿宋_GB2312" w:hAnsi="Times New Roman" w:eastAsia="仿宋_GB2312" w:cs="Times New Roman"/>
          <w:spacing w:val="0"/>
          <w:w w:val="100"/>
          <w:sz w:val="32"/>
          <w:szCs w:val="32"/>
          <w:highlight w:val="none"/>
        </w:rPr>
        <w:t>上级补助收入（含市级返还国有土地使用权出让收入）</w:t>
      </w:r>
      <w:r>
        <w:rPr>
          <w:rFonts w:hint="eastAsia" w:ascii="仿宋_GB2312" w:hAnsi="Times New Roman" w:eastAsia="仿宋_GB2312" w:cs="Times New Roman"/>
          <w:spacing w:val="0"/>
          <w:w w:val="100"/>
          <w:sz w:val="32"/>
          <w:szCs w:val="32"/>
          <w:highlight w:val="none"/>
          <w:lang w:val="en-US" w:eastAsia="zh-CN"/>
        </w:rPr>
        <w:t>20322</w:t>
      </w:r>
      <w:r>
        <w:rPr>
          <w:rFonts w:hint="eastAsia" w:ascii="仿宋_GB2312" w:hAnsi="Times New Roman" w:eastAsia="仿宋_GB2312" w:cs="Times New Roman"/>
          <w:spacing w:val="0"/>
          <w:w w:val="100"/>
          <w:sz w:val="32"/>
          <w:szCs w:val="32"/>
          <w:highlight w:val="none"/>
        </w:rPr>
        <w:t>万元</w:t>
      </w:r>
      <w:r>
        <w:rPr>
          <w:rFonts w:hint="eastAsia" w:ascii="仿宋_GB2312" w:hAnsi="Times New Roman" w:eastAsia="仿宋_GB2312" w:cs="Times New Roman"/>
          <w:spacing w:val="0"/>
          <w:w w:val="100"/>
          <w:sz w:val="32"/>
          <w:szCs w:val="32"/>
          <w:highlight w:val="none"/>
          <w:lang w:eastAsia="zh-CN"/>
        </w:rPr>
        <w:t>，</w:t>
      </w:r>
      <w:r>
        <w:rPr>
          <w:rFonts w:hint="eastAsia" w:ascii="仿宋_GB2312" w:hAnsi="Times New Roman" w:eastAsia="仿宋_GB2312" w:cs="Times New Roman"/>
          <w:spacing w:val="0"/>
          <w:w w:val="100"/>
          <w:sz w:val="32"/>
          <w:szCs w:val="32"/>
          <w:highlight w:val="none"/>
        </w:rPr>
        <w:t>地方政府专项债务转贷收入61600万元（其中新增债券41900万元、再融资债券19700万元）</w:t>
      </w:r>
      <w:r>
        <w:rPr>
          <w:rFonts w:hint="eastAsia" w:ascii="仿宋_GB2312" w:hAnsi="Times New Roman" w:eastAsia="仿宋_GB2312" w:cs="Times New Roman"/>
          <w:spacing w:val="0"/>
          <w:w w:val="100"/>
          <w:sz w:val="32"/>
          <w:szCs w:val="32"/>
          <w:highlight w:val="none"/>
          <w:lang w:eastAsia="zh-CN"/>
        </w:rPr>
        <w:t>，</w:t>
      </w:r>
      <w:r>
        <w:rPr>
          <w:rFonts w:hint="eastAsia" w:ascii="仿宋_GB2312" w:hAnsi="Times New Roman" w:eastAsia="仿宋_GB2312" w:cs="Times New Roman"/>
          <w:spacing w:val="0"/>
          <w:w w:val="100"/>
          <w:sz w:val="32"/>
          <w:szCs w:val="32"/>
          <w:highlight w:val="none"/>
        </w:rPr>
        <w:t>上年结转34780万元。202</w:t>
      </w:r>
      <w:r>
        <w:rPr>
          <w:rFonts w:hint="eastAsia" w:ascii="仿宋_GB2312" w:hAnsi="Times New Roman" w:eastAsia="仿宋_GB2312" w:cs="Times New Roman"/>
          <w:spacing w:val="0"/>
          <w:w w:val="100"/>
          <w:sz w:val="32"/>
          <w:szCs w:val="32"/>
          <w:highlight w:val="none"/>
          <w:lang w:val="en-US" w:eastAsia="zh-CN"/>
        </w:rPr>
        <w:t>5</w:t>
      </w:r>
      <w:r>
        <w:rPr>
          <w:rFonts w:hint="eastAsia" w:ascii="仿宋_GB2312" w:hAnsi="Times New Roman" w:eastAsia="仿宋_GB2312" w:cs="Times New Roman"/>
          <w:spacing w:val="0"/>
          <w:w w:val="100"/>
          <w:sz w:val="32"/>
          <w:szCs w:val="32"/>
          <w:highlight w:val="none"/>
        </w:rPr>
        <w:t>年预计完成政府性基金支出总计</w:t>
      </w:r>
      <w:r>
        <w:rPr>
          <w:rFonts w:hint="eastAsia" w:ascii="仿宋_GB2312" w:hAnsi="Times New Roman" w:eastAsia="仿宋_GB2312" w:cs="Times New Roman"/>
          <w:spacing w:val="0"/>
          <w:w w:val="100"/>
          <w:sz w:val="32"/>
          <w:szCs w:val="32"/>
          <w:highlight w:val="none"/>
          <w:lang w:val="en-US" w:eastAsia="zh-CN"/>
        </w:rPr>
        <w:t>145119</w:t>
      </w:r>
      <w:r>
        <w:rPr>
          <w:rFonts w:hint="eastAsia" w:ascii="仿宋_GB2312" w:hAnsi="Times New Roman" w:eastAsia="仿宋_GB2312" w:cs="Times New Roman"/>
          <w:spacing w:val="0"/>
          <w:w w:val="100"/>
          <w:sz w:val="32"/>
          <w:szCs w:val="32"/>
          <w:highlight w:val="none"/>
        </w:rPr>
        <w:t>万元，其中：政府性基金支出</w:t>
      </w:r>
      <w:r>
        <w:rPr>
          <w:rFonts w:hint="eastAsia" w:ascii="仿宋_GB2312" w:eastAsia="仿宋_GB2312"/>
          <w:spacing w:val="0"/>
          <w:w w:val="100"/>
          <w:sz w:val="32"/>
          <w:szCs w:val="32"/>
          <w:highlight w:val="none"/>
          <w:lang w:val="en-US" w:eastAsia="zh-CN"/>
        </w:rPr>
        <w:t>99865</w:t>
      </w:r>
      <w:r>
        <w:rPr>
          <w:rFonts w:hint="eastAsia" w:ascii="仿宋_GB2312" w:hAnsi="Times New Roman" w:eastAsia="仿宋_GB2312" w:cs="Times New Roman"/>
          <w:spacing w:val="0"/>
          <w:w w:val="100"/>
          <w:sz w:val="32"/>
          <w:szCs w:val="32"/>
          <w:highlight w:val="none"/>
        </w:rPr>
        <w:t>万元（含专项债券付息支出</w:t>
      </w:r>
      <w:r>
        <w:rPr>
          <w:rFonts w:hint="eastAsia" w:ascii="仿宋_GB2312" w:hAnsi="Times New Roman" w:eastAsia="仿宋_GB2312" w:cs="Times New Roman"/>
          <w:spacing w:val="0"/>
          <w:w w:val="100"/>
          <w:sz w:val="32"/>
          <w:szCs w:val="32"/>
          <w:highlight w:val="none"/>
          <w:lang w:val="en-US" w:eastAsia="zh-CN"/>
        </w:rPr>
        <w:t>9226</w:t>
      </w:r>
      <w:r>
        <w:rPr>
          <w:rFonts w:hint="eastAsia" w:ascii="仿宋_GB2312" w:hAnsi="Times New Roman" w:eastAsia="仿宋_GB2312" w:cs="Times New Roman"/>
          <w:spacing w:val="0"/>
          <w:w w:val="100"/>
          <w:sz w:val="32"/>
          <w:szCs w:val="32"/>
          <w:highlight w:val="none"/>
        </w:rPr>
        <w:t>万元）</w:t>
      </w:r>
      <w:r>
        <w:rPr>
          <w:rFonts w:hint="eastAsia" w:ascii="仿宋_GB2312" w:hAnsi="Times New Roman" w:eastAsia="仿宋_GB2312" w:cs="Times New Roman"/>
          <w:spacing w:val="0"/>
          <w:w w:val="100"/>
          <w:sz w:val="32"/>
          <w:szCs w:val="32"/>
          <w:highlight w:val="none"/>
          <w:lang w:eastAsia="zh-CN"/>
        </w:rPr>
        <w:t>，调出资金</w:t>
      </w:r>
      <w:r>
        <w:rPr>
          <w:rFonts w:hint="eastAsia" w:ascii="仿宋_GB2312" w:hAnsi="Times New Roman" w:eastAsia="仿宋_GB2312" w:cs="Times New Roman"/>
          <w:spacing w:val="0"/>
          <w:w w:val="100"/>
          <w:sz w:val="32"/>
          <w:szCs w:val="32"/>
          <w:highlight w:val="none"/>
          <w:lang w:val="en-US" w:eastAsia="zh-CN"/>
        </w:rPr>
        <w:t>140</w:t>
      </w:r>
      <w:r>
        <w:rPr>
          <w:rFonts w:hint="eastAsia" w:ascii="仿宋_GB2312" w:hAnsi="Times New Roman" w:eastAsia="仿宋_GB2312" w:cs="Times New Roman"/>
          <w:spacing w:val="0"/>
          <w:w w:val="100"/>
          <w:sz w:val="32"/>
          <w:szCs w:val="32"/>
          <w:highlight w:val="none"/>
          <w:lang w:eastAsia="zh-CN"/>
        </w:rPr>
        <w:t>万元，</w:t>
      </w:r>
      <w:r>
        <w:rPr>
          <w:rFonts w:hint="eastAsia" w:ascii="仿宋_GB2312" w:hAnsi="Times New Roman" w:eastAsia="仿宋_GB2312" w:cs="Times New Roman"/>
          <w:spacing w:val="0"/>
          <w:w w:val="100"/>
          <w:sz w:val="32"/>
          <w:szCs w:val="32"/>
          <w:highlight w:val="none"/>
        </w:rPr>
        <w:t>地方政府专项债务还本支出</w:t>
      </w:r>
      <w:r>
        <w:rPr>
          <w:rFonts w:hint="eastAsia" w:ascii="仿宋_GB2312" w:hAnsi="Times New Roman" w:eastAsia="仿宋_GB2312" w:cs="Times New Roman"/>
          <w:spacing w:val="0"/>
          <w:w w:val="100"/>
          <w:sz w:val="32"/>
          <w:szCs w:val="32"/>
          <w:highlight w:val="none"/>
          <w:lang w:val="en-US" w:eastAsia="zh-CN"/>
        </w:rPr>
        <w:t>24409</w:t>
      </w:r>
      <w:r>
        <w:rPr>
          <w:rFonts w:hint="eastAsia" w:ascii="仿宋_GB2312" w:hAnsi="Times New Roman" w:eastAsia="仿宋_GB2312" w:cs="Times New Roman"/>
          <w:spacing w:val="0"/>
          <w:w w:val="100"/>
          <w:sz w:val="32"/>
          <w:szCs w:val="32"/>
          <w:highlight w:val="none"/>
        </w:rPr>
        <w:t>万元</w:t>
      </w:r>
      <w:r>
        <w:rPr>
          <w:rFonts w:hint="eastAsia" w:ascii="仿宋_GB2312" w:hAnsi="Times New Roman" w:eastAsia="仿宋_GB2312" w:cs="Times New Roman"/>
          <w:spacing w:val="0"/>
          <w:w w:val="100"/>
          <w:sz w:val="32"/>
          <w:szCs w:val="32"/>
          <w:highlight w:val="none"/>
          <w:lang w:eastAsia="zh-CN"/>
        </w:rPr>
        <w:t>，</w:t>
      </w:r>
      <w:r>
        <w:rPr>
          <w:rFonts w:hint="eastAsia" w:ascii="仿宋_GB2312" w:hAnsi="Times New Roman" w:eastAsia="仿宋_GB2312" w:cs="Times New Roman"/>
          <w:spacing w:val="0"/>
          <w:w w:val="100"/>
          <w:sz w:val="32"/>
          <w:szCs w:val="32"/>
          <w:highlight w:val="none"/>
        </w:rPr>
        <w:t>结转下年支出</w:t>
      </w:r>
      <w:r>
        <w:rPr>
          <w:rFonts w:hint="eastAsia" w:ascii="仿宋_GB2312" w:hAnsi="Times New Roman" w:eastAsia="仿宋_GB2312" w:cs="Times New Roman"/>
          <w:spacing w:val="0"/>
          <w:w w:val="100"/>
          <w:sz w:val="32"/>
          <w:szCs w:val="32"/>
          <w:highlight w:val="none"/>
          <w:lang w:val="en-US" w:eastAsia="zh-CN"/>
        </w:rPr>
        <w:t>20705</w:t>
      </w:r>
      <w:r>
        <w:rPr>
          <w:rFonts w:hint="eastAsia" w:ascii="仿宋_GB2312" w:hAnsi="Times New Roman" w:eastAsia="仿宋_GB2312" w:cs="Times New Roman"/>
          <w:spacing w:val="0"/>
          <w:w w:val="100"/>
          <w:sz w:val="32"/>
          <w:szCs w:val="32"/>
          <w:highlight w:val="none"/>
        </w:rPr>
        <w:t>万元。当年收支平衡。</w:t>
      </w:r>
    </w:p>
    <w:p w14:paraId="06F399C6">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ascii="仿宋_GB2312" w:hAnsi="宋体" w:eastAsia="仿宋_GB2312" w:cs="Times New Roman"/>
          <w:spacing w:val="0"/>
          <w:w w:val="100"/>
          <w:sz w:val="32"/>
          <w:szCs w:val="32"/>
          <w:highlight w:val="none"/>
        </w:rPr>
      </w:pPr>
      <w:r>
        <w:rPr>
          <w:rFonts w:hint="eastAsia" w:ascii="楷体_GB2312" w:hAnsi="Times New Roman" w:eastAsia="楷体_GB2312" w:cs="Times New Roman"/>
          <w:b/>
          <w:spacing w:val="0"/>
          <w:w w:val="100"/>
          <w:sz w:val="32"/>
          <w:szCs w:val="32"/>
          <w:highlight w:val="none"/>
        </w:rPr>
        <w:t>（三）社会保险基金</w:t>
      </w:r>
    </w:p>
    <w:p w14:paraId="10FBA2E9">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仿宋_GB2312" w:hAnsi="宋体" w:eastAsia="仿宋_GB2312" w:cs="Times New Roman"/>
          <w:spacing w:val="0"/>
          <w:w w:val="100"/>
          <w:sz w:val="32"/>
          <w:szCs w:val="32"/>
          <w:highlight w:val="none"/>
        </w:rPr>
      </w:pPr>
      <w:r>
        <w:rPr>
          <w:rFonts w:hint="eastAsia" w:ascii="仿宋_GB2312" w:hAnsi="宋体" w:eastAsia="仿宋_GB2312" w:cs="Times New Roman"/>
          <w:spacing w:val="0"/>
          <w:w w:val="100"/>
          <w:sz w:val="32"/>
          <w:szCs w:val="32"/>
          <w:highlight w:val="none"/>
        </w:rPr>
        <w:t>202</w:t>
      </w:r>
      <w:r>
        <w:rPr>
          <w:rFonts w:hint="eastAsia" w:ascii="仿宋_GB2312" w:hAnsi="宋体" w:eastAsia="仿宋_GB2312" w:cs="Times New Roman"/>
          <w:spacing w:val="0"/>
          <w:w w:val="100"/>
          <w:sz w:val="32"/>
          <w:szCs w:val="32"/>
          <w:highlight w:val="none"/>
          <w:lang w:val="en-US" w:eastAsia="zh-CN"/>
        </w:rPr>
        <w:t>5</w:t>
      </w:r>
      <w:r>
        <w:rPr>
          <w:rFonts w:hint="eastAsia" w:ascii="仿宋_GB2312" w:hAnsi="宋体" w:eastAsia="仿宋_GB2312" w:cs="Times New Roman"/>
          <w:spacing w:val="0"/>
          <w:w w:val="100"/>
          <w:sz w:val="32"/>
          <w:szCs w:val="32"/>
          <w:highlight w:val="none"/>
        </w:rPr>
        <w:t>年社会保险基金收入</w:t>
      </w:r>
      <w:r>
        <w:rPr>
          <w:rFonts w:hint="eastAsia" w:ascii="仿宋_GB2312" w:hAnsi="宋体" w:eastAsia="仿宋_GB2312" w:cs="Times New Roman"/>
          <w:spacing w:val="0"/>
          <w:w w:val="100"/>
          <w:sz w:val="32"/>
          <w:szCs w:val="32"/>
          <w:highlight w:val="none"/>
          <w:lang w:val="en-US" w:eastAsia="zh-CN"/>
        </w:rPr>
        <w:t>75548</w:t>
      </w:r>
      <w:r>
        <w:rPr>
          <w:rFonts w:hint="eastAsia" w:ascii="仿宋_GB2312" w:hAnsi="宋体" w:eastAsia="仿宋_GB2312" w:cs="Times New Roman"/>
          <w:spacing w:val="0"/>
          <w:w w:val="100"/>
          <w:sz w:val="32"/>
          <w:szCs w:val="32"/>
          <w:highlight w:val="none"/>
        </w:rPr>
        <w:t>万元，其中：城乡居民基本养老保险基金收入</w:t>
      </w:r>
      <w:r>
        <w:rPr>
          <w:rFonts w:hint="eastAsia" w:ascii="仿宋_GB2312" w:hAnsi="宋体" w:eastAsia="仿宋_GB2312" w:cs="Times New Roman"/>
          <w:spacing w:val="0"/>
          <w:w w:val="100"/>
          <w:sz w:val="32"/>
          <w:szCs w:val="32"/>
          <w:highlight w:val="none"/>
          <w:lang w:val="en-US" w:eastAsia="zh-CN"/>
        </w:rPr>
        <w:t>32528</w:t>
      </w:r>
      <w:r>
        <w:rPr>
          <w:rFonts w:hint="eastAsia" w:ascii="仿宋_GB2312" w:hAnsi="宋体" w:eastAsia="仿宋_GB2312" w:cs="Times New Roman"/>
          <w:spacing w:val="0"/>
          <w:w w:val="100"/>
          <w:sz w:val="32"/>
          <w:szCs w:val="32"/>
          <w:highlight w:val="none"/>
        </w:rPr>
        <w:t>万元，机关事业单位养老保险基金收入</w:t>
      </w:r>
      <w:r>
        <w:rPr>
          <w:rFonts w:hint="eastAsia" w:ascii="仿宋_GB2312" w:hAnsi="宋体" w:eastAsia="仿宋_GB2312" w:cs="Times New Roman"/>
          <w:spacing w:val="0"/>
          <w:w w:val="100"/>
          <w:sz w:val="32"/>
          <w:szCs w:val="32"/>
          <w:highlight w:val="none"/>
          <w:lang w:val="en-US" w:eastAsia="zh-CN"/>
        </w:rPr>
        <w:t>43020</w:t>
      </w:r>
      <w:r>
        <w:rPr>
          <w:rFonts w:hint="eastAsia" w:ascii="仿宋_GB2312" w:hAnsi="宋体" w:eastAsia="仿宋_GB2312" w:cs="Times New Roman"/>
          <w:spacing w:val="0"/>
          <w:w w:val="100"/>
          <w:sz w:val="32"/>
          <w:szCs w:val="32"/>
          <w:highlight w:val="none"/>
        </w:rPr>
        <w:t>万元。</w:t>
      </w:r>
    </w:p>
    <w:p w14:paraId="435F87F8">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仿宋_GB2312" w:hAnsi="宋体" w:eastAsia="仿宋_GB2312" w:cs="Times New Roman"/>
          <w:spacing w:val="0"/>
          <w:w w:val="100"/>
          <w:sz w:val="32"/>
          <w:szCs w:val="32"/>
          <w:highlight w:val="none"/>
        </w:rPr>
      </w:pPr>
      <w:r>
        <w:rPr>
          <w:rFonts w:hint="eastAsia" w:ascii="仿宋_GB2312" w:hAnsi="宋体" w:eastAsia="仿宋_GB2312" w:cs="Times New Roman"/>
          <w:spacing w:val="0"/>
          <w:w w:val="100"/>
          <w:sz w:val="32"/>
          <w:szCs w:val="32"/>
          <w:highlight w:val="none"/>
        </w:rPr>
        <w:t>202</w:t>
      </w:r>
      <w:r>
        <w:rPr>
          <w:rFonts w:hint="eastAsia" w:ascii="仿宋_GB2312" w:hAnsi="宋体" w:eastAsia="仿宋_GB2312" w:cs="Times New Roman"/>
          <w:spacing w:val="0"/>
          <w:w w:val="100"/>
          <w:sz w:val="32"/>
          <w:szCs w:val="32"/>
          <w:highlight w:val="none"/>
          <w:lang w:val="en-US" w:eastAsia="zh-CN"/>
        </w:rPr>
        <w:t>5</w:t>
      </w:r>
      <w:r>
        <w:rPr>
          <w:rFonts w:hint="eastAsia" w:ascii="仿宋_GB2312" w:hAnsi="宋体" w:eastAsia="仿宋_GB2312" w:cs="Times New Roman"/>
          <w:spacing w:val="0"/>
          <w:w w:val="100"/>
          <w:sz w:val="32"/>
          <w:szCs w:val="32"/>
          <w:highlight w:val="none"/>
        </w:rPr>
        <w:t>年社会保险基金支出</w:t>
      </w:r>
      <w:r>
        <w:rPr>
          <w:rFonts w:hint="eastAsia" w:ascii="仿宋_GB2312" w:hAnsi="宋体" w:eastAsia="仿宋_GB2312" w:cs="Times New Roman"/>
          <w:spacing w:val="0"/>
          <w:w w:val="100"/>
          <w:sz w:val="32"/>
          <w:szCs w:val="32"/>
          <w:highlight w:val="none"/>
          <w:lang w:val="en-US" w:eastAsia="zh-CN"/>
        </w:rPr>
        <w:t>56998</w:t>
      </w:r>
      <w:r>
        <w:rPr>
          <w:rFonts w:hint="eastAsia" w:ascii="仿宋_GB2312" w:hAnsi="宋体" w:eastAsia="仿宋_GB2312" w:cs="Times New Roman"/>
          <w:spacing w:val="0"/>
          <w:w w:val="100"/>
          <w:sz w:val="32"/>
          <w:szCs w:val="32"/>
          <w:highlight w:val="none"/>
        </w:rPr>
        <w:t>万元。其中：城乡居民基本养老保险基金支出</w:t>
      </w:r>
      <w:r>
        <w:rPr>
          <w:rFonts w:hint="eastAsia" w:ascii="仿宋_GB2312" w:hAnsi="宋体" w:eastAsia="仿宋_GB2312" w:cs="Times New Roman"/>
          <w:spacing w:val="0"/>
          <w:w w:val="100"/>
          <w:sz w:val="32"/>
          <w:szCs w:val="32"/>
          <w:highlight w:val="none"/>
          <w:lang w:val="en-US" w:eastAsia="zh-CN"/>
        </w:rPr>
        <w:t>15972</w:t>
      </w:r>
      <w:r>
        <w:rPr>
          <w:rFonts w:hint="eastAsia" w:ascii="仿宋_GB2312" w:hAnsi="宋体" w:eastAsia="仿宋_GB2312" w:cs="Times New Roman"/>
          <w:spacing w:val="0"/>
          <w:w w:val="100"/>
          <w:sz w:val="32"/>
          <w:szCs w:val="32"/>
          <w:highlight w:val="none"/>
        </w:rPr>
        <w:t>万元</w:t>
      </w:r>
      <w:r>
        <w:rPr>
          <w:rFonts w:hint="eastAsia" w:ascii="仿宋_GB2312" w:hAnsi="宋体" w:eastAsia="仿宋_GB2312" w:cs="Times New Roman"/>
          <w:spacing w:val="0"/>
          <w:w w:val="100"/>
          <w:sz w:val="32"/>
          <w:szCs w:val="32"/>
          <w:highlight w:val="none"/>
          <w:lang w:eastAsia="zh-CN"/>
        </w:rPr>
        <w:t>，</w:t>
      </w:r>
      <w:r>
        <w:rPr>
          <w:rFonts w:hint="eastAsia" w:ascii="仿宋_GB2312" w:hAnsi="宋体" w:eastAsia="仿宋_GB2312" w:cs="Times New Roman"/>
          <w:spacing w:val="0"/>
          <w:w w:val="100"/>
          <w:sz w:val="32"/>
          <w:szCs w:val="32"/>
          <w:highlight w:val="none"/>
        </w:rPr>
        <w:t>机关事业单位养老保险基金支出</w:t>
      </w:r>
      <w:r>
        <w:rPr>
          <w:rFonts w:hint="eastAsia" w:ascii="仿宋_GB2312" w:hAnsi="宋体" w:eastAsia="仿宋_GB2312" w:cs="Times New Roman"/>
          <w:spacing w:val="0"/>
          <w:w w:val="100"/>
          <w:sz w:val="32"/>
          <w:szCs w:val="32"/>
          <w:highlight w:val="none"/>
          <w:lang w:val="en-US" w:eastAsia="zh-CN"/>
        </w:rPr>
        <w:t>41026</w:t>
      </w:r>
      <w:r>
        <w:rPr>
          <w:rFonts w:hint="eastAsia" w:ascii="仿宋_GB2312" w:hAnsi="宋体" w:eastAsia="仿宋_GB2312" w:cs="Times New Roman"/>
          <w:spacing w:val="0"/>
          <w:w w:val="100"/>
          <w:sz w:val="32"/>
          <w:szCs w:val="32"/>
          <w:highlight w:val="none"/>
        </w:rPr>
        <w:t>万元。</w:t>
      </w:r>
    </w:p>
    <w:p w14:paraId="48DD23A7">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仿宋_GB2312" w:hAnsi="宋体" w:eastAsia="仿宋_GB2312" w:cs="Times New Roman"/>
          <w:spacing w:val="0"/>
          <w:w w:val="100"/>
          <w:sz w:val="32"/>
          <w:szCs w:val="32"/>
          <w:highlight w:val="none"/>
          <w:lang w:val="en-US" w:eastAsia="zh-CN"/>
        </w:rPr>
      </w:pPr>
      <w:r>
        <w:rPr>
          <w:rFonts w:hint="eastAsia" w:ascii="仿宋_GB2312" w:hAnsi="宋体" w:eastAsia="仿宋_GB2312" w:cs="Times New Roman"/>
          <w:spacing w:val="0"/>
          <w:w w:val="100"/>
          <w:sz w:val="32"/>
          <w:szCs w:val="32"/>
          <w:highlight w:val="none"/>
        </w:rPr>
        <w:t>收支相抵，社保基金本年收支结余</w:t>
      </w:r>
      <w:r>
        <w:rPr>
          <w:rFonts w:hint="eastAsia" w:ascii="仿宋_GB2312" w:hAnsi="宋体" w:eastAsia="仿宋_GB2312" w:cs="Times New Roman"/>
          <w:spacing w:val="0"/>
          <w:w w:val="100"/>
          <w:sz w:val="32"/>
          <w:szCs w:val="32"/>
          <w:highlight w:val="none"/>
          <w:lang w:val="en-US" w:eastAsia="zh-CN"/>
        </w:rPr>
        <w:t>18550</w:t>
      </w:r>
      <w:r>
        <w:rPr>
          <w:rFonts w:hint="eastAsia" w:ascii="仿宋_GB2312" w:hAnsi="宋体" w:eastAsia="仿宋_GB2312" w:cs="Times New Roman"/>
          <w:spacing w:val="0"/>
          <w:w w:val="100"/>
          <w:sz w:val="32"/>
          <w:szCs w:val="32"/>
          <w:highlight w:val="none"/>
        </w:rPr>
        <w:t>万元</w:t>
      </w:r>
      <w:r>
        <w:rPr>
          <w:rFonts w:hint="eastAsia" w:ascii="仿宋_GB2312" w:hAnsi="宋体" w:eastAsia="仿宋_GB2312" w:cs="Times New Roman"/>
          <w:spacing w:val="0"/>
          <w:w w:val="100"/>
          <w:sz w:val="32"/>
          <w:szCs w:val="32"/>
          <w:highlight w:val="none"/>
          <w:lang w:eastAsia="zh-CN"/>
        </w:rPr>
        <w:t>。</w:t>
      </w:r>
    </w:p>
    <w:p w14:paraId="59FAF013">
      <w:pPr>
        <w:keepNext w:val="0"/>
        <w:keepLines w:val="0"/>
        <w:pageBreakBefore w:val="0"/>
        <w:widowControl w:val="0"/>
        <w:numPr>
          <w:ilvl w:val="0"/>
          <w:numId w:val="0"/>
        </w:numPr>
        <w:kinsoku/>
        <w:wordWrap/>
        <w:overflowPunct/>
        <w:topLinePunct w:val="0"/>
        <w:bidi w:val="0"/>
        <w:snapToGrid/>
        <w:spacing w:line="600" w:lineRule="exact"/>
        <w:ind w:left="0" w:leftChars="0" w:right="0" w:firstLine="643" w:firstLineChars="200"/>
        <w:jc w:val="both"/>
        <w:textAlignment w:val="auto"/>
        <w:rPr>
          <w:rFonts w:hint="eastAsia" w:ascii="楷体_GB2312" w:hAnsi="楷体_GB2312" w:eastAsia="楷体_GB2312" w:cs="楷体_GB2312"/>
          <w:b/>
          <w:bCs/>
          <w:spacing w:val="0"/>
          <w:w w:val="100"/>
          <w:sz w:val="32"/>
          <w:szCs w:val="32"/>
          <w:highlight w:val="none"/>
          <w:lang w:eastAsia="zh-CN"/>
        </w:rPr>
      </w:pPr>
      <w:r>
        <w:rPr>
          <w:rFonts w:hint="eastAsia" w:ascii="楷体_GB2312" w:hAnsi="楷体_GB2312" w:eastAsia="楷体_GB2312" w:cs="楷体_GB2312"/>
          <w:b/>
          <w:bCs/>
          <w:spacing w:val="0"/>
          <w:w w:val="100"/>
          <w:kern w:val="2"/>
          <w:sz w:val="32"/>
          <w:szCs w:val="32"/>
          <w:highlight w:val="none"/>
          <w:lang w:val="en-US" w:eastAsia="zh-CN" w:bidi="ar-SA"/>
        </w:rPr>
        <w:t>（四）</w:t>
      </w:r>
      <w:r>
        <w:rPr>
          <w:rFonts w:hint="eastAsia" w:ascii="楷体_GB2312" w:hAnsi="楷体_GB2312" w:eastAsia="楷体_GB2312" w:cs="楷体_GB2312"/>
          <w:b/>
          <w:bCs/>
          <w:spacing w:val="0"/>
          <w:w w:val="100"/>
          <w:sz w:val="32"/>
          <w:szCs w:val="32"/>
          <w:highlight w:val="none"/>
          <w:lang w:eastAsia="zh-CN"/>
        </w:rPr>
        <w:t>国有资本经营预算</w:t>
      </w:r>
    </w:p>
    <w:p w14:paraId="5E7FC3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宋体" w:eastAsia="仿宋_GB2312" w:cs="Times New Roman"/>
          <w:spacing w:val="0"/>
          <w:w w:val="100"/>
          <w:sz w:val="32"/>
          <w:szCs w:val="32"/>
          <w:highlight w:val="none"/>
          <w:lang w:eastAsia="zh-CN"/>
        </w:rPr>
      </w:pPr>
      <w:r>
        <w:rPr>
          <w:rFonts w:hint="eastAsia" w:ascii="仿宋_GB2312" w:hAnsi="宋体" w:eastAsia="仿宋_GB2312" w:cs="Times New Roman"/>
          <w:spacing w:val="0"/>
          <w:w w:val="100"/>
          <w:sz w:val="32"/>
          <w:szCs w:val="32"/>
          <w:highlight w:val="none"/>
          <w:lang w:eastAsia="zh-CN"/>
        </w:rPr>
        <w:t>202</w:t>
      </w:r>
      <w:r>
        <w:rPr>
          <w:rFonts w:hint="eastAsia" w:ascii="仿宋_GB2312" w:hAnsi="宋体" w:eastAsia="仿宋_GB2312" w:cs="Times New Roman"/>
          <w:spacing w:val="0"/>
          <w:w w:val="100"/>
          <w:sz w:val="32"/>
          <w:szCs w:val="32"/>
          <w:highlight w:val="none"/>
          <w:lang w:val="en-US" w:eastAsia="zh-CN"/>
        </w:rPr>
        <w:t>5</w:t>
      </w:r>
      <w:r>
        <w:rPr>
          <w:rFonts w:hint="eastAsia" w:ascii="仿宋_GB2312" w:hAnsi="宋体" w:eastAsia="仿宋_GB2312" w:cs="Times New Roman"/>
          <w:spacing w:val="0"/>
          <w:w w:val="100"/>
          <w:sz w:val="32"/>
          <w:szCs w:val="32"/>
          <w:highlight w:val="none"/>
          <w:lang w:eastAsia="zh-CN"/>
        </w:rPr>
        <w:t>年国有资本经营收入</w:t>
      </w:r>
      <w:r>
        <w:rPr>
          <w:rFonts w:hint="eastAsia" w:ascii="仿宋_GB2312" w:hAnsi="宋体" w:eastAsia="仿宋_GB2312" w:cs="Times New Roman"/>
          <w:spacing w:val="0"/>
          <w:w w:val="100"/>
          <w:sz w:val="32"/>
          <w:szCs w:val="32"/>
          <w:highlight w:val="none"/>
          <w:lang w:val="en-US" w:eastAsia="zh-CN"/>
        </w:rPr>
        <w:t>293</w:t>
      </w:r>
      <w:r>
        <w:rPr>
          <w:rFonts w:hint="eastAsia" w:ascii="仿宋_GB2312" w:hAnsi="宋体" w:eastAsia="仿宋_GB2312" w:cs="Times New Roman"/>
          <w:spacing w:val="0"/>
          <w:w w:val="100"/>
          <w:sz w:val="32"/>
          <w:szCs w:val="32"/>
          <w:highlight w:val="none"/>
          <w:lang w:eastAsia="zh-CN"/>
        </w:rPr>
        <w:t>万元，安排其他支出</w:t>
      </w:r>
      <w:r>
        <w:rPr>
          <w:rFonts w:hint="eastAsia" w:ascii="仿宋_GB2312" w:hAnsi="宋体" w:eastAsia="仿宋_GB2312" w:cs="Times New Roman"/>
          <w:spacing w:val="0"/>
          <w:w w:val="100"/>
          <w:sz w:val="32"/>
          <w:szCs w:val="32"/>
          <w:highlight w:val="none"/>
          <w:lang w:val="en-US" w:eastAsia="zh-CN"/>
        </w:rPr>
        <w:t>293</w:t>
      </w:r>
      <w:r>
        <w:rPr>
          <w:rFonts w:hint="eastAsia" w:ascii="仿宋_GB2312" w:hAnsi="宋体" w:eastAsia="仿宋_GB2312" w:cs="Times New Roman"/>
          <w:spacing w:val="0"/>
          <w:w w:val="100"/>
          <w:sz w:val="32"/>
          <w:szCs w:val="32"/>
          <w:highlight w:val="none"/>
          <w:lang w:eastAsia="zh-CN"/>
        </w:rPr>
        <w:t>万元，收支平衡。</w:t>
      </w:r>
    </w:p>
    <w:p w14:paraId="708B7797">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ascii="楷体_GB2312" w:hAnsi="Times New Roman" w:eastAsia="楷体_GB2312" w:cs="Times New Roman"/>
          <w:b/>
          <w:color w:val="auto"/>
          <w:spacing w:val="0"/>
          <w:w w:val="100"/>
          <w:sz w:val="32"/>
          <w:szCs w:val="32"/>
          <w:highlight w:val="none"/>
        </w:rPr>
      </w:pPr>
      <w:r>
        <w:rPr>
          <w:rFonts w:hint="eastAsia" w:ascii="楷体_GB2312" w:hAnsi="Times New Roman" w:eastAsia="楷体_GB2312" w:cs="Times New Roman"/>
          <w:b/>
          <w:color w:val="auto"/>
          <w:spacing w:val="0"/>
          <w:w w:val="100"/>
          <w:sz w:val="32"/>
          <w:szCs w:val="32"/>
          <w:highlight w:val="none"/>
          <w:lang w:eastAsia="zh-CN"/>
        </w:rPr>
        <w:t>（五）</w:t>
      </w:r>
      <w:r>
        <w:rPr>
          <w:rFonts w:hint="eastAsia" w:ascii="楷体_GB2312" w:hAnsi="Times New Roman" w:eastAsia="楷体_GB2312" w:cs="Times New Roman"/>
          <w:b/>
          <w:color w:val="auto"/>
          <w:spacing w:val="0"/>
          <w:w w:val="100"/>
          <w:sz w:val="32"/>
          <w:szCs w:val="32"/>
          <w:highlight w:val="none"/>
        </w:rPr>
        <w:t>全区政府债务情况</w:t>
      </w:r>
    </w:p>
    <w:p w14:paraId="7EF85286">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至2025年末，预计全区地方政府债券余额66.12亿元，控制在债务限额以内</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全年</w:t>
      </w:r>
      <w:r>
        <w:rPr>
          <w:rFonts w:hint="eastAsia" w:ascii="仿宋_GB2312" w:hAnsi="仿宋_GB2312" w:eastAsia="仿宋_GB2312" w:cs="仿宋_GB2312"/>
          <w:color w:val="auto"/>
          <w:spacing w:val="0"/>
          <w:w w:val="100"/>
          <w:sz w:val="32"/>
          <w:szCs w:val="32"/>
          <w:highlight w:val="none"/>
          <w:lang w:eastAsia="zh-CN"/>
        </w:rPr>
        <w:t>政府</w:t>
      </w:r>
      <w:r>
        <w:rPr>
          <w:rFonts w:hint="eastAsia" w:ascii="仿宋_GB2312" w:hAnsi="仿宋_GB2312" w:eastAsia="仿宋_GB2312" w:cs="仿宋_GB2312"/>
          <w:color w:val="auto"/>
          <w:spacing w:val="0"/>
          <w:w w:val="100"/>
          <w:sz w:val="32"/>
          <w:szCs w:val="32"/>
          <w:highlight w:val="none"/>
        </w:rPr>
        <w:t>债</w:t>
      </w:r>
      <w:r>
        <w:rPr>
          <w:rFonts w:hint="eastAsia" w:ascii="仿宋_GB2312" w:hAnsi="仿宋_GB2312" w:eastAsia="仿宋_GB2312" w:cs="仿宋_GB2312"/>
          <w:color w:val="auto"/>
          <w:spacing w:val="0"/>
          <w:w w:val="100"/>
          <w:sz w:val="32"/>
          <w:szCs w:val="32"/>
          <w:highlight w:val="none"/>
          <w:lang w:eastAsia="zh-CN"/>
        </w:rPr>
        <w:t>券</w:t>
      </w:r>
      <w:r>
        <w:rPr>
          <w:rFonts w:hint="eastAsia" w:ascii="仿宋_GB2312" w:hAnsi="仿宋_GB2312" w:eastAsia="仿宋_GB2312" w:cs="仿宋_GB2312"/>
          <w:color w:val="auto"/>
          <w:spacing w:val="0"/>
          <w:w w:val="100"/>
          <w:sz w:val="32"/>
          <w:szCs w:val="32"/>
          <w:highlight w:val="none"/>
        </w:rPr>
        <w:t>还本支出合计0.</w:t>
      </w:r>
      <w:r>
        <w:rPr>
          <w:rFonts w:hint="eastAsia" w:ascii="仿宋_GB2312" w:hAnsi="仿宋_GB2312" w:eastAsia="仿宋_GB2312" w:cs="仿宋_GB2312"/>
          <w:color w:val="auto"/>
          <w:spacing w:val="0"/>
          <w:w w:val="100"/>
          <w:sz w:val="32"/>
          <w:szCs w:val="32"/>
          <w:highlight w:val="none"/>
          <w:lang w:val="en-US" w:eastAsia="zh-CN"/>
        </w:rPr>
        <w:t>54</w:t>
      </w:r>
      <w:r>
        <w:rPr>
          <w:rFonts w:hint="eastAsia" w:ascii="仿宋_GB2312" w:hAnsi="仿宋_GB2312" w:eastAsia="仿宋_GB2312" w:cs="仿宋_GB2312"/>
          <w:color w:val="auto"/>
          <w:spacing w:val="0"/>
          <w:w w:val="100"/>
          <w:sz w:val="32"/>
          <w:szCs w:val="32"/>
          <w:highlight w:val="none"/>
        </w:rPr>
        <w:t>亿元</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rPr>
        <w:t>全年</w:t>
      </w:r>
      <w:r>
        <w:rPr>
          <w:rFonts w:hint="eastAsia" w:ascii="仿宋_GB2312" w:hAnsi="仿宋_GB2312" w:eastAsia="仿宋_GB2312" w:cs="仿宋_GB2312"/>
          <w:color w:val="auto"/>
          <w:spacing w:val="0"/>
          <w:w w:val="100"/>
          <w:sz w:val="32"/>
          <w:szCs w:val="32"/>
          <w:highlight w:val="none"/>
          <w:lang w:eastAsia="zh-CN"/>
        </w:rPr>
        <w:t>政府</w:t>
      </w:r>
      <w:r>
        <w:rPr>
          <w:rFonts w:hint="eastAsia" w:ascii="仿宋_GB2312" w:hAnsi="仿宋_GB2312" w:eastAsia="仿宋_GB2312" w:cs="仿宋_GB2312"/>
          <w:color w:val="auto"/>
          <w:spacing w:val="0"/>
          <w:w w:val="100"/>
          <w:sz w:val="32"/>
          <w:szCs w:val="32"/>
          <w:highlight w:val="none"/>
        </w:rPr>
        <w:t>债</w:t>
      </w:r>
      <w:r>
        <w:rPr>
          <w:rFonts w:hint="eastAsia" w:ascii="仿宋_GB2312" w:hAnsi="仿宋_GB2312" w:eastAsia="仿宋_GB2312" w:cs="仿宋_GB2312"/>
          <w:color w:val="auto"/>
          <w:spacing w:val="0"/>
          <w:w w:val="100"/>
          <w:sz w:val="32"/>
          <w:szCs w:val="32"/>
          <w:highlight w:val="none"/>
          <w:lang w:eastAsia="zh-CN"/>
        </w:rPr>
        <w:t>券</w:t>
      </w:r>
      <w:r>
        <w:rPr>
          <w:rFonts w:hint="eastAsia" w:ascii="仿宋_GB2312" w:hAnsi="仿宋_GB2312" w:eastAsia="仿宋_GB2312" w:cs="仿宋_GB2312"/>
          <w:color w:val="auto"/>
          <w:spacing w:val="0"/>
          <w:w w:val="100"/>
          <w:sz w:val="32"/>
          <w:szCs w:val="32"/>
          <w:highlight w:val="none"/>
        </w:rPr>
        <w:t>付息支出合计</w:t>
      </w:r>
      <w:r>
        <w:rPr>
          <w:rFonts w:hint="eastAsia" w:ascii="仿宋_GB2312" w:hAnsi="仿宋_GB2312" w:eastAsia="仿宋_GB2312" w:cs="仿宋_GB2312"/>
          <w:color w:val="auto"/>
          <w:spacing w:val="0"/>
          <w:w w:val="100"/>
          <w:sz w:val="32"/>
          <w:szCs w:val="32"/>
          <w:highlight w:val="none"/>
          <w:lang w:val="en-US" w:eastAsia="zh-CN"/>
        </w:rPr>
        <w:t>1.56</w:t>
      </w:r>
      <w:r>
        <w:rPr>
          <w:rFonts w:hint="eastAsia" w:ascii="仿宋_GB2312" w:hAnsi="仿宋_GB2312" w:eastAsia="仿宋_GB2312" w:cs="仿宋_GB2312"/>
          <w:color w:val="auto"/>
          <w:spacing w:val="0"/>
          <w:w w:val="100"/>
          <w:sz w:val="32"/>
          <w:szCs w:val="32"/>
          <w:highlight w:val="none"/>
        </w:rPr>
        <w:t>亿元，其中一般债券付息</w:t>
      </w:r>
      <w:r>
        <w:rPr>
          <w:rFonts w:hint="eastAsia" w:ascii="仿宋_GB2312" w:hAnsi="仿宋_GB2312" w:eastAsia="仿宋_GB2312" w:cs="仿宋_GB2312"/>
          <w:color w:val="auto"/>
          <w:spacing w:val="0"/>
          <w:w w:val="100"/>
          <w:sz w:val="32"/>
          <w:szCs w:val="32"/>
          <w:highlight w:val="none"/>
          <w:lang w:val="en-US" w:eastAsia="zh-CN"/>
        </w:rPr>
        <w:t>0.64</w:t>
      </w:r>
      <w:r>
        <w:rPr>
          <w:rFonts w:hint="eastAsia" w:ascii="仿宋_GB2312" w:hAnsi="仿宋_GB2312" w:eastAsia="仿宋_GB2312" w:cs="仿宋_GB2312"/>
          <w:color w:val="auto"/>
          <w:spacing w:val="0"/>
          <w:w w:val="100"/>
          <w:sz w:val="32"/>
          <w:szCs w:val="32"/>
          <w:highlight w:val="none"/>
        </w:rPr>
        <w:t>亿元，专项债券付息0.</w:t>
      </w:r>
      <w:r>
        <w:rPr>
          <w:rFonts w:hint="eastAsia" w:ascii="仿宋_GB2312" w:hAnsi="仿宋_GB2312" w:eastAsia="仿宋_GB2312" w:cs="仿宋_GB2312"/>
          <w:color w:val="auto"/>
          <w:spacing w:val="0"/>
          <w:w w:val="100"/>
          <w:sz w:val="32"/>
          <w:szCs w:val="32"/>
          <w:highlight w:val="none"/>
          <w:lang w:val="en-US" w:eastAsia="zh-CN"/>
        </w:rPr>
        <w:t>92</w:t>
      </w:r>
      <w:r>
        <w:rPr>
          <w:rFonts w:hint="eastAsia" w:ascii="仿宋_GB2312" w:hAnsi="仿宋_GB2312" w:eastAsia="仿宋_GB2312" w:cs="仿宋_GB2312"/>
          <w:color w:val="auto"/>
          <w:spacing w:val="0"/>
          <w:w w:val="100"/>
          <w:sz w:val="32"/>
          <w:szCs w:val="32"/>
          <w:highlight w:val="none"/>
        </w:rPr>
        <w:t>亿元</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lang w:val="en-US" w:eastAsia="zh-CN"/>
        </w:rPr>
        <w:t>顺利完成上报中央化债任务，年内无逾期债务，未发生债务风险事件。</w:t>
      </w:r>
    </w:p>
    <w:p w14:paraId="54216F9C">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ascii="楷体_GB2312" w:hAnsi="Times New Roman" w:eastAsia="楷体_GB2312" w:cs="Times New Roman"/>
          <w:b/>
          <w:bCs/>
          <w:spacing w:val="0"/>
          <w:w w:val="100"/>
          <w:sz w:val="32"/>
          <w:szCs w:val="32"/>
          <w:highlight w:val="none"/>
        </w:rPr>
      </w:pPr>
      <w:r>
        <w:rPr>
          <w:rFonts w:hint="eastAsia" w:ascii="楷体_GB2312" w:hAnsi="Times New Roman" w:eastAsia="楷体_GB2312" w:cs="Times New Roman"/>
          <w:b/>
          <w:bCs/>
          <w:spacing w:val="0"/>
          <w:w w:val="100"/>
          <w:sz w:val="32"/>
          <w:szCs w:val="32"/>
          <w:highlight w:val="none"/>
        </w:rPr>
        <w:t>（</w:t>
      </w:r>
      <w:r>
        <w:rPr>
          <w:rFonts w:hint="eastAsia" w:ascii="楷体_GB2312" w:hAnsi="Times New Roman" w:eastAsia="楷体_GB2312" w:cs="Times New Roman"/>
          <w:b/>
          <w:bCs/>
          <w:spacing w:val="0"/>
          <w:w w:val="100"/>
          <w:sz w:val="32"/>
          <w:szCs w:val="32"/>
          <w:highlight w:val="none"/>
          <w:lang w:eastAsia="zh-CN"/>
        </w:rPr>
        <w:t>六</w:t>
      </w:r>
      <w:r>
        <w:rPr>
          <w:rFonts w:hint="eastAsia" w:ascii="楷体_GB2312" w:hAnsi="Times New Roman" w:eastAsia="楷体_GB2312" w:cs="Times New Roman"/>
          <w:b/>
          <w:bCs/>
          <w:spacing w:val="0"/>
          <w:w w:val="100"/>
          <w:sz w:val="32"/>
          <w:szCs w:val="32"/>
          <w:highlight w:val="none"/>
        </w:rPr>
        <w:t>）202</w:t>
      </w:r>
      <w:r>
        <w:rPr>
          <w:rFonts w:hint="eastAsia" w:ascii="楷体_GB2312" w:hAnsi="Times New Roman" w:eastAsia="楷体_GB2312" w:cs="Times New Roman"/>
          <w:b/>
          <w:bCs/>
          <w:spacing w:val="0"/>
          <w:w w:val="100"/>
          <w:sz w:val="32"/>
          <w:szCs w:val="32"/>
          <w:highlight w:val="none"/>
          <w:lang w:val="en-US" w:eastAsia="zh-CN"/>
        </w:rPr>
        <w:t>5</w:t>
      </w:r>
      <w:r>
        <w:rPr>
          <w:rFonts w:hint="eastAsia" w:ascii="楷体_GB2312" w:hAnsi="Times New Roman" w:eastAsia="楷体_GB2312" w:cs="Times New Roman"/>
          <w:b/>
          <w:bCs/>
          <w:spacing w:val="0"/>
          <w:w w:val="100"/>
          <w:sz w:val="32"/>
          <w:szCs w:val="32"/>
          <w:highlight w:val="none"/>
        </w:rPr>
        <w:t>年财政工作特点</w:t>
      </w:r>
    </w:p>
    <w:p w14:paraId="52B6D325">
      <w:pPr>
        <w:keepNext w:val="0"/>
        <w:keepLines w:val="0"/>
        <w:pageBreakBefore w:val="0"/>
        <w:widowControl w:val="0"/>
        <w:numPr>
          <w:ilvl w:val="0"/>
          <w:numId w:val="2"/>
        </w:numPr>
        <w:kinsoku/>
        <w:wordWrap/>
        <w:overflowPunct/>
        <w:topLinePunct w:val="0"/>
        <w:bidi w:val="0"/>
        <w:snapToGrid/>
        <w:spacing w:line="600" w:lineRule="exact"/>
        <w:ind w:left="0" w:leftChars="0" w:right="0" w:firstLine="643" w:firstLineChars="200"/>
        <w:jc w:val="both"/>
        <w:textAlignment w:val="auto"/>
        <w:rPr>
          <w:rFonts w:hint="eastAsia" w:ascii="仿宋_GB2312" w:hAnsi="仿宋_GB2312" w:eastAsia="仿宋_GB2312" w:cs="仿宋_GB2312"/>
          <w:b/>
          <w:bCs w:val="0"/>
          <w:color w:val="auto"/>
          <w:spacing w:val="0"/>
          <w:w w:val="100"/>
          <w:sz w:val="32"/>
          <w:szCs w:val="32"/>
          <w:highlight w:val="none"/>
          <w:lang w:eastAsia="zh-CN"/>
        </w:rPr>
      </w:pPr>
      <w:r>
        <w:rPr>
          <w:rFonts w:hint="eastAsia" w:ascii="仿宋_GB2312" w:hAnsi="仿宋_GB2312" w:eastAsia="仿宋_GB2312" w:cs="仿宋_GB2312"/>
          <w:b/>
          <w:bCs/>
          <w:color w:val="auto"/>
          <w:spacing w:val="0"/>
          <w:w w:val="100"/>
          <w:sz w:val="32"/>
          <w:szCs w:val="32"/>
          <w:highlight w:val="none"/>
          <w:lang w:eastAsia="zh-CN"/>
        </w:rPr>
        <w:t>主动谋划“发展账”，</w:t>
      </w:r>
      <w:r>
        <w:rPr>
          <w:rFonts w:hint="eastAsia" w:ascii="仿宋_GB2312" w:hAnsi="仿宋_GB2312" w:eastAsia="仿宋_GB2312" w:cs="仿宋_GB2312"/>
          <w:b/>
          <w:bCs w:val="0"/>
          <w:color w:val="auto"/>
          <w:spacing w:val="0"/>
          <w:w w:val="100"/>
          <w:sz w:val="32"/>
          <w:szCs w:val="32"/>
          <w:highlight w:val="none"/>
          <w:lang w:eastAsia="zh-CN"/>
        </w:rPr>
        <w:t>财源培育多元化</w:t>
      </w:r>
    </w:p>
    <w:p w14:paraId="2FB6D96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bCs/>
          <w:color w:val="auto"/>
          <w:spacing w:val="0"/>
          <w:w w:val="100"/>
          <w:sz w:val="32"/>
          <w:szCs w:val="32"/>
          <w:highlight w:val="none"/>
        </w:rPr>
      </w:pPr>
      <w:r>
        <w:rPr>
          <w:rFonts w:hint="eastAsia" w:ascii="仿宋_GB2312" w:hAnsi="仿宋_GB2312" w:eastAsia="仿宋_GB2312" w:cs="仿宋_GB2312"/>
          <w:b/>
          <w:bCs/>
          <w:color w:val="auto"/>
          <w:spacing w:val="0"/>
          <w:w w:val="100"/>
          <w:sz w:val="32"/>
          <w:szCs w:val="32"/>
          <w:highlight w:val="none"/>
          <w:lang w:eastAsia="zh-CN"/>
        </w:rPr>
        <w:t>一是</w:t>
      </w:r>
      <w:r>
        <w:rPr>
          <w:rFonts w:hint="eastAsia" w:ascii="仿宋_GB2312" w:hAnsi="仿宋_GB2312" w:eastAsia="仿宋_GB2312" w:cs="仿宋_GB2312"/>
          <w:b/>
          <w:bCs w:val="0"/>
          <w:color w:val="auto"/>
          <w:spacing w:val="0"/>
          <w:w w:val="100"/>
          <w:sz w:val="32"/>
          <w:szCs w:val="32"/>
          <w:highlight w:val="none"/>
          <w:lang w:eastAsia="zh-CN"/>
        </w:rPr>
        <w:t>聚焦产业赋能。</w:t>
      </w:r>
      <w:r>
        <w:rPr>
          <w:rFonts w:hint="eastAsia" w:ascii="仿宋_GB2312" w:hAnsi="仿宋_GB2312" w:eastAsia="仿宋_GB2312" w:cs="仿宋_GB2312"/>
          <w:b w:val="0"/>
          <w:bCs w:val="0"/>
          <w:color w:val="auto"/>
          <w:spacing w:val="0"/>
          <w:w w:val="100"/>
          <w:sz w:val="32"/>
          <w:szCs w:val="32"/>
          <w:highlight w:val="none"/>
          <w:lang w:eastAsia="zh-CN"/>
        </w:rPr>
        <w:t>紧盯</w:t>
      </w:r>
      <w:r>
        <w:rPr>
          <w:rFonts w:hint="eastAsia" w:ascii="仿宋_GB2312" w:hAnsi="仿宋_GB2312" w:eastAsia="仿宋_GB2312" w:cs="仿宋_GB2312"/>
          <w:b w:val="0"/>
          <w:bCs w:val="0"/>
          <w:color w:val="auto"/>
          <w:spacing w:val="0"/>
          <w:w w:val="100"/>
          <w:sz w:val="32"/>
          <w:szCs w:val="32"/>
          <w:highlight w:val="none"/>
          <w:lang w:val="en-US" w:eastAsia="zh-CN"/>
        </w:rPr>
        <w:t>PCB产业优势，拨付5121万元涉企资金，在减税降费、专精特新企业培育、贴息奖补等方面协调联动，</w:t>
      </w:r>
      <w:r>
        <w:rPr>
          <w:rFonts w:hint="eastAsia" w:ascii="仿宋_GB2312" w:hAnsi="仿宋_GB2312" w:eastAsia="仿宋_GB2312" w:cs="仿宋_GB2312"/>
          <w:spacing w:val="0"/>
          <w:w w:val="100"/>
          <w:sz w:val="32"/>
          <w:szCs w:val="32"/>
          <w:highlight w:val="none"/>
          <w:lang w:eastAsia="zh-CN"/>
        </w:rPr>
        <w:t>本土优势产业强力推动财税增收</w:t>
      </w:r>
      <w:r>
        <w:rPr>
          <w:rFonts w:hint="eastAsia" w:ascii="仿宋_GB2312" w:hAnsi="仿宋_GB2312" w:eastAsia="仿宋_GB2312" w:cs="仿宋_GB2312"/>
          <w:spacing w:val="0"/>
          <w:w w:val="100"/>
          <w:sz w:val="32"/>
          <w:szCs w:val="32"/>
          <w:highlight w:val="none"/>
        </w:rPr>
        <w:t>。</w:t>
      </w:r>
      <w:r>
        <w:rPr>
          <w:rFonts w:hint="eastAsia" w:ascii="仿宋_GB2312" w:hAnsi="仿宋_GB2312" w:eastAsia="仿宋_GB2312" w:cs="仿宋_GB2312"/>
          <w:b w:val="0"/>
          <w:bCs w:val="0"/>
          <w:color w:val="auto"/>
          <w:spacing w:val="0"/>
          <w:w w:val="100"/>
          <w:sz w:val="32"/>
          <w:szCs w:val="32"/>
          <w:highlight w:val="none"/>
          <w:lang w:val="en-US" w:eastAsia="zh-CN"/>
        </w:rPr>
        <w:t>截至目前，全区实现</w:t>
      </w:r>
      <w:r>
        <w:rPr>
          <w:rFonts w:hint="eastAsia" w:ascii="仿宋_GB2312" w:hAnsi="仿宋_GB2312" w:eastAsia="仿宋_GB2312" w:cs="仿宋_GB2312"/>
          <w:spacing w:val="0"/>
          <w:w w:val="100"/>
          <w:sz w:val="32"/>
          <w:szCs w:val="32"/>
          <w:highlight w:val="none"/>
        </w:rPr>
        <w:t>500万</w:t>
      </w:r>
      <w:r>
        <w:rPr>
          <w:rFonts w:hint="eastAsia" w:ascii="仿宋_GB2312" w:hAnsi="仿宋_GB2312" w:eastAsia="仿宋_GB2312" w:cs="仿宋_GB2312"/>
          <w:spacing w:val="0"/>
          <w:w w:val="100"/>
          <w:sz w:val="32"/>
          <w:szCs w:val="32"/>
          <w:highlight w:val="none"/>
          <w:lang w:eastAsia="zh-CN"/>
        </w:rPr>
        <w:t>元</w:t>
      </w:r>
      <w:r>
        <w:rPr>
          <w:rFonts w:hint="eastAsia" w:ascii="仿宋_GB2312" w:hAnsi="仿宋_GB2312" w:eastAsia="仿宋_GB2312" w:cs="仿宋_GB2312"/>
          <w:spacing w:val="0"/>
          <w:w w:val="100"/>
          <w:sz w:val="32"/>
          <w:szCs w:val="32"/>
          <w:highlight w:val="none"/>
        </w:rPr>
        <w:t>以上</w:t>
      </w:r>
      <w:r>
        <w:rPr>
          <w:rFonts w:hint="eastAsia" w:ascii="仿宋_GB2312" w:hAnsi="仿宋_GB2312" w:eastAsia="仿宋_GB2312" w:cs="仿宋_GB2312"/>
          <w:spacing w:val="0"/>
          <w:w w:val="100"/>
          <w:sz w:val="32"/>
          <w:szCs w:val="32"/>
          <w:highlight w:val="none"/>
          <w:lang w:eastAsia="zh-CN"/>
        </w:rPr>
        <w:t>纳税</w:t>
      </w:r>
      <w:r>
        <w:rPr>
          <w:rFonts w:hint="eastAsia" w:ascii="仿宋_GB2312" w:hAnsi="仿宋_GB2312" w:eastAsia="仿宋_GB2312" w:cs="仿宋_GB2312"/>
          <w:spacing w:val="0"/>
          <w:w w:val="100"/>
          <w:sz w:val="32"/>
          <w:szCs w:val="32"/>
          <w:highlight w:val="none"/>
        </w:rPr>
        <w:t>企业21户</w:t>
      </w:r>
      <w:r>
        <w:rPr>
          <w:rFonts w:hint="eastAsia" w:ascii="仿宋_GB2312" w:hAnsi="仿宋_GB2312" w:eastAsia="仿宋_GB2312" w:cs="仿宋_GB2312"/>
          <w:spacing w:val="0"/>
          <w:w w:val="100"/>
          <w:sz w:val="32"/>
          <w:szCs w:val="32"/>
          <w:highlight w:val="none"/>
          <w:lang w:eastAsia="zh-CN"/>
        </w:rPr>
        <w:t>、</w:t>
      </w:r>
      <w:r>
        <w:rPr>
          <w:rFonts w:hint="eastAsia" w:ascii="仿宋_GB2312" w:hAnsi="仿宋_GB2312" w:eastAsia="仿宋_GB2312" w:cs="仿宋_GB2312"/>
          <w:spacing w:val="0"/>
          <w:w w:val="100"/>
          <w:sz w:val="32"/>
          <w:szCs w:val="32"/>
          <w:highlight w:val="none"/>
        </w:rPr>
        <w:t>200万</w:t>
      </w:r>
      <w:r>
        <w:rPr>
          <w:rFonts w:hint="eastAsia" w:ascii="仿宋_GB2312" w:hAnsi="仿宋_GB2312" w:eastAsia="仿宋_GB2312" w:cs="仿宋_GB2312"/>
          <w:spacing w:val="0"/>
          <w:w w:val="100"/>
          <w:sz w:val="32"/>
          <w:szCs w:val="32"/>
          <w:highlight w:val="none"/>
          <w:lang w:eastAsia="zh-CN"/>
        </w:rPr>
        <w:t>元</w:t>
      </w:r>
      <w:r>
        <w:rPr>
          <w:rFonts w:hint="eastAsia" w:ascii="仿宋_GB2312" w:hAnsi="仿宋_GB2312" w:eastAsia="仿宋_GB2312" w:cs="仿宋_GB2312"/>
          <w:spacing w:val="0"/>
          <w:w w:val="100"/>
          <w:sz w:val="32"/>
          <w:szCs w:val="32"/>
          <w:highlight w:val="none"/>
        </w:rPr>
        <w:t>以上</w:t>
      </w:r>
      <w:r>
        <w:rPr>
          <w:rFonts w:hint="eastAsia" w:ascii="仿宋_GB2312" w:hAnsi="仿宋_GB2312" w:eastAsia="仿宋_GB2312" w:cs="仿宋_GB2312"/>
          <w:spacing w:val="0"/>
          <w:w w:val="100"/>
          <w:sz w:val="32"/>
          <w:szCs w:val="32"/>
          <w:highlight w:val="none"/>
          <w:lang w:eastAsia="zh-CN"/>
        </w:rPr>
        <w:t>纳税</w:t>
      </w:r>
      <w:r>
        <w:rPr>
          <w:rFonts w:hint="eastAsia" w:ascii="仿宋_GB2312" w:hAnsi="仿宋_GB2312" w:eastAsia="仿宋_GB2312" w:cs="仿宋_GB2312"/>
          <w:spacing w:val="0"/>
          <w:w w:val="100"/>
          <w:sz w:val="32"/>
          <w:szCs w:val="32"/>
          <w:highlight w:val="none"/>
        </w:rPr>
        <w:t>企业51户</w:t>
      </w:r>
      <w:r>
        <w:rPr>
          <w:rFonts w:hint="eastAsia" w:ascii="仿宋_GB2312" w:hAnsi="仿宋_GB2312" w:eastAsia="仿宋_GB2312" w:cs="仿宋_GB2312"/>
          <w:spacing w:val="0"/>
          <w:w w:val="100"/>
          <w:sz w:val="32"/>
          <w:szCs w:val="32"/>
          <w:highlight w:val="none"/>
          <w:lang w:eastAsia="zh-CN"/>
        </w:rPr>
        <w:t>，</w:t>
      </w:r>
      <w:r>
        <w:rPr>
          <w:rFonts w:hint="eastAsia" w:ascii="仿宋_GB2312" w:hAnsi="仿宋_GB2312" w:eastAsia="仿宋_GB2312" w:cs="仿宋_GB2312"/>
          <w:spacing w:val="0"/>
          <w:w w:val="100"/>
          <w:sz w:val="32"/>
          <w:szCs w:val="32"/>
          <w:highlight w:val="none"/>
        </w:rPr>
        <w:t>制造业税收完成68938万元</w:t>
      </w:r>
      <w:r>
        <w:rPr>
          <w:rFonts w:hint="eastAsia" w:ascii="仿宋_GB2312" w:hAnsi="仿宋_GB2312" w:eastAsia="仿宋_GB2312" w:cs="仿宋_GB2312"/>
          <w:spacing w:val="0"/>
          <w:w w:val="100"/>
          <w:sz w:val="32"/>
          <w:szCs w:val="32"/>
          <w:highlight w:val="none"/>
          <w:lang w:eastAsia="zh-CN"/>
        </w:rPr>
        <w:t>。</w:t>
      </w:r>
      <w:r>
        <w:rPr>
          <w:rFonts w:hint="eastAsia" w:ascii="仿宋_GB2312" w:hAnsi="仿宋_GB2312" w:eastAsia="仿宋_GB2312" w:cs="仿宋_GB2312"/>
          <w:b/>
          <w:bCs w:val="0"/>
          <w:color w:val="auto"/>
          <w:spacing w:val="0"/>
          <w:w w:val="100"/>
          <w:sz w:val="32"/>
          <w:szCs w:val="32"/>
          <w:highlight w:val="none"/>
          <w:lang w:eastAsia="zh-CN"/>
        </w:rPr>
        <w:t>二</w:t>
      </w:r>
      <w:r>
        <w:rPr>
          <w:rFonts w:hint="eastAsia" w:ascii="仿宋_GB2312" w:hAnsi="仿宋_GB2312" w:eastAsia="仿宋_GB2312" w:cs="仿宋_GB2312"/>
          <w:b/>
          <w:bCs w:val="0"/>
          <w:color w:val="auto"/>
          <w:spacing w:val="0"/>
          <w:w w:val="100"/>
          <w:sz w:val="32"/>
          <w:szCs w:val="32"/>
          <w:highlight w:val="none"/>
        </w:rPr>
        <w:t>是</w:t>
      </w:r>
      <w:r>
        <w:rPr>
          <w:rFonts w:hint="eastAsia" w:ascii="仿宋_GB2312" w:hAnsi="仿宋_GB2312" w:eastAsia="仿宋_GB2312" w:cs="仿宋_GB2312"/>
          <w:b/>
          <w:bCs/>
          <w:spacing w:val="0"/>
          <w:w w:val="100"/>
          <w:sz w:val="32"/>
          <w:szCs w:val="32"/>
          <w:highlight w:val="none"/>
        </w:rPr>
        <w:t>强化税费精诚共治</w:t>
      </w:r>
      <w:r>
        <w:rPr>
          <w:rFonts w:hint="eastAsia" w:ascii="仿宋_GB2312" w:hAnsi="仿宋_GB2312" w:eastAsia="仿宋_GB2312" w:cs="仿宋_GB2312"/>
          <w:b/>
          <w:bCs/>
          <w:spacing w:val="0"/>
          <w:w w:val="100"/>
          <w:sz w:val="32"/>
          <w:szCs w:val="32"/>
          <w:highlight w:val="none"/>
          <w:lang w:eastAsia="zh-CN"/>
        </w:rPr>
        <w:t>。</w:t>
      </w:r>
      <w:r>
        <w:rPr>
          <w:rFonts w:hint="eastAsia" w:ascii="仿宋_GB2312" w:hAnsi="仿宋_GB2312" w:eastAsia="仿宋_GB2312" w:cs="仿宋_GB2312"/>
          <w:spacing w:val="0"/>
          <w:w w:val="100"/>
          <w:sz w:val="32"/>
          <w:szCs w:val="32"/>
          <w:highlight w:val="none"/>
          <w:lang w:eastAsia="zh-CN"/>
        </w:rPr>
        <w:t>职能</w:t>
      </w:r>
      <w:r>
        <w:rPr>
          <w:rFonts w:hint="eastAsia" w:ascii="仿宋_GB2312" w:hAnsi="仿宋_GB2312" w:eastAsia="仿宋_GB2312" w:cs="仿宋_GB2312"/>
          <w:spacing w:val="0"/>
          <w:w w:val="100"/>
          <w:sz w:val="32"/>
          <w:szCs w:val="32"/>
          <w:highlight w:val="none"/>
        </w:rPr>
        <w:t>部门共享涉税数据，做好量化</w:t>
      </w:r>
      <w:r>
        <w:rPr>
          <w:rFonts w:hint="eastAsia" w:ascii="仿宋_GB2312" w:hAnsi="仿宋_GB2312" w:eastAsia="仿宋_GB2312" w:cs="仿宋_GB2312"/>
          <w:spacing w:val="0"/>
          <w:w w:val="100"/>
          <w:sz w:val="32"/>
          <w:szCs w:val="32"/>
          <w:highlight w:val="none"/>
          <w:lang w:eastAsia="zh-CN"/>
        </w:rPr>
        <w:t>分析。截至目前</w:t>
      </w:r>
      <w:r>
        <w:rPr>
          <w:rFonts w:hint="eastAsia" w:ascii="仿宋_GB2312" w:hAnsi="仿宋_GB2312" w:eastAsia="仿宋_GB2312" w:cs="仿宋_GB2312"/>
          <w:spacing w:val="0"/>
          <w:w w:val="100"/>
          <w:sz w:val="32"/>
          <w:szCs w:val="32"/>
          <w:highlight w:val="none"/>
        </w:rPr>
        <w:t>，税收风险应对系统累计入库税款及滞纳金18334万元。借助智慧监管核算申报数据、</w:t>
      </w:r>
      <w:r>
        <w:rPr>
          <w:rFonts w:hint="eastAsia" w:ascii="仿宋_GB2312" w:hAnsi="仿宋_GB2312" w:eastAsia="仿宋_GB2312" w:cs="仿宋_GB2312"/>
          <w:spacing w:val="0"/>
          <w:w w:val="100"/>
          <w:sz w:val="32"/>
          <w:szCs w:val="32"/>
          <w:highlight w:val="none"/>
          <w:lang w:eastAsia="zh-CN"/>
        </w:rPr>
        <w:t>落实政策</w:t>
      </w:r>
      <w:r>
        <w:rPr>
          <w:rFonts w:hint="eastAsia" w:ascii="仿宋_GB2312" w:hAnsi="仿宋_GB2312" w:eastAsia="仿宋_GB2312" w:cs="仿宋_GB2312"/>
          <w:spacing w:val="0"/>
          <w:w w:val="100"/>
          <w:sz w:val="32"/>
          <w:szCs w:val="32"/>
          <w:highlight w:val="none"/>
        </w:rPr>
        <w:t>享受</w:t>
      </w:r>
      <w:r>
        <w:rPr>
          <w:rFonts w:hint="eastAsia" w:ascii="仿宋_GB2312" w:hAnsi="仿宋_GB2312" w:eastAsia="仿宋_GB2312" w:cs="仿宋_GB2312"/>
          <w:spacing w:val="0"/>
          <w:w w:val="100"/>
          <w:sz w:val="32"/>
          <w:szCs w:val="32"/>
          <w:highlight w:val="none"/>
          <w:lang w:eastAsia="zh-CN"/>
        </w:rPr>
        <w:t>及</w:t>
      </w:r>
      <w:r>
        <w:rPr>
          <w:rFonts w:hint="eastAsia" w:ascii="仿宋_GB2312" w:hAnsi="仿宋_GB2312" w:eastAsia="仿宋_GB2312" w:cs="仿宋_GB2312"/>
          <w:spacing w:val="0"/>
          <w:w w:val="100"/>
          <w:sz w:val="32"/>
          <w:szCs w:val="32"/>
          <w:highlight w:val="none"/>
        </w:rPr>
        <w:t>税费一体化监管工作指引，其中口味王通过自主内部核算以及多方数据比对入库增值税、所得税、个人所得税股权转让</w:t>
      </w:r>
      <w:r>
        <w:rPr>
          <w:rFonts w:hint="eastAsia" w:ascii="仿宋_GB2312" w:hAnsi="仿宋_GB2312" w:eastAsia="仿宋_GB2312" w:cs="仿宋_GB2312"/>
          <w:spacing w:val="0"/>
          <w:w w:val="100"/>
          <w:sz w:val="32"/>
          <w:szCs w:val="32"/>
          <w:highlight w:val="none"/>
          <w:lang w:eastAsia="zh-CN"/>
        </w:rPr>
        <w:t>等</w:t>
      </w:r>
      <w:r>
        <w:rPr>
          <w:rFonts w:hint="eastAsia" w:ascii="仿宋_GB2312" w:hAnsi="仿宋_GB2312" w:eastAsia="仿宋_GB2312" w:cs="仿宋_GB2312"/>
          <w:spacing w:val="0"/>
          <w:w w:val="100"/>
          <w:sz w:val="32"/>
          <w:szCs w:val="32"/>
          <w:highlight w:val="none"/>
        </w:rPr>
        <w:t>税款13367万元。</w:t>
      </w:r>
      <w:r>
        <w:rPr>
          <w:rFonts w:hint="eastAsia" w:ascii="仿宋_GB2312" w:hAnsi="仿宋_GB2312" w:eastAsia="仿宋_GB2312" w:cs="仿宋_GB2312"/>
          <w:b/>
          <w:bCs w:val="0"/>
          <w:color w:val="auto"/>
          <w:spacing w:val="0"/>
          <w:w w:val="100"/>
          <w:sz w:val="32"/>
          <w:szCs w:val="32"/>
          <w:highlight w:val="none"/>
          <w:lang w:eastAsia="zh-CN"/>
        </w:rPr>
        <w:t>三</w:t>
      </w:r>
      <w:r>
        <w:rPr>
          <w:rFonts w:hint="eastAsia" w:ascii="仿宋_GB2312" w:hAnsi="仿宋_GB2312" w:eastAsia="仿宋_GB2312" w:cs="仿宋_GB2312"/>
          <w:b/>
          <w:bCs w:val="0"/>
          <w:color w:val="auto"/>
          <w:spacing w:val="0"/>
          <w:w w:val="100"/>
          <w:sz w:val="32"/>
          <w:szCs w:val="32"/>
          <w:highlight w:val="none"/>
        </w:rPr>
        <w:t>是持续释放国资效益</w:t>
      </w:r>
      <w:r>
        <w:rPr>
          <w:rFonts w:hint="eastAsia" w:ascii="仿宋_GB2312" w:hAnsi="仿宋_GB2312" w:eastAsia="仿宋_GB2312" w:cs="仿宋_GB2312"/>
          <w:b/>
          <w:bCs w:val="0"/>
          <w:color w:val="auto"/>
          <w:spacing w:val="0"/>
          <w:w w:val="100"/>
          <w:sz w:val="32"/>
          <w:szCs w:val="32"/>
          <w:highlight w:val="none"/>
          <w:lang w:eastAsia="zh-CN"/>
        </w:rPr>
        <w:t>。</w:t>
      </w:r>
      <w:r>
        <w:rPr>
          <w:rFonts w:hint="eastAsia" w:ascii="仿宋_GB2312" w:hAnsi="仿宋_GB2312" w:eastAsia="仿宋_GB2312" w:cs="仿宋_GB2312"/>
          <w:spacing w:val="0"/>
          <w:w w:val="100"/>
          <w:sz w:val="32"/>
          <w:szCs w:val="32"/>
          <w:highlight w:val="none"/>
        </w:rPr>
        <w:t>顺利完成公共基础设施等资产地理信息登记试点工作</w:t>
      </w:r>
      <w:r>
        <w:rPr>
          <w:rFonts w:hint="eastAsia" w:ascii="仿宋_GB2312" w:hAnsi="仿宋_GB2312" w:eastAsia="仿宋_GB2312" w:cs="仿宋_GB2312"/>
          <w:spacing w:val="0"/>
          <w:w w:val="100"/>
          <w:sz w:val="32"/>
          <w:szCs w:val="32"/>
          <w:highlight w:val="none"/>
          <w:lang w:eastAsia="zh-CN"/>
        </w:rPr>
        <w:t>，</w:t>
      </w:r>
      <w:r>
        <w:rPr>
          <w:rFonts w:hint="eastAsia" w:ascii="仿宋_GB2312" w:hAnsi="仿宋_GB2312" w:eastAsia="仿宋_GB2312" w:cs="仿宋_GB2312"/>
          <w:bCs/>
          <w:color w:val="auto"/>
          <w:spacing w:val="0"/>
          <w:w w:val="100"/>
          <w:sz w:val="32"/>
          <w:szCs w:val="32"/>
          <w:highlight w:val="none"/>
        </w:rPr>
        <w:t>创新开展农村公路特许经营权评估工作，引入第三方机构对农村公路特许经营权（含招呼站广告位、充电桩等）进行科学估值，评估价值达4.26亿元，</w:t>
      </w:r>
      <w:r>
        <w:rPr>
          <w:rFonts w:hint="eastAsia" w:ascii="仿宋_GB2312" w:hAnsi="仿宋_GB2312" w:eastAsia="仿宋_GB2312" w:cs="仿宋_GB2312"/>
          <w:bCs/>
          <w:color w:val="auto"/>
          <w:spacing w:val="0"/>
          <w:w w:val="100"/>
          <w:sz w:val="32"/>
          <w:szCs w:val="32"/>
          <w:highlight w:val="none"/>
          <w:lang w:eastAsia="zh-CN"/>
        </w:rPr>
        <w:t>通过公开拍卖</w:t>
      </w:r>
      <w:r>
        <w:rPr>
          <w:rFonts w:hint="eastAsia" w:ascii="仿宋_GB2312" w:hAnsi="仿宋_GB2312" w:eastAsia="仿宋_GB2312" w:cs="仿宋_GB2312"/>
          <w:bCs/>
          <w:color w:val="auto"/>
          <w:spacing w:val="0"/>
          <w:w w:val="100"/>
          <w:sz w:val="32"/>
          <w:szCs w:val="32"/>
          <w:highlight w:val="none"/>
        </w:rPr>
        <w:t>实现国有资产市场化运作。</w:t>
      </w:r>
      <w:r>
        <w:rPr>
          <w:rFonts w:hint="eastAsia" w:ascii="仿宋_GB2312" w:hAnsi="仿宋_GB2312" w:eastAsia="仿宋_GB2312" w:cs="仿宋_GB2312"/>
          <w:bCs/>
          <w:color w:val="auto"/>
          <w:spacing w:val="0"/>
          <w:w w:val="100"/>
          <w:sz w:val="32"/>
          <w:szCs w:val="32"/>
          <w:highlight w:val="none"/>
          <w:lang w:eastAsia="zh-CN"/>
        </w:rPr>
        <w:t>截至目前，</w:t>
      </w:r>
      <w:r>
        <w:rPr>
          <w:rFonts w:hint="eastAsia" w:ascii="仿宋_GB2312" w:hAnsi="仿宋_GB2312" w:eastAsia="仿宋_GB2312" w:cs="仿宋_GB2312"/>
          <w:spacing w:val="0"/>
          <w:w w:val="100"/>
          <w:sz w:val="32"/>
          <w:szCs w:val="32"/>
          <w:highlight w:val="none"/>
          <w:lang w:eastAsia="zh-CN"/>
        </w:rPr>
        <w:t>各类国有“三资”</w:t>
      </w:r>
      <w:r>
        <w:rPr>
          <w:rFonts w:hint="eastAsia" w:ascii="仿宋_GB2312" w:eastAsia="仿宋_GB2312"/>
          <w:color w:val="000000"/>
          <w:kern w:val="0"/>
          <w:sz w:val="32"/>
          <w:szCs w:val="32"/>
          <w:vertAlign w:val="superscript"/>
        </w:rPr>
        <w:t>②</w:t>
      </w:r>
      <w:r>
        <w:rPr>
          <w:rFonts w:hint="eastAsia" w:ascii="仿宋_GB2312" w:hAnsi="仿宋_GB2312" w:eastAsia="仿宋_GB2312" w:cs="仿宋_GB2312"/>
          <w:spacing w:val="0"/>
          <w:w w:val="100"/>
          <w:sz w:val="32"/>
          <w:szCs w:val="32"/>
          <w:highlight w:val="none"/>
        </w:rPr>
        <w:t>入库收益</w:t>
      </w:r>
      <w:r>
        <w:rPr>
          <w:rFonts w:hint="eastAsia" w:ascii="仿宋_GB2312" w:hAnsi="仿宋_GB2312" w:eastAsia="仿宋_GB2312" w:cs="仿宋_GB2312"/>
          <w:spacing w:val="0"/>
          <w:w w:val="100"/>
          <w:sz w:val="32"/>
          <w:szCs w:val="32"/>
          <w:highlight w:val="none"/>
          <w:lang w:val="en-US" w:eastAsia="zh-CN"/>
        </w:rPr>
        <w:t>3.64亿元</w:t>
      </w:r>
      <w:r>
        <w:rPr>
          <w:rFonts w:hint="eastAsia" w:ascii="仿宋_GB2312" w:hAnsi="仿宋_GB2312" w:eastAsia="仿宋_GB2312" w:cs="仿宋_GB2312"/>
          <w:spacing w:val="0"/>
          <w:w w:val="100"/>
          <w:sz w:val="32"/>
          <w:szCs w:val="32"/>
          <w:highlight w:val="none"/>
        </w:rPr>
        <w:t>。</w:t>
      </w:r>
    </w:p>
    <w:p w14:paraId="2BF4E5FD">
      <w:pPr>
        <w:keepNext w:val="0"/>
        <w:keepLines w:val="0"/>
        <w:pageBreakBefore w:val="0"/>
        <w:widowControl w:val="0"/>
        <w:numPr>
          <w:ilvl w:val="0"/>
          <w:numId w:val="2"/>
        </w:numPr>
        <w:kinsoku/>
        <w:wordWrap/>
        <w:overflowPunct/>
        <w:topLinePunct w:val="0"/>
        <w:bidi w:val="0"/>
        <w:snapToGrid/>
        <w:spacing w:line="600" w:lineRule="exact"/>
        <w:ind w:left="0" w:leftChars="0" w:right="0" w:firstLine="643" w:firstLineChars="200"/>
        <w:jc w:val="both"/>
        <w:textAlignment w:val="auto"/>
        <w:rPr>
          <w:rFonts w:hint="eastAsia" w:ascii="仿宋_GB2312" w:hAnsi="仿宋_GB2312" w:eastAsia="仿宋_GB2312" w:cs="仿宋_GB2312"/>
          <w:b/>
          <w:bCs w:val="0"/>
          <w:color w:val="auto"/>
          <w:spacing w:val="0"/>
          <w:w w:val="100"/>
          <w:sz w:val="32"/>
          <w:szCs w:val="32"/>
          <w:highlight w:val="none"/>
          <w:lang w:eastAsia="zh-CN"/>
        </w:rPr>
      </w:pPr>
      <w:r>
        <w:rPr>
          <w:rFonts w:hint="eastAsia" w:ascii="仿宋_GB2312" w:hAnsi="仿宋_GB2312" w:eastAsia="仿宋_GB2312" w:cs="仿宋_GB2312"/>
          <w:b/>
          <w:bCs w:val="0"/>
          <w:color w:val="auto"/>
          <w:spacing w:val="0"/>
          <w:w w:val="100"/>
          <w:sz w:val="32"/>
          <w:szCs w:val="32"/>
          <w:highlight w:val="none"/>
          <w:lang w:eastAsia="zh-CN"/>
        </w:rPr>
        <w:t>聚焦民生“幸福感”，支出结构重点化</w:t>
      </w:r>
    </w:p>
    <w:p w14:paraId="2D60BDE2">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仿宋_GB2312" w:hAnsi="仿宋_GB2312" w:eastAsia="仿宋_GB2312" w:cs="仿宋_GB2312"/>
          <w:bCs/>
          <w:color w:val="auto"/>
          <w:spacing w:val="0"/>
          <w:w w:val="100"/>
          <w:sz w:val="32"/>
          <w:szCs w:val="32"/>
          <w:highlight w:val="none"/>
        </w:rPr>
      </w:pPr>
      <w:r>
        <w:rPr>
          <w:rFonts w:hint="eastAsia" w:ascii="仿宋_GB2312" w:hAnsi="仿宋_GB2312" w:eastAsia="仿宋_GB2312" w:cs="仿宋_GB2312"/>
          <w:spacing w:val="0"/>
          <w:w w:val="100"/>
          <w:sz w:val="32"/>
          <w:szCs w:val="32"/>
          <w:highlight w:val="none"/>
          <w:lang w:eastAsia="zh-CN"/>
        </w:rPr>
        <w:t>以零基预算改革</w:t>
      </w:r>
      <w:r>
        <w:rPr>
          <w:rFonts w:hint="eastAsia" w:ascii="仿宋_GB2312" w:eastAsia="仿宋_GB2312"/>
          <w:color w:val="000000"/>
          <w:sz w:val="32"/>
          <w:szCs w:val="32"/>
          <w:vertAlign w:val="superscript"/>
        </w:rPr>
        <w:t>③</w:t>
      </w:r>
      <w:r>
        <w:rPr>
          <w:rFonts w:hint="eastAsia" w:ascii="仿宋_GB2312" w:hAnsi="仿宋_GB2312" w:eastAsia="仿宋_GB2312" w:cs="仿宋_GB2312"/>
          <w:spacing w:val="0"/>
          <w:w w:val="100"/>
          <w:sz w:val="32"/>
          <w:szCs w:val="32"/>
          <w:highlight w:val="none"/>
          <w:lang w:eastAsia="zh-CN"/>
        </w:rPr>
        <w:t>为契机持续优化支出结构，将资金从低效、分散的项目中释放出来，</w:t>
      </w:r>
      <w:r>
        <w:rPr>
          <w:rFonts w:hint="eastAsia" w:ascii="仿宋_GB2312" w:hAnsi="仿宋_GB2312" w:eastAsia="仿宋_GB2312" w:cs="仿宋_GB2312"/>
          <w:spacing w:val="0"/>
          <w:w w:val="100"/>
          <w:sz w:val="32"/>
          <w:szCs w:val="32"/>
          <w:highlight w:val="none"/>
        </w:rPr>
        <w:t>优先保障民生领域和重点项目支出需求</w:t>
      </w:r>
      <w:r>
        <w:rPr>
          <w:rFonts w:hint="eastAsia" w:ascii="仿宋_GB2312" w:hAnsi="仿宋_GB2312" w:eastAsia="仿宋_GB2312" w:cs="仿宋_GB2312"/>
          <w:spacing w:val="0"/>
          <w:w w:val="100"/>
          <w:sz w:val="32"/>
          <w:szCs w:val="32"/>
          <w:highlight w:val="none"/>
          <w:lang w:eastAsia="zh-CN"/>
        </w:rPr>
        <w:t>。截至目前，</w:t>
      </w:r>
      <w:r>
        <w:rPr>
          <w:rFonts w:hint="eastAsia" w:ascii="仿宋_GB2312" w:hAnsi="仿宋_GB2312" w:eastAsia="仿宋_GB2312" w:cs="仿宋_GB2312"/>
          <w:spacing w:val="0"/>
          <w:w w:val="100"/>
          <w:sz w:val="32"/>
          <w:szCs w:val="32"/>
          <w:highlight w:val="none"/>
          <w:lang w:val="en-US" w:eastAsia="zh-CN"/>
        </w:rPr>
        <w:t>2025年民生支出累计完成20.63亿元，占一般公共预算支出的比重超过80%。</w:t>
      </w:r>
      <w:r>
        <w:rPr>
          <w:rFonts w:hint="eastAsia" w:ascii="仿宋_GB2312" w:hAnsi="仿宋_GB2312" w:eastAsia="仿宋_GB2312" w:cs="仿宋_GB2312"/>
          <w:b/>
          <w:bCs w:val="0"/>
          <w:color w:val="auto"/>
          <w:spacing w:val="0"/>
          <w:w w:val="100"/>
          <w:sz w:val="32"/>
          <w:szCs w:val="32"/>
          <w:highlight w:val="none"/>
        </w:rPr>
        <w:t>一是</w:t>
      </w:r>
      <w:r>
        <w:rPr>
          <w:rFonts w:hint="eastAsia" w:ascii="仿宋_GB2312" w:hAnsi="仿宋_GB2312" w:eastAsia="仿宋_GB2312" w:cs="仿宋_GB2312"/>
          <w:bCs/>
          <w:color w:val="auto"/>
          <w:spacing w:val="0"/>
          <w:w w:val="100"/>
          <w:sz w:val="32"/>
          <w:szCs w:val="32"/>
          <w:highlight w:val="none"/>
        </w:rPr>
        <w:t>坚持农业农村优先发展，夯实乡村振兴投入保障</w:t>
      </w:r>
      <w:r>
        <w:rPr>
          <w:rFonts w:hint="eastAsia" w:ascii="仿宋_GB2312" w:hAnsi="仿宋_GB2312" w:eastAsia="仿宋_GB2312" w:cs="仿宋_GB2312"/>
          <w:bCs/>
          <w:color w:val="auto"/>
          <w:spacing w:val="0"/>
          <w:w w:val="100"/>
          <w:sz w:val="32"/>
          <w:szCs w:val="32"/>
          <w:highlight w:val="none"/>
          <w:lang w:eastAsia="zh-CN"/>
        </w:rPr>
        <w:t>。投入7502万元用于巩固拓展脱贫攻坚成果同乡村振兴有效衔接、6921万元用于扎实推进区内高标准农田建设项目、438万元用于农业防灾减灾和水利救灾、4420万元用于耕地地力补贴、</w:t>
      </w:r>
      <w:r>
        <w:rPr>
          <w:rFonts w:hint="eastAsia" w:ascii="仿宋_GB2312" w:hAnsi="仿宋_GB2312" w:eastAsia="仿宋_GB2312" w:cs="仿宋_GB2312"/>
          <w:bCs/>
          <w:color w:val="auto"/>
          <w:spacing w:val="0"/>
          <w:w w:val="100"/>
          <w:sz w:val="32"/>
          <w:szCs w:val="32"/>
          <w:highlight w:val="none"/>
          <w:lang w:val="en-US" w:eastAsia="zh-CN"/>
        </w:rPr>
        <w:t>3741万元</w:t>
      </w:r>
      <w:r>
        <w:rPr>
          <w:rFonts w:hint="eastAsia" w:ascii="仿宋_GB2312" w:hAnsi="仿宋_GB2312" w:eastAsia="仿宋_GB2312" w:cs="仿宋_GB2312"/>
          <w:bCs/>
          <w:color w:val="auto"/>
          <w:spacing w:val="0"/>
          <w:w w:val="100"/>
          <w:sz w:val="32"/>
          <w:szCs w:val="32"/>
          <w:highlight w:val="none"/>
          <w:lang w:eastAsia="zh-CN"/>
        </w:rPr>
        <w:t>用于农业保险保费补贴等</w:t>
      </w:r>
      <w:r>
        <w:rPr>
          <w:rFonts w:hint="eastAsia" w:ascii="仿宋_GB2312" w:hAnsi="仿宋_GB2312" w:eastAsia="仿宋_GB2312" w:cs="仿宋_GB2312"/>
          <w:bCs/>
          <w:color w:val="auto"/>
          <w:spacing w:val="0"/>
          <w:w w:val="100"/>
          <w:sz w:val="32"/>
          <w:szCs w:val="32"/>
          <w:highlight w:val="none"/>
        </w:rPr>
        <w:t>，助力农业增效、农民增收，以持续增强重要农产品供给保障能力，夯实粮食安全</w:t>
      </w:r>
      <w:r>
        <w:rPr>
          <w:rFonts w:hint="eastAsia" w:ascii="仿宋_GB2312" w:hAnsi="仿宋_GB2312" w:eastAsia="仿宋_GB2312" w:cs="仿宋_GB2312"/>
          <w:bCs/>
          <w:color w:val="auto"/>
          <w:spacing w:val="0"/>
          <w:w w:val="100"/>
          <w:sz w:val="32"/>
          <w:szCs w:val="32"/>
          <w:highlight w:val="none"/>
          <w:lang w:eastAsia="zh-CN"/>
        </w:rPr>
        <w:t>基础。</w:t>
      </w:r>
      <w:r>
        <w:rPr>
          <w:rFonts w:hint="eastAsia" w:ascii="仿宋_GB2312" w:hAnsi="仿宋_GB2312" w:eastAsia="仿宋_GB2312" w:cs="仿宋_GB2312"/>
          <w:b/>
          <w:bCs w:val="0"/>
          <w:color w:val="auto"/>
          <w:spacing w:val="0"/>
          <w:w w:val="100"/>
          <w:sz w:val="32"/>
          <w:szCs w:val="32"/>
          <w:highlight w:val="none"/>
        </w:rPr>
        <w:t>二是</w:t>
      </w:r>
      <w:r>
        <w:rPr>
          <w:rFonts w:hint="eastAsia" w:ascii="仿宋_GB2312" w:hAnsi="仿宋_GB2312" w:eastAsia="仿宋_GB2312" w:cs="仿宋_GB2312"/>
          <w:bCs/>
          <w:color w:val="auto"/>
          <w:spacing w:val="0"/>
          <w:w w:val="100"/>
          <w:sz w:val="32"/>
          <w:szCs w:val="32"/>
          <w:highlight w:val="none"/>
        </w:rPr>
        <w:t>加大教育投入，确保教育经费“两个只增不减”</w:t>
      </w:r>
      <w:r>
        <w:rPr>
          <w:rFonts w:hint="eastAsia" w:ascii="仿宋_GB2312" w:eastAsia="仿宋_GB2312"/>
          <w:color w:val="000000"/>
          <w:sz w:val="32"/>
          <w:szCs w:val="32"/>
          <w:vertAlign w:val="superscript"/>
        </w:rPr>
        <w:t>④</w:t>
      </w:r>
      <w:r>
        <w:rPr>
          <w:rFonts w:hint="eastAsia" w:ascii="仿宋_GB2312" w:hAnsi="仿宋_GB2312" w:eastAsia="仿宋_GB2312" w:cs="仿宋_GB2312"/>
          <w:bCs/>
          <w:color w:val="auto"/>
          <w:spacing w:val="0"/>
          <w:w w:val="100"/>
          <w:sz w:val="32"/>
          <w:szCs w:val="32"/>
          <w:highlight w:val="none"/>
          <w:lang w:eastAsia="zh-CN"/>
        </w:rPr>
        <w:t>。</w:t>
      </w:r>
      <w:r>
        <w:rPr>
          <w:rFonts w:hint="eastAsia" w:ascii="仿宋_GB2312" w:hAnsi="仿宋_GB2312" w:eastAsia="仿宋_GB2312" w:cs="仿宋_GB2312"/>
          <w:bCs/>
          <w:color w:val="auto"/>
          <w:spacing w:val="0"/>
          <w:w w:val="100"/>
          <w:sz w:val="32"/>
          <w:szCs w:val="32"/>
          <w:highlight w:val="none"/>
          <w:lang w:val="en-US" w:eastAsia="zh-CN"/>
        </w:rPr>
        <w:t>2025年</w:t>
      </w:r>
      <w:r>
        <w:rPr>
          <w:rFonts w:hint="eastAsia" w:ascii="仿宋_GB2312" w:hAnsi="仿宋_GB2312" w:eastAsia="仿宋_GB2312" w:cs="仿宋_GB2312"/>
          <w:bCs/>
          <w:color w:val="auto"/>
          <w:spacing w:val="0"/>
          <w:w w:val="100"/>
          <w:sz w:val="32"/>
          <w:szCs w:val="32"/>
          <w:highlight w:val="none"/>
          <w:lang w:eastAsia="zh-CN"/>
        </w:rPr>
        <w:t>投入</w:t>
      </w:r>
      <w:r>
        <w:rPr>
          <w:rFonts w:hint="eastAsia" w:ascii="仿宋_GB2312" w:hAnsi="仿宋_GB2312" w:eastAsia="仿宋_GB2312" w:cs="仿宋_GB2312"/>
          <w:bCs/>
          <w:color w:val="auto"/>
          <w:spacing w:val="0"/>
          <w:w w:val="100"/>
          <w:sz w:val="32"/>
          <w:szCs w:val="32"/>
          <w:highlight w:val="none"/>
          <w:lang w:val="en-US" w:eastAsia="zh-CN"/>
        </w:rPr>
        <w:t>2.89亿元全力保障教师工资水平。</w:t>
      </w:r>
      <w:r>
        <w:rPr>
          <w:rFonts w:hint="eastAsia" w:ascii="仿宋_GB2312" w:hAnsi="仿宋_GB2312" w:eastAsia="仿宋_GB2312" w:cs="仿宋_GB2312"/>
          <w:bCs/>
          <w:color w:val="auto"/>
          <w:spacing w:val="0"/>
          <w:w w:val="100"/>
          <w:sz w:val="32"/>
          <w:szCs w:val="32"/>
          <w:highlight w:val="none"/>
        </w:rPr>
        <w:t>安排</w:t>
      </w:r>
      <w:r>
        <w:rPr>
          <w:rFonts w:hint="eastAsia" w:ascii="仿宋_GB2312" w:hAnsi="仿宋_GB2312" w:eastAsia="仿宋_GB2312" w:cs="仿宋_GB2312"/>
          <w:bCs/>
          <w:color w:val="auto"/>
          <w:spacing w:val="0"/>
          <w:w w:val="100"/>
          <w:sz w:val="32"/>
          <w:szCs w:val="32"/>
          <w:highlight w:val="none"/>
          <w:lang w:val="en-US" w:eastAsia="zh-CN"/>
        </w:rPr>
        <w:t>6581</w:t>
      </w:r>
      <w:r>
        <w:rPr>
          <w:rFonts w:hint="eastAsia" w:ascii="仿宋_GB2312" w:hAnsi="仿宋_GB2312" w:eastAsia="仿宋_GB2312" w:cs="仿宋_GB2312"/>
          <w:bCs/>
          <w:color w:val="auto"/>
          <w:spacing w:val="0"/>
          <w:w w:val="100"/>
          <w:sz w:val="32"/>
          <w:szCs w:val="32"/>
          <w:highlight w:val="none"/>
        </w:rPr>
        <w:t>万元用</w:t>
      </w:r>
      <w:r>
        <w:rPr>
          <w:rFonts w:hint="eastAsia" w:ascii="仿宋_GB2312" w:hAnsi="仿宋_GB2312" w:eastAsia="仿宋_GB2312" w:cs="仿宋_GB2312"/>
          <w:bCs/>
          <w:color w:val="auto"/>
          <w:spacing w:val="0"/>
          <w:w w:val="100"/>
          <w:sz w:val="32"/>
          <w:szCs w:val="32"/>
          <w:highlight w:val="none"/>
          <w:lang w:eastAsia="zh-CN"/>
        </w:rPr>
        <w:t>于支</w:t>
      </w:r>
      <w:r>
        <w:rPr>
          <w:rFonts w:hint="eastAsia" w:ascii="仿宋_GB2312" w:hAnsi="仿宋_GB2312" w:eastAsia="仿宋_GB2312" w:cs="仿宋_GB2312"/>
          <w:bCs/>
          <w:color w:val="auto"/>
          <w:spacing w:val="0"/>
          <w:w w:val="100"/>
          <w:sz w:val="32"/>
          <w:szCs w:val="32"/>
          <w:highlight w:val="none"/>
        </w:rPr>
        <w:t>持学校基础设施建设、教学设备更新</w:t>
      </w:r>
      <w:r>
        <w:rPr>
          <w:rFonts w:hint="eastAsia" w:ascii="仿宋_GB2312" w:hAnsi="仿宋_GB2312" w:eastAsia="仿宋_GB2312" w:cs="仿宋_GB2312"/>
          <w:bCs/>
          <w:color w:val="auto"/>
          <w:spacing w:val="0"/>
          <w:w w:val="100"/>
          <w:sz w:val="32"/>
          <w:szCs w:val="32"/>
          <w:highlight w:val="none"/>
          <w:lang w:eastAsia="zh-CN"/>
        </w:rPr>
        <w:t>、体育场馆建设及教师队伍建设</w:t>
      </w:r>
      <w:r>
        <w:rPr>
          <w:rFonts w:hint="eastAsia" w:ascii="仿宋_GB2312" w:hAnsi="仿宋_GB2312" w:eastAsia="仿宋_GB2312" w:cs="仿宋_GB2312"/>
          <w:bCs/>
          <w:color w:val="auto"/>
          <w:spacing w:val="0"/>
          <w:w w:val="100"/>
          <w:sz w:val="32"/>
          <w:szCs w:val="32"/>
          <w:highlight w:val="none"/>
        </w:rPr>
        <w:t>。</w:t>
      </w:r>
      <w:r>
        <w:rPr>
          <w:rFonts w:hint="eastAsia" w:ascii="仿宋_GB2312" w:hAnsi="仿宋_GB2312" w:eastAsia="仿宋_GB2312" w:cs="仿宋_GB2312"/>
          <w:b/>
          <w:bCs w:val="0"/>
          <w:color w:val="auto"/>
          <w:spacing w:val="0"/>
          <w:w w:val="100"/>
          <w:sz w:val="32"/>
          <w:szCs w:val="32"/>
          <w:highlight w:val="none"/>
          <w:lang w:eastAsia="zh-CN"/>
        </w:rPr>
        <w:t>三是</w:t>
      </w:r>
      <w:r>
        <w:rPr>
          <w:rFonts w:hint="eastAsia" w:ascii="仿宋_GB2312" w:hAnsi="仿宋_GB2312" w:eastAsia="仿宋_GB2312" w:cs="仿宋_GB2312"/>
          <w:bCs/>
          <w:color w:val="auto"/>
          <w:spacing w:val="0"/>
          <w:w w:val="100"/>
          <w:sz w:val="32"/>
          <w:szCs w:val="32"/>
          <w:highlight w:val="none"/>
          <w:lang w:eastAsia="zh-CN"/>
        </w:rPr>
        <w:t>扩大社会福利保障面，</w:t>
      </w:r>
      <w:r>
        <w:rPr>
          <w:rFonts w:hint="eastAsia" w:ascii="仿宋_GB2312" w:hAnsi="仿宋_GB2312" w:eastAsia="仿宋_GB2312" w:cs="仿宋_GB2312"/>
          <w:bCs/>
          <w:color w:val="auto"/>
          <w:spacing w:val="0"/>
          <w:w w:val="100"/>
          <w:sz w:val="32"/>
          <w:szCs w:val="32"/>
          <w:highlight w:val="none"/>
          <w:lang w:val="en-US" w:eastAsia="zh-CN"/>
        </w:rPr>
        <w:t>2025年发放社保待遇12.91亿元，发放人数10.1万人；发放优抚对象抚恤补助3131万元；城市低保标准提高至740元/月，农村低保标准提高至485元/月，残疾人“两项补贴”提高到100元/月，散居孤儿和事实无人抚养儿童基本生活最低保障标准提高到1200元/月，受益困难对象5.34万人；增加普惠托育服务供给，对认定的13家普惠性托育机构按照入托100元/人·月的标准予以补助。</w:t>
      </w:r>
      <w:r>
        <w:rPr>
          <w:rFonts w:hint="eastAsia" w:ascii="仿宋_GB2312" w:hAnsi="仿宋_GB2312" w:eastAsia="仿宋_GB2312" w:cs="仿宋_GB2312"/>
          <w:b/>
          <w:bCs w:val="0"/>
          <w:color w:val="auto"/>
          <w:spacing w:val="0"/>
          <w:w w:val="100"/>
          <w:sz w:val="32"/>
          <w:szCs w:val="32"/>
          <w:highlight w:val="none"/>
          <w:lang w:eastAsia="zh-CN"/>
        </w:rPr>
        <w:t>四是</w:t>
      </w:r>
      <w:r>
        <w:rPr>
          <w:rFonts w:hint="eastAsia" w:ascii="仿宋_GB2312" w:hAnsi="仿宋_GB2312" w:eastAsia="仿宋_GB2312" w:cs="仿宋_GB2312"/>
          <w:bCs/>
          <w:color w:val="auto"/>
          <w:spacing w:val="0"/>
          <w:w w:val="100"/>
          <w:sz w:val="32"/>
          <w:szCs w:val="32"/>
          <w:highlight w:val="none"/>
          <w:lang w:val="en-US" w:eastAsia="zh-CN"/>
        </w:rPr>
        <w:t>关注人民群众精神文化生活。安排1252万元用于公共文体设施改造及免费开放、文物保护、送戏下乡等，丰富群众精神文化生活，推进资阳区文旅产业融合发展。</w:t>
      </w:r>
    </w:p>
    <w:p w14:paraId="17258DCE">
      <w:pPr>
        <w:keepNext w:val="0"/>
        <w:keepLines w:val="0"/>
        <w:pageBreakBefore w:val="0"/>
        <w:widowControl w:val="0"/>
        <w:numPr>
          <w:ilvl w:val="0"/>
          <w:numId w:val="2"/>
        </w:numPr>
        <w:kinsoku/>
        <w:wordWrap/>
        <w:overflowPunct/>
        <w:topLinePunct w:val="0"/>
        <w:bidi w:val="0"/>
        <w:snapToGrid/>
        <w:spacing w:line="600" w:lineRule="exact"/>
        <w:ind w:left="0" w:leftChars="0" w:right="0" w:firstLine="643" w:firstLineChars="200"/>
        <w:jc w:val="both"/>
        <w:textAlignment w:val="auto"/>
        <w:rPr>
          <w:rFonts w:hint="eastAsia" w:ascii="仿宋_GB2312" w:hAnsi="仿宋_GB2312" w:eastAsia="仿宋_GB2312" w:cs="仿宋_GB2312"/>
          <w:b/>
          <w:bCs w:val="0"/>
          <w:color w:val="auto"/>
          <w:spacing w:val="0"/>
          <w:w w:val="100"/>
          <w:sz w:val="32"/>
          <w:szCs w:val="32"/>
          <w:highlight w:val="none"/>
          <w:lang w:eastAsia="zh-CN"/>
        </w:rPr>
      </w:pPr>
      <w:r>
        <w:rPr>
          <w:rFonts w:hint="eastAsia" w:ascii="仿宋_GB2312" w:hAnsi="仿宋_GB2312" w:eastAsia="仿宋_GB2312" w:cs="仿宋_GB2312"/>
          <w:b/>
          <w:bCs w:val="0"/>
          <w:color w:val="auto"/>
          <w:spacing w:val="0"/>
          <w:w w:val="100"/>
          <w:sz w:val="32"/>
          <w:szCs w:val="32"/>
          <w:highlight w:val="none"/>
          <w:lang w:eastAsia="zh-CN"/>
        </w:rPr>
        <w:t>坚守底线“安全观”</w:t>
      </w:r>
      <w:r>
        <w:rPr>
          <w:rFonts w:hint="eastAsia" w:ascii="仿宋_GB2312" w:hAnsi="仿宋_GB2312" w:eastAsia="仿宋_GB2312" w:cs="仿宋_GB2312"/>
          <w:b/>
          <w:bCs w:val="0"/>
          <w:color w:val="auto"/>
          <w:spacing w:val="0"/>
          <w:w w:val="100"/>
          <w:sz w:val="32"/>
          <w:szCs w:val="32"/>
          <w:highlight w:val="none"/>
        </w:rPr>
        <w:t>，</w:t>
      </w:r>
      <w:r>
        <w:rPr>
          <w:rFonts w:hint="eastAsia" w:ascii="仿宋_GB2312" w:hAnsi="仿宋_GB2312" w:eastAsia="仿宋_GB2312" w:cs="仿宋_GB2312"/>
          <w:b/>
          <w:bCs w:val="0"/>
          <w:color w:val="auto"/>
          <w:spacing w:val="0"/>
          <w:w w:val="100"/>
          <w:sz w:val="32"/>
          <w:szCs w:val="32"/>
          <w:highlight w:val="none"/>
          <w:lang w:eastAsia="zh-CN"/>
        </w:rPr>
        <w:t>风险防控</w:t>
      </w:r>
      <w:r>
        <w:rPr>
          <w:rFonts w:hint="eastAsia" w:ascii="仿宋_GB2312" w:hAnsi="仿宋_GB2312" w:eastAsia="仿宋_GB2312" w:cs="仿宋_GB2312"/>
          <w:b/>
          <w:bCs w:val="0"/>
          <w:color w:val="auto"/>
          <w:spacing w:val="0"/>
          <w:w w:val="100"/>
          <w:sz w:val="32"/>
          <w:szCs w:val="32"/>
          <w:highlight w:val="none"/>
        </w:rPr>
        <w:t>精准</w:t>
      </w:r>
      <w:r>
        <w:rPr>
          <w:rFonts w:hint="eastAsia" w:ascii="仿宋_GB2312" w:hAnsi="仿宋_GB2312" w:eastAsia="仿宋_GB2312" w:cs="仿宋_GB2312"/>
          <w:b/>
          <w:bCs w:val="0"/>
          <w:color w:val="auto"/>
          <w:spacing w:val="0"/>
          <w:w w:val="100"/>
          <w:sz w:val="32"/>
          <w:szCs w:val="32"/>
          <w:highlight w:val="none"/>
          <w:lang w:eastAsia="zh-CN"/>
        </w:rPr>
        <w:t>化</w:t>
      </w:r>
    </w:p>
    <w:p w14:paraId="4A48F460">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b/>
          <w:bCs w:val="0"/>
          <w:color w:val="auto"/>
          <w:spacing w:val="0"/>
          <w:w w:val="100"/>
          <w:sz w:val="32"/>
          <w:szCs w:val="32"/>
          <w:highlight w:val="none"/>
          <w:lang w:eastAsia="zh-CN"/>
        </w:rPr>
        <w:t>一</w:t>
      </w:r>
      <w:r>
        <w:rPr>
          <w:rFonts w:hint="eastAsia" w:ascii="仿宋_GB2312" w:hAnsi="仿宋_GB2312" w:eastAsia="仿宋_GB2312" w:cs="仿宋_GB2312"/>
          <w:b/>
          <w:bCs w:val="0"/>
          <w:color w:val="auto"/>
          <w:spacing w:val="0"/>
          <w:w w:val="100"/>
          <w:sz w:val="32"/>
          <w:szCs w:val="32"/>
          <w:highlight w:val="none"/>
        </w:rPr>
        <w:t>是专项债券项目精准落地</w:t>
      </w:r>
      <w:r>
        <w:rPr>
          <w:rFonts w:hint="eastAsia" w:ascii="仿宋_GB2312" w:hAnsi="仿宋_GB2312" w:eastAsia="仿宋_GB2312" w:cs="仿宋_GB2312"/>
          <w:b/>
          <w:bCs w:val="0"/>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lang w:val="en-US" w:eastAsia="zh-CN"/>
        </w:rPr>
        <w:t>全年共通过专项债券项目13个，债券需求10.67亿元，遴选发行项目7个，新增债券资金3.83亿元，主要围绕市政和产业园区基础设施、老旧小区改造、保障性安居工程等重点领域，投向收益稳定、社会效益显著的项目，既保障了项目顺利推进，又为稳投资、稳增长提供了有力支撑。</w:t>
      </w:r>
      <w:r>
        <w:rPr>
          <w:rFonts w:hint="eastAsia" w:ascii="仿宋_GB2312" w:hAnsi="仿宋_GB2312" w:eastAsia="仿宋_GB2312" w:cs="仿宋_GB2312"/>
          <w:b/>
          <w:bCs/>
          <w:color w:val="auto"/>
          <w:spacing w:val="0"/>
          <w:w w:val="100"/>
          <w:sz w:val="32"/>
          <w:szCs w:val="32"/>
          <w:highlight w:val="none"/>
          <w:lang w:val="en-US" w:eastAsia="zh-CN"/>
        </w:rPr>
        <w:t>二是政府债务结构持续优化。</w:t>
      </w:r>
      <w:r>
        <w:rPr>
          <w:rFonts w:hint="eastAsia" w:ascii="仿宋_GB2312" w:hAnsi="仿宋_GB2312" w:eastAsia="仿宋_GB2312" w:cs="仿宋_GB2312"/>
          <w:color w:val="auto"/>
          <w:spacing w:val="0"/>
          <w:w w:val="100"/>
          <w:sz w:val="32"/>
          <w:szCs w:val="32"/>
          <w:highlight w:val="none"/>
          <w:lang w:val="en-US" w:eastAsia="zh-CN"/>
        </w:rPr>
        <w:t>在严格遵循债务管理相关法规的前提下，通过增加3.84亿元新的、期限更长、利率更低的债券来置换原有的高成本、短期限存量政府债务，从而降低债务成本，延长债务期限，减轻短期偿债压力。</w:t>
      </w:r>
      <w:r>
        <w:rPr>
          <w:rFonts w:hint="eastAsia" w:ascii="仿宋_GB2312" w:hAnsi="仿宋_GB2312" w:eastAsia="仿宋_GB2312" w:cs="仿宋_GB2312"/>
          <w:b/>
          <w:bCs/>
          <w:color w:val="auto"/>
          <w:spacing w:val="0"/>
          <w:w w:val="100"/>
          <w:sz w:val="32"/>
          <w:szCs w:val="32"/>
          <w:highlight w:val="none"/>
          <w:lang w:val="en-US" w:eastAsia="zh-CN"/>
        </w:rPr>
        <w:t>三是紧盯政府隐性债务风险。</w:t>
      </w:r>
      <w:r>
        <w:rPr>
          <w:rFonts w:hint="eastAsia" w:ascii="仿宋_GB2312" w:hAnsi="仿宋_GB2312" w:eastAsia="仿宋_GB2312" w:cs="仿宋_GB2312"/>
          <w:color w:val="auto"/>
          <w:spacing w:val="0"/>
          <w:w w:val="100"/>
          <w:sz w:val="32"/>
          <w:szCs w:val="32"/>
          <w:highlight w:val="none"/>
          <w:lang w:val="en-US" w:eastAsia="zh-CN"/>
        </w:rPr>
        <w:t>通过动态监测系统实时跟踪债务变动情况，明确项目资金来源，从源头环节严控隐性债务新增，统筹资金资产资源和各类政策措施稳妥化解隐性债务存量，有效降低政府债务率，筑牢区域债务风险“防火墙”。预计全年隐性债务化解进度可达上报中央任务数的229%。</w:t>
      </w:r>
      <w:r>
        <w:rPr>
          <w:rFonts w:hint="eastAsia" w:ascii="仿宋_GB2312" w:hAnsi="仿宋_GB2312" w:eastAsia="仿宋_GB2312" w:cs="仿宋_GB2312"/>
          <w:b/>
          <w:bCs/>
          <w:color w:val="auto"/>
          <w:spacing w:val="0"/>
          <w:w w:val="100"/>
          <w:sz w:val="32"/>
          <w:szCs w:val="32"/>
          <w:highlight w:val="none"/>
          <w:lang w:val="en-US" w:eastAsia="zh-CN"/>
        </w:rPr>
        <w:t>四是扛牢“三保”</w:t>
      </w:r>
      <w:r>
        <w:rPr>
          <w:rFonts w:hint="eastAsia" w:ascii="仿宋_GB2312" w:eastAsia="仿宋_GB2312"/>
          <w:color w:val="000000"/>
          <w:kern w:val="0"/>
          <w:sz w:val="32"/>
          <w:szCs w:val="32"/>
          <w:vertAlign w:val="superscript"/>
        </w:rPr>
        <w:t>⑤</w:t>
      </w:r>
      <w:r>
        <w:rPr>
          <w:rFonts w:hint="eastAsia" w:ascii="仿宋_GB2312" w:hAnsi="仿宋_GB2312" w:eastAsia="仿宋_GB2312" w:cs="仿宋_GB2312"/>
          <w:b/>
          <w:bCs/>
          <w:color w:val="auto"/>
          <w:spacing w:val="0"/>
          <w:w w:val="100"/>
          <w:sz w:val="32"/>
          <w:szCs w:val="32"/>
          <w:highlight w:val="none"/>
          <w:lang w:val="en-US" w:eastAsia="zh-CN"/>
        </w:rPr>
        <w:t>责任。</w:t>
      </w:r>
      <w:r>
        <w:rPr>
          <w:rFonts w:hint="eastAsia" w:ascii="仿宋_GB2312" w:hAnsi="仿宋_GB2312" w:eastAsia="仿宋_GB2312" w:cs="仿宋_GB2312"/>
          <w:color w:val="auto"/>
          <w:spacing w:val="0"/>
          <w:w w:val="100"/>
          <w:sz w:val="32"/>
          <w:szCs w:val="32"/>
          <w:highlight w:val="none"/>
          <w:lang w:val="en-US" w:eastAsia="zh-CN"/>
        </w:rPr>
        <w:t>足额编制“三保”预算并将“三保”支出作为第一优先保障顺序，全年“三保”无风险。</w:t>
      </w:r>
    </w:p>
    <w:p w14:paraId="17FCF529">
      <w:pPr>
        <w:keepNext w:val="0"/>
        <w:keepLines w:val="0"/>
        <w:pageBreakBefore w:val="0"/>
        <w:widowControl w:val="0"/>
        <w:numPr>
          <w:ilvl w:val="0"/>
          <w:numId w:val="2"/>
        </w:numPr>
        <w:kinsoku/>
        <w:wordWrap/>
        <w:overflowPunct/>
        <w:topLinePunct w:val="0"/>
        <w:bidi w:val="0"/>
        <w:snapToGrid/>
        <w:spacing w:line="600" w:lineRule="exact"/>
        <w:ind w:left="0" w:leftChars="0" w:right="0" w:firstLine="643" w:firstLineChars="200"/>
        <w:jc w:val="both"/>
        <w:textAlignment w:val="auto"/>
        <w:rPr>
          <w:rFonts w:hint="eastAsia" w:ascii="仿宋_GB2312" w:hAnsi="仿宋_GB2312" w:eastAsia="仿宋_GB2312" w:cs="仿宋_GB2312"/>
          <w:b/>
          <w:bCs w:val="0"/>
          <w:color w:val="auto"/>
          <w:spacing w:val="0"/>
          <w:w w:val="100"/>
          <w:sz w:val="32"/>
          <w:szCs w:val="32"/>
          <w:highlight w:val="none"/>
          <w:lang w:eastAsia="zh-CN"/>
        </w:rPr>
      </w:pPr>
      <w:r>
        <w:rPr>
          <w:rFonts w:hint="eastAsia" w:ascii="仿宋_GB2312" w:hAnsi="仿宋_GB2312" w:eastAsia="仿宋_GB2312" w:cs="仿宋_GB2312"/>
          <w:b/>
          <w:bCs w:val="0"/>
          <w:color w:val="auto"/>
          <w:spacing w:val="0"/>
          <w:w w:val="100"/>
          <w:sz w:val="32"/>
          <w:szCs w:val="32"/>
          <w:highlight w:val="none"/>
          <w:lang w:eastAsia="zh-CN"/>
        </w:rPr>
        <w:t>追求效能“管理术”</w:t>
      </w:r>
      <w:r>
        <w:rPr>
          <w:rFonts w:hint="eastAsia" w:ascii="仿宋_GB2312" w:hAnsi="仿宋_GB2312" w:eastAsia="仿宋_GB2312" w:cs="仿宋_GB2312"/>
          <w:b/>
          <w:bCs w:val="0"/>
          <w:color w:val="auto"/>
          <w:spacing w:val="0"/>
          <w:w w:val="100"/>
          <w:sz w:val="32"/>
          <w:szCs w:val="32"/>
          <w:highlight w:val="none"/>
        </w:rPr>
        <w:t>，财政管理规范</w:t>
      </w:r>
      <w:r>
        <w:rPr>
          <w:rFonts w:hint="eastAsia" w:ascii="仿宋_GB2312" w:hAnsi="仿宋_GB2312" w:eastAsia="仿宋_GB2312" w:cs="仿宋_GB2312"/>
          <w:b/>
          <w:bCs w:val="0"/>
          <w:color w:val="auto"/>
          <w:spacing w:val="0"/>
          <w:w w:val="100"/>
          <w:sz w:val="32"/>
          <w:szCs w:val="32"/>
          <w:highlight w:val="none"/>
          <w:lang w:eastAsia="zh-CN"/>
        </w:rPr>
        <w:t>化</w:t>
      </w:r>
    </w:p>
    <w:p w14:paraId="3EA1B77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baseline"/>
        <w:rPr>
          <w:rFonts w:hint="eastAsia" w:ascii="仿宋_GB2312" w:hAnsi="仿宋_GB2312" w:eastAsia="仿宋_GB2312" w:cs="仿宋_GB2312"/>
          <w:bCs/>
          <w:color w:val="auto"/>
          <w:spacing w:val="0"/>
          <w:w w:val="100"/>
          <w:sz w:val="32"/>
          <w:szCs w:val="32"/>
          <w:highlight w:val="none"/>
          <w:lang w:eastAsia="zh-CN"/>
        </w:rPr>
      </w:pPr>
      <w:r>
        <w:rPr>
          <w:rFonts w:hint="eastAsia" w:ascii="仿宋_GB2312" w:hAnsi="仿宋_GB2312" w:eastAsia="仿宋_GB2312" w:cs="仿宋_GB2312"/>
          <w:b/>
          <w:bCs w:val="0"/>
          <w:color w:val="auto"/>
          <w:spacing w:val="0"/>
          <w:w w:val="100"/>
          <w:sz w:val="32"/>
          <w:szCs w:val="32"/>
          <w:highlight w:val="none"/>
        </w:rPr>
        <w:t>一是监督检查全面覆盖</w:t>
      </w:r>
      <w:r>
        <w:rPr>
          <w:rFonts w:hint="eastAsia" w:ascii="仿宋_GB2312" w:hAnsi="仿宋_GB2312" w:eastAsia="仿宋_GB2312" w:cs="仿宋_GB2312"/>
          <w:b/>
          <w:bCs w:val="0"/>
          <w:color w:val="auto"/>
          <w:spacing w:val="0"/>
          <w:w w:val="100"/>
          <w:sz w:val="32"/>
          <w:szCs w:val="32"/>
          <w:highlight w:val="none"/>
          <w:lang w:eastAsia="zh-CN"/>
        </w:rPr>
        <w:t>。</w:t>
      </w:r>
      <w:r>
        <w:rPr>
          <w:rFonts w:hint="eastAsia" w:ascii="仿宋_GB2312" w:hAnsi="仿宋_GB2312" w:eastAsia="仿宋_GB2312" w:cs="仿宋_GB2312"/>
          <w:bCs/>
          <w:color w:val="auto"/>
          <w:spacing w:val="0"/>
          <w:w w:val="100"/>
          <w:sz w:val="32"/>
          <w:szCs w:val="32"/>
          <w:highlight w:val="none"/>
        </w:rPr>
        <w:t>结合省财政厅“强基固本”行动及集中整治专项行动，对全区财政系统进行全方位体检，从乡镇财政资金管理、预算单位银行账户清理规范、会计基础工作夯实等重点领域进行全面排查，加强与巡察、专项检查等各类监督主体的协同联动，推进财会监督检查向乡镇（街道）、村（社区）、集体经济组织等基层薄弱环节延伸覆盖，确保财政资金安全规范高效使用。</w:t>
      </w:r>
      <w:r>
        <w:rPr>
          <w:rFonts w:hint="eastAsia" w:ascii="仿宋_GB2312" w:hAnsi="仿宋_GB2312" w:eastAsia="仿宋_GB2312" w:cs="仿宋_GB2312"/>
          <w:b/>
          <w:bCs w:val="0"/>
          <w:color w:val="auto"/>
          <w:spacing w:val="0"/>
          <w:w w:val="100"/>
          <w:sz w:val="32"/>
          <w:szCs w:val="32"/>
          <w:highlight w:val="none"/>
          <w:lang w:eastAsia="zh-CN"/>
        </w:rPr>
        <w:t>二是财会培训“对症下药”。</w:t>
      </w:r>
      <w:r>
        <w:rPr>
          <w:rFonts w:hint="eastAsia" w:ascii="仿宋_GB2312" w:hAnsi="仿宋_GB2312" w:eastAsia="仿宋_GB2312" w:cs="仿宋_GB2312"/>
          <w:bCs/>
          <w:color w:val="auto"/>
          <w:spacing w:val="0"/>
          <w:w w:val="100"/>
          <w:sz w:val="32"/>
          <w:szCs w:val="32"/>
          <w:highlight w:val="none"/>
          <w:lang w:eastAsia="zh-CN"/>
        </w:rPr>
        <w:t>针对财务处理中需要掌握的政策方针及常见问题，按季度有针对性地开展培训，不断提高财会人员业务水平和底线意识。</w:t>
      </w:r>
      <w:r>
        <w:rPr>
          <w:rFonts w:hint="eastAsia" w:ascii="仿宋_GB2312" w:hAnsi="仿宋_GB2312" w:eastAsia="仿宋_GB2312" w:cs="仿宋_GB2312"/>
          <w:b/>
          <w:bCs w:val="0"/>
          <w:color w:val="auto"/>
          <w:spacing w:val="0"/>
          <w:w w:val="100"/>
          <w:sz w:val="32"/>
          <w:szCs w:val="32"/>
          <w:highlight w:val="none"/>
          <w:lang w:eastAsia="zh-CN"/>
        </w:rPr>
        <w:t>三是内部监督纵深推进。</w:t>
      </w:r>
      <w:r>
        <w:rPr>
          <w:rFonts w:hint="eastAsia" w:ascii="仿宋_GB2312" w:hAnsi="仿宋_GB2312" w:eastAsia="仿宋_GB2312" w:cs="仿宋_GB2312"/>
          <w:bCs/>
          <w:color w:val="auto"/>
          <w:spacing w:val="0"/>
          <w:w w:val="100"/>
          <w:sz w:val="32"/>
          <w:szCs w:val="32"/>
          <w:highlight w:val="none"/>
        </w:rPr>
        <w:t>持续做好“三方”对账</w:t>
      </w:r>
      <w:r>
        <w:rPr>
          <w:rFonts w:hint="eastAsia" w:ascii="仿宋_GB2312" w:eastAsia="仿宋_GB2312"/>
          <w:bCs/>
          <w:sz w:val="32"/>
          <w:szCs w:val="32"/>
          <w:shd w:val="clear" w:color="auto" w:fill="FFFFFF"/>
          <w:vertAlign w:val="superscript"/>
        </w:rPr>
        <w:t>⑥</w:t>
      </w:r>
      <w:r>
        <w:rPr>
          <w:rFonts w:hint="eastAsia" w:ascii="仿宋_GB2312" w:hAnsi="仿宋_GB2312" w:eastAsia="仿宋_GB2312" w:cs="仿宋_GB2312"/>
          <w:bCs/>
          <w:color w:val="auto"/>
          <w:spacing w:val="0"/>
          <w:w w:val="100"/>
          <w:sz w:val="32"/>
          <w:szCs w:val="32"/>
          <w:highlight w:val="none"/>
        </w:rPr>
        <w:t>工作</w:t>
      </w:r>
      <w:r>
        <w:rPr>
          <w:rFonts w:hint="eastAsia" w:ascii="仿宋_GB2312" w:hAnsi="仿宋_GB2312" w:eastAsia="仿宋_GB2312" w:cs="仿宋_GB2312"/>
          <w:bCs/>
          <w:color w:val="auto"/>
          <w:spacing w:val="0"/>
          <w:w w:val="100"/>
          <w:sz w:val="32"/>
          <w:szCs w:val="32"/>
          <w:highlight w:val="none"/>
          <w:lang w:eastAsia="zh-CN"/>
        </w:rPr>
        <w:t>和财政内部监督检查</w:t>
      </w:r>
      <w:r>
        <w:rPr>
          <w:rFonts w:hint="eastAsia" w:ascii="仿宋_GB2312" w:hAnsi="仿宋_GB2312" w:eastAsia="仿宋_GB2312" w:cs="仿宋_GB2312"/>
          <w:bCs/>
          <w:color w:val="auto"/>
          <w:spacing w:val="0"/>
          <w:w w:val="100"/>
          <w:sz w:val="32"/>
          <w:szCs w:val="32"/>
          <w:highlight w:val="none"/>
        </w:rPr>
        <w:t>，</w:t>
      </w:r>
      <w:r>
        <w:rPr>
          <w:rFonts w:hint="eastAsia" w:ascii="仿宋_GB2312" w:hAnsi="仿宋_GB2312" w:eastAsia="仿宋_GB2312" w:cs="仿宋_GB2312"/>
          <w:bCs/>
          <w:color w:val="auto"/>
          <w:spacing w:val="0"/>
          <w:w w:val="100"/>
          <w:sz w:val="32"/>
          <w:szCs w:val="32"/>
          <w:highlight w:val="none"/>
          <w:lang w:eastAsia="zh-CN"/>
        </w:rPr>
        <w:t>严把账户余额核对关、财政资金安全关、核对资料完整关，</w:t>
      </w:r>
      <w:r>
        <w:rPr>
          <w:rFonts w:hint="eastAsia" w:ascii="仿宋_GB2312" w:hAnsi="仿宋_GB2312" w:eastAsia="仿宋_GB2312" w:cs="仿宋_GB2312"/>
          <w:bCs/>
          <w:color w:val="auto"/>
          <w:spacing w:val="0"/>
          <w:w w:val="100"/>
          <w:sz w:val="32"/>
          <w:szCs w:val="32"/>
          <w:highlight w:val="none"/>
        </w:rPr>
        <w:t>从严监督资金的审批拨付进度，杜绝截留、挪用等情况发生。</w:t>
      </w:r>
      <w:r>
        <w:rPr>
          <w:rFonts w:hint="eastAsia" w:ascii="仿宋_GB2312" w:hAnsi="仿宋_GB2312" w:eastAsia="仿宋_GB2312" w:cs="仿宋_GB2312"/>
          <w:b/>
          <w:bCs w:val="0"/>
          <w:color w:val="auto"/>
          <w:spacing w:val="0"/>
          <w:w w:val="100"/>
          <w:sz w:val="32"/>
          <w:szCs w:val="32"/>
          <w:highlight w:val="none"/>
          <w:lang w:eastAsia="zh-CN"/>
        </w:rPr>
        <w:t>四是资金使用效益逐步提高。</w:t>
      </w:r>
      <w:r>
        <w:rPr>
          <w:rFonts w:hint="eastAsia" w:ascii="仿宋_GB2312" w:hAnsi="仿宋_GB2312" w:eastAsia="仿宋_GB2312" w:cs="仿宋_GB2312"/>
          <w:b w:val="0"/>
          <w:bCs/>
          <w:color w:val="auto"/>
          <w:spacing w:val="0"/>
          <w:w w:val="100"/>
          <w:sz w:val="32"/>
          <w:szCs w:val="32"/>
          <w:highlight w:val="none"/>
          <w:lang w:eastAsia="zh-CN"/>
        </w:rPr>
        <w:t>将绩效管理贯穿到预算编制、执行、监督的全过程，推动从“要钱”到“要效果”的转变。对全区</w:t>
      </w:r>
      <w:r>
        <w:rPr>
          <w:rFonts w:hint="eastAsia" w:ascii="仿宋_GB2312" w:hAnsi="仿宋_GB2312" w:eastAsia="仿宋_GB2312" w:cs="仿宋_GB2312"/>
          <w:spacing w:val="0"/>
          <w:w w:val="100"/>
          <w:sz w:val="32"/>
          <w:szCs w:val="32"/>
          <w:highlight w:val="none"/>
          <w:lang w:val="en-US" w:eastAsia="zh-CN"/>
        </w:rPr>
        <w:t>64个部门单位及42家二级机构的绩效报表及自评报告核查，进一步加强各单位自评报告质量的管控。</w:t>
      </w:r>
      <w:r>
        <w:rPr>
          <w:rFonts w:hint="eastAsia" w:ascii="仿宋_GB2312" w:hAnsi="仿宋_GB2312" w:eastAsia="仿宋_GB2312" w:cs="仿宋_GB2312"/>
          <w:color w:val="auto"/>
          <w:spacing w:val="0"/>
          <w:w w:val="100"/>
          <w:kern w:val="21"/>
          <w:sz w:val="32"/>
          <w:szCs w:val="32"/>
          <w:highlight w:val="none"/>
          <w:lang w:val="en-US" w:eastAsia="zh-CN" w:bidi="ar-SA"/>
        </w:rPr>
        <w:t>精选2021－2024年的31个财政重点项目开展绩效评价，涉及部门整体支出、财政综合运行、政府采购、专项债券、本级重大政策等项目，涵盖社保、教育、公路、水利、农业等重点民生领域，评价总金额9.1</w:t>
      </w:r>
      <w:r>
        <w:rPr>
          <w:rFonts w:hint="eastAsia" w:ascii="仿宋_GB2312" w:hAnsi="仿宋_GB2312" w:eastAsia="仿宋_GB2312" w:cs="仿宋_GB2312"/>
          <w:color w:val="auto"/>
          <w:spacing w:val="0"/>
          <w:w w:val="100"/>
          <w:kern w:val="21"/>
          <w:sz w:val="32"/>
          <w:szCs w:val="32"/>
          <w:highlight w:val="none"/>
          <w:lang w:val="en" w:eastAsia="zh-CN" w:bidi="ar-SA"/>
        </w:rPr>
        <w:t>4</w:t>
      </w:r>
      <w:r>
        <w:rPr>
          <w:rFonts w:hint="eastAsia" w:ascii="仿宋_GB2312" w:hAnsi="仿宋_GB2312" w:eastAsia="仿宋_GB2312" w:cs="仿宋_GB2312"/>
          <w:color w:val="auto"/>
          <w:spacing w:val="0"/>
          <w:w w:val="100"/>
          <w:kern w:val="21"/>
          <w:sz w:val="32"/>
          <w:szCs w:val="32"/>
          <w:highlight w:val="none"/>
          <w:lang w:val="en-US" w:eastAsia="zh-CN" w:bidi="ar-SA"/>
        </w:rPr>
        <w:t>亿元，</w:t>
      </w:r>
      <w:r>
        <w:rPr>
          <w:rFonts w:hint="eastAsia" w:ascii="仿宋_GB2312" w:hAnsi="仿宋_GB2312" w:eastAsia="仿宋_GB2312" w:cs="仿宋_GB2312"/>
          <w:color w:val="auto"/>
          <w:spacing w:val="0"/>
          <w:w w:val="100"/>
          <w:kern w:val="21"/>
          <w:sz w:val="32"/>
          <w:szCs w:val="32"/>
          <w:highlight w:val="none"/>
          <w:lang w:val="en-US" w:eastAsia="zh-CN"/>
        </w:rPr>
        <w:t>评价结果为“优”的项目5个；为“良”的项目24个，评价结果为“较差”的项目2个。暴露出的主要问题为：部分绩效目标不明确、部分项目进度较滞后、部分项目管理欠规范、部分资金管理欠规范。</w:t>
      </w:r>
    </w:p>
    <w:p w14:paraId="6A197C5A">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仿宋_GB2312" w:hAnsi="仿宋_GB2312" w:eastAsia="仿宋_GB2312" w:cs="仿宋_GB2312"/>
          <w:b w:val="0"/>
          <w:bCs/>
          <w:spacing w:val="0"/>
          <w:w w:val="100"/>
          <w:sz w:val="32"/>
          <w:szCs w:val="32"/>
          <w:highlight w:val="none"/>
        </w:rPr>
      </w:pPr>
      <w:r>
        <w:rPr>
          <w:rFonts w:hint="eastAsia" w:ascii="仿宋_GB2312" w:hAnsi="Times New Roman" w:eastAsia="仿宋_GB2312" w:cs="Times New Roman"/>
          <w:spacing w:val="0"/>
          <w:w w:val="100"/>
          <w:sz w:val="32"/>
          <w:szCs w:val="32"/>
          <w:highlight w:val="none"/>
          <w:lang w:eastAsia="zh-CN"/>
        </w:rPr>
        <w:t>各位代表</w:t>
      </w:r>
      <w:r>
        <w:rPr>
          <w:rFonts w:hint="eastAsia" w:ascii="仿宋_GB2312" w:hAnsi="Times New Roman" w:eastAsia="仿宋_GB2312" w:cs="Times New Roman"/>
          <w:spacing w:val="0"/>
          <w:w w:val="100"/>
          <w:sz w:val="32"/>
          <w:szCs w:val="32"/>
          <w:highlight w:val="none"/>
        </w:rPr>
        <w:t>，</w:t>
      </w:r>
      <w:r>
        <w:rPr>
          <w:rFonts w:hint="eastAsia" w:ascii="仿宋_GB2312" w:hAnsi="仿宋_GB2312" w:eastAsia="仿宋_GB2312" w:cs="仿宋_GB2312"/>
          <w:bCs/>
          <w:spacing w:val="0"/>
          <w:w w:val="100"/>
          <w:sz w:val="32"/>
          <w:szCs w:val="32"/>
          <w:highlight w:val="none"/>
          <w:lang w:eastAsia="zh-CN"/>
        </w:rPr>
        <w:t>今</w:t>
      </w:r>
      <w:r>
        <w:rPr>
          <w:rFonts w:hint="eastAsia" w:ascii="仿宋_GB2312" w:hAnsi="仿宋_GB2312" w:eastAsia="仿宋_GB2312" w:cs="仿宋_GB2312"/>
          <w:bCs/>
          <w:spacing w:val="0"/>
          <w:w w:val="100"/>
          <w:sz w:val="32"/>
          <w:szCs w:val="32"/>
          <w:highlight w:val="none"/>
        </w:rPr>
        <w:t>年</w:t>
      </w:r>
      <w:r>
        <w:rPr>
          <w:rFonts w:hint="eastAsia" w:ascii="仿宋_GB2312" w:hAnsi="仿宋_GB2312" w:eastAsia="仿宋_GB2312" w:cs="仿宋_GB2312"/>
          <w:bCs/>
          <w:spacing w:val="0"/>
          <w:w w:val="100"/>
          <w:sz w:val="32"/>
          <w:szCs w:val="32"/>
          <w:highlight w:val="none"/>
          <w:lang w:eastAsia="zh-CN"/>
        </w:rPr>
        <w:t>以</w:t>
      </w:r>
      <w:r>
        <w:rPr>
          <w:rFonts w:hint="eastAsia" w:ascii="仿宋_GB2312" w:hAnsi="仿宋_GB2312" w:eastAsia="仿宋_GB2312" w:cs="仿宋_GB2312"/>
          <w:bCs/>
          <w:spacing w:val="0"/>
          <w:w w:val="100"/>
          <w:sz w:val="32"/>
          <w:szCs w:val="32"/>
          <w:highlight w:val="none"/>
        </w:rPr>
        <w:t>来，虽然我们取得了一定的成绩，但也清醒地认识到财政运行和财政管理中还存在一些亟须解决的问题</w:t>
      </w:r>
      <w:r>
        <w:rPr>
          <w:rFonts w:hint="eastAsia" w:ascii="仿宋_GB2312" w:hAnsi="仿宋_GB2312" w:eastAsia="仿宋_GB2312" w:cs="仿宋_GB2312"/>
          <w:bCs/>
          <w:spacing w:val="0"/>
          <w:w w:val="100"/>
          <w:sz w:val="32"/>
          <w:szCs w:val="32"/>
          <w:highlight w:val="none"/>
          <w:lang w:eastAsia="zh-CN"/>
        </w:rPr>
        <w:t>。</w:t>
      </w:r>
      <w:r>
        <w:rPr>
          <w:rFonts w:hint="eastAsia" w:ascii="仿宋_GB2312" w:hAnsi="仿宋_GB2312" w:eastAsia="仿宋_GB2312" w:cs="仿宋_GB2312"/>
          <w:bCs/>
          <w:spacing w:val="0"/>
          <w:w w:val="100"/>
          <w:sz w:val="32"/>
          <w:szCs w:val="32"/>
          <w:highlight w:val="none"/>
        </w:rPr>
        <w:t>主要有</w:t>
      </w:r>
      <w:r>
        <w:rPr>
          <w:rFonts w:hint="eastAsia" w:ascii="仿宋_GB2312" w:hAnsi="仿宋_GB2312" w:eastAsia="仿宋_GB2312" w:cs="仿宋_GB2312"/>
          <w:bCs/>
          <w:spacing w:val="0"/>
          <w:w w:val="100"/>
          <w:sz w:val="32"/>
          <w:szCs w:val="32"/>
          <w:highlight w:val="none"/>
          <w:lang w:eastAsia="zh-CN"/>
        </w:rPr>
        <w:t>：</w:t>
      </w:r>
      <w:r>
        <w:rPr>
          <w:rFonts w:hint="eastAsia" w:ascii="仿宋_GB2312" w:hAnsi="仿宋_GB2312" w:eastAsia="仿宋_GB2312" w:cs="仿宋_GB2312"/>
          <w:b/>
          <w:bCs w:val="0"/>
          <w:spacing w:val="0"/>
          <w:w w:val="100"/>
          <w:sz w:val="32"/>
          <w:szCs w:val="32"/>
          <w:highlight w:val="none"/>
          <w:lang w:eastAsia="zh-CN"/>
        </w:rPr>
        <w:t>一是</w:t>
      </w:r>
      <w:r>
        <w:rPr>
          <w:rFonts w:hint="eastAsia" w:ascii="仿宋_GB2312" w:hAnsi="仿宋_GB2312" w:eastAsia="仿宋_GB2312" w:cs="仿宋_GB2312"/>
          <w:b w:val="0"/>
          <w:bCs/>
          <w:spacing w:val="0"/>
          <w:w w:val="100"/>
          <w:sz w:val="32"/>
          <w:szCs w:val="32"/>
          <w:highlight w:val="none"/>
          <w:lang w:eastAsia="zh-CN"/>
        </w:rPr>
        <w:t>财政自给率较低，收支“紧平衡”成为常态。非税收入占比较高，依靠土地出让、资产处置等模式难以为继。且教育、医疗、社保等刚性支出需求持续增长，财政还本付息迎来高峰。</w:t>
      </w:r>
      <w:r>
        <w:rPr>
          <w:rFonts w:hint="eastAsia" w:ascii="仿宋_GB2312" w:hAnsi="仿宋_GB2312" w:eastAsia="仿宋_GB2312" w:cs="仿宋_GB2312"/>
          <w:b/>
          <w:bCs w:val="0"/>
          <w:spacing w:val="0"/>
          <w:w w:val="100"/>
          <w:sz w:val="32"/>
          <w:szCs w:val="32"/>
          <w:highlight w:val="none"/>
          <w:lang w:eastAsia="zh-CN"/>
        </w:rPr>
        <w:t>二是</w:t>
      </w:r>
      <w:r>
        <w:rPr>
          <w:rFonts w:hint="eastAsia" w:ascii="仿宋_GB2312" w:hAnsi="仿宋_GB2312" w:eastAsia="仿宋_GB2312" w:cs="仿宋_GB2312"/>
          <w:b w:val="0"/>
          <w:bCs/>
          <w:spacing w:val="0"/>
          <w:w w:val="100"/>
          <w:sz w:val="32"/>
          <w:szCs w:val="32"/>
          <w:highlight w:val="none"/>
          <w:lang w:eastAsia="zh-CN"/>
        </w:rPr>
        <w:t>财源基础薄弱，社会投资预期减弱，民间投资活力不足，部分重点税源企业税收贡献率下降，新的税源增长点尚未形成有效支撑。</w:t>
      </w:r>
      <w:r>
        <w:rPr>
          <w:rFonts w:hint="eastAsia" w:ascii="仿宋_GB2312" w:hAnsi="仿宋_GB2312" w:eastAsia="仿宋_GB2312" w:cs="仿宋_GB2312"/>
          <w:b/>
          <w:bCs w:val="0"/>
          <w:spacing w:val="0"/>
          <w:w w:val="100"/>
          <w:sz w:val="32"/>
          <w:szCs w:val="32"/>
          <w:highlight w:val="none"/>
          <w:lang w:eastAsia="zh-CN"/>
        </w:rPr>
        <w:t>三是</w:t>
      </w:r>
      <w:r>
        <w:rPr>
          <w:rFonts w:hint="eastAsia" w:ascii="仿宋_GB2312" w:hAnsi="仿宋_GB2312" w:eastAsia="仿宋_GB2312" w:cs="仿宋_GB2312"/>
          <w:b w:val="0"/>
          <w:bCs/>
          <w:spacing w:val="0"/>
          <w:w w:val="100"/>
          <w:sz w:val="32"/>
          <w:szCs w:val="32"/>
          <w:highlight w:val="none"/>
          <w:lang w:eastAsia="zh-CN"/>
        </w:rPr>
        <w:t>潜在风险不容忽视，我区财力十分有限、偿债来源进一步收窄，债务风险防控进入关键时间；同时区属国有企业经营效益不佳、自身“造血”功能不强，对财政的依赖度较高，成为潜在风险点。</w:t>
      </w:r>
    </w:p>
    <w:p w14:paraId="6E71272E">
      <w:pPr>
        <w:keepNext w:val="0"/>
        <w:keepLines w:val="0"/>
        <w:pageBreakBefore w:val="0"/>
        <w:widowControl w:val="0"/>
        <w:kinsoku/>
        <w:wordWrap/>
        <w:overflowPunct/>
        <w:topLinePunct w:val="0"/>
        <w:bidi w:val="0"/>
        <w:snapToGrid/>
        <w:spacing w:line="600" w:lineRule="exact"/>
        <w:ind w:left="0" w:leftChars="0" w:right="0" w:firstLine="630"/>
        <w:jc w:val="both"/>
        <w:textAlignment w:val="auto"/>
        <w:rPr>
          <w:rFonts w:ascii="黑体" w:hAnsi="黑体" w:eastAsia="黑体" w:cs="Times New Roman"/>
          <w:spacing w:val="0"/>
          <w:w w:val="100"/>
          <w:sz w:val="32"/>
          <w:szCs w:val="32"/>
          <w:highlight w:val="none"/>
        </w:rPr>
      </w:pPr>
      <w:r>
        <w:rPr>
          <w:rFonts w:hint="eastAsia" w:ascii="仿宋_GB2312" w:hAnsi="Times New Roman" w:eastAsia="仿宋_GB2312" w:cs="Times New Roman"/>
          <w:spacing w:val="0"/>
          <w:w w:val="100"/>
          <w:sz w:val="32"/>
          <w:szCs w:val="32"/>
          <w:highlight w:val="none"/>
        </w:rPr>
        <w:t>对于这些问题，我们将予以高度重视，广泛听取各界人士的意见和建议，认真研究，采取切实有效的措施，逐步加以解决。</w:t>
      </w:r>
    </w:p>
    <w:p w14:paraId="3C50B797">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ascii="黑体" w:hAnsi="黑体" w:eastAsia="黑体" w:cs="Times New Roman"/>
          <w:spacing w:val="0"/>
          <w:w w:val="100"/>
          <w:sz w:val="32"/>
          <w:szCs w:val="32"/>
          <w:highlight w:val="none"/>
        </w:rPr>
      </w:pPr>
      <w:r>
        <w:rPr>
          <w:rFonts w:hint="eastAsia" w:ascii="黑体" w:hAnsi="黑体" w:eastAsia="黑体" w:cs="Times New Roman"/>
          <w:spacing w:val="0"/>
          <w:w w:val="100"/>
          <w:sz w:val="32"/>
          <w:szCs w:val="32"/>
          <w:highlight w:val="none"/>
        </w:rPr>
        <w:t>二、202</w:t>
      </w:r>
      <w:r>
        <w:rPr>
          <w:rFonts w:hint="eastAsia" w:ascii="黑体" w:hAnsi="黑体" w:eastAsia="黑体" w:cs="Times New Roman"/>
          <w:spacing w:val="0"/>
          <w:w w:val="100"/>
          <w:sz w:val="32"/>
          <w:szCs w:val="32"/>
          <w:highlight w:val="none"/>
          <w:lang w:val="en-US" w:eastAsia="zh-CN"/>
        </w:rPr>
        <w:t>6</w:t>
      </w:r>
      <w:r>
        <w:rPr>
          <w:rFonts w:hint="eastAsia" w:ascii="黑体" w:hAnsi="黑体" w:eastAsia="黑体" w:cs="Times New Roman"/>
          <w:spacing w:val="0"/>
          <w:w w:val="100"/>
          <w:sz w:val="32"/>
          <w:szCs w:val="32"/>
          <w:highlight w:val="none"/>
        </w:rPr>
        <w:t>年财政收支预算（草案）</w:t>
      </w:r>
    </w:p>
    <w:p w14:paraId="0F55EC71">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ascii="楷体_GB2312" w:hAnsi="Times New Roman" w:eastAsia="楷体_GB2312" w:cs="Times New Roman"/>
          <w:b/>
          <w:bCs/>
          <w:spacing w:val="0"/>
          <w:w w:val="100"/>
          <w:sz w:val="32"/>
          <w:szCs w:val="32"/>
          <w:highlight w:val="none"/>
        </w:rPr>
      </w:pPr>
      <w:r>
        <w:rPr>
          <w:rFonts w:hint="eastAsia" w:ascii="楷体_GB2312" w:hAnsi="Times New Roman" w:eastAsia="楷体_GB2312" w:cs="Times New Roman"/>
          <w:b/>
          <w:bCs/>
          <w:spacing w:val="0"/>
          <w:w w:val="100"/>
          <w:sz w:val="32"/>
          <w:szCs w:val="32"/>
          <w:highlight w:val="none"/>
        </w:rPr>
        <w:t>（一）202</w:t>
      </w:r>
      <w:r>
        <w:rPr>
          <w:rFonts w:hint="eastAsia" w:ascii="楷体_GB2312" w:hAnsi="Times New Roman" w:eastAsia="楷体_GB2312" w:cs="Times New Roman"/>
          <w:b/>
          <w:bCs/>
          <w:spacing w:val="0"/>
          <w:w w:val="100"/>
          <w:sz w:val="32"/>
          <w:szCs w:val="32"/>
          <w:highlight w:val="none"/>
          <w:lang w:val="en-US" w:eastAsia="zh-CN"/>
        </w:rPr>
        <w:t>6</w:t>
      </w:r>
      <w:r>
        <w:rPr>
          <w:rFonts w:hint="eastAsia" w:ascii="楷体_GB2312" w:hAnsi="Times New Roman" w:eastAsia="楷体_GB2312" w:cs="Times New Roman"/>
          <w:b/>
          <w:bCs/>
          <w:spacing w:val="0"/>
          <w:w w:val="100"/>
          <w:sz w:val="32"/>
          <w:szCs w:val="32"/>
          <w:highlight w:val="none"/>
        </w:rPr>
        <w:t>年财政收支预算（草案）情况</w:t>
      </w:r>
    </w:p>
    <w:p w14:paraId="47DE2D2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_GB2312" w:hAnsi="Times New Roman" w:eastAsia="仿宋_GB2312" w:cs="Times New Roman"/>
          <w:spacing w:val="0"/>
          <w:w w:val="100"/>
          <w:sz w:val="32"/>
          <w:szCs w:val="32"/>
          <w:highlight w:val="none"/>
        </w:rPr>
      </w:pPr>
      <w:r>
        <w:rPr>
          <w:rFonts w:hint="eastAsia" w:ascii="仿宋_GB2312" w:hAnsi="Times New Roman" w:eastAsia="仿宋_GB2312" w:cs="Times New Roman"/>
          <w:b/>
          <w:bCs/>
          <w:spacing w:val="0"/>
          <w:w w:val="100"/>
          <w:sz w:val="32"/>
          <w:szCs w:val="32"/>
          <w:highlight w:val="none"/>
        </w:rPr>
        <w:t>202</w:t>
      </w:r>
      <w:r>
        <w:rPr>
          <w:rFonts w:hint="eastAsia" w:ascii="仿宋_GB2312" w:hAnsi="Times New Roman" w:eastAsia="仿宋_GB2312" w:cs="Times New Roman"/>
          <w:b/>
          <w:bCs/>
          <w:spacing w:val="0"/>
          <w:w w:val="100"/>
          <w:sz w:val="32"/>
          <w:szCs w:val="32"/>
          <w:highlight w:val="none"/>
          <w:lang w:val="en-US" w:eastAsia="zh-CN"/>
        </w:rPr>
        <w:t>6</w:t>
      </w:r>
      <w:r>
        <w:rPr>
          <w:rFonts w:hint="eastAsia" w:ascii="仿宋_GB2312" w:hAnsi="Times New Roman" w:eastAsia="仿宋_GB2312" w:cs="Times New Roman"/>
          <w:b/>
          <w:bCs/>
          <w:spacing w:val="0"/>
          <w:w w:val="100"/>
          <w:sz w:val="32"/>
          <w:szCs w:val="32"/>
          <w:highlight w:val="none"/>
        </w:rPr>
        <w:t>年财政工作的指导思想：</w:t>
      </w:r>
      <w:r>
        <w:rPr>
          <w:rFonts w:hint="eastAsia" w:ascii="仿宋_GB2312" w:hAnsi="Times New Roman" w:eastAsia="仿宋_GB2312" w:cs="Times New Roman"/>
          <w:spacing w:val="0"/>
          <w:w w:val="100"/>
          <w:sz w:val="32"/>
          <w:szCs w:val="32"/>
          <w:highlight w:val="none"/>
        </w:rPr>
        <w:t>以习近平新时代中国特色社会主义思想为指导，全面贯彻落实党的二十大和二十</w:t>
      </w:r>
      <w:r>
        <w:rPr>
          <w:rFonts w:hint="eastAsia" w:ascii="仿宋_GB2312" w:hAnsi="Times New Roman" w:eastAsia="仿宋_GB2312" w:cs="Times New Roman"/>
          <w:spacing w:val="0"/>
          <w:w w:val="100"/>
          <w:sz w:val="32"/>
          <w:szCs w:val="32"/>
          <w:highlight w:val="none"/>
          <w:lang w:eastAsia="zh-CN"/>
        </w:rPr>
        <w:t>届历次全会</w:t>
      </w:r>
      <w:r>
        <w:rPr>
          <w:rFonts w:hint="eastAsia" w:ascii="仿宋_GB2312" w:hAnsi="Times New Roman" w:eastAsia="仿宋_GB2312" w:cs="Times New Roman"/>
          <w:spacing w:val="0"/>
          <w:w w:val="100"/>
          <w:sz w:val="32"/>
          <w:szCs w:val="32"/>
          <w:highlight w:val="none"/>
        </w:rPr>
        <w:t>及中央经济工作会议精神，落实中央、省、市、区各级党委、政府决策部署，坚持稳中求进工作总基调，完整准确全面贯彻新发展理念，服务和融入新发展格局，扎实推动高质量发展，以全面深化零基预算改革为牵引，推进财税体制改革，加强财政科学管理，坚持</w:t>
      </w:r>
      <w:r>
        <w:rPr>
          <w:rFonts w:hint="eastAsia" w:ascii="仿宋_GB2312" w:hAnsi="Times New Roman" w:eastAsia="仿宋_GB2312" w:cs="Times New Roman"/>
          <w:spacing w:val="0"/>
          <w:w w:val="100"/>
          <w:sz w:val="32"/>
          <w:szCs w:val="32"/>
          <w:highlight w:val="none"/>
          <w:lang w:eastAsia="zh-CN"/>
        </w:rPr>
        <w:t>“</w:t>
      </w:r>
      <w:r>
        <w:rPr>
          <w:rFonts w:hint="eastAsia" w:ascii="仿宋_GB2312" w:hAnsi="Times New Roman" w:eastAsia="仿宋_GB2312" w:cs="Times New Roman"/>
          <w:spacing w:val="0"/>
          <w:w w:val="100"/>
          <w:sz w:val="32"/>
          <w:szCs w:val="32"/>
          <w:highlight w:val="none"/>
        </w:rPr>
        <w:t>过紧日子</w:t>
      </w:r>
      <w:r>
        <w:rPr>
          <w:rFonts w:hint="eastAsia" w:ascii="仿宋_GB2312" w:hAnsi="Times New Roman" w:eastAsia="仿宋_GB2312" w:cs="Times New Roman"/>
          <w:spacing w:val="0"/>
          <w:w w:val="100"/>
          <w:sz w:val="32"/>
          <w:szCs w:val="32"/>
          <w:highlight w:val="none"/>
          <w:lang w:eastAsia="zh-CN"/>
        </w:rPr>
        <w:t>”思想</w:t>
      </w:r>
      <w:r>
        <w:rPr>
          <w:rFonts w:hint="eastAsia" w:ascii="仿宋_GB2312" w:hAnsi="Times New Roman" w:eastAsia="仿宋_GB2312" w:cs="Times New Roman"/>
          <w:spacing w:val="0"/>
          <w:w w:val="100"/>
          <w:sz w:val="32"/>
          <w:szCs w:val="32"/>
          <w:highlight w:val="none"/>
        </w:rPr>
        <w:t>，勤俭办一切事业，为全力建设新资阳提供坚实的财力保障。</w:t>
      </w:r>
    </w:p>
    <w:p w14:paraId="6AB1398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b w:val="0"/>
          <w:bCs w:val="0"/>
          <w:spacing w:val="0"/>
          <w:w w:val="100"/>
          <w:sz w:val="32"/>
          <w:szCs w:val="32"/>
          <w:highlight w:val="none"/>
          <w:lang w:val="en-US" w:eastAsia="zh-CN"/>
        </w:rPr>
      </w:pPr>
      <w:r>
        <w:rPr>
          <w:rFonts w:hint="eastAsia" w:ascii="仿宋_GB2312" w:hAnsi="Times New Roman" w:eastAsia="仿宋_GB2312" w:cs="Times New Roman"/>
          <w:b/>
          <w:bCs/>
          <w:spacing w:val="0"/>
          <w:w w:val="100"/>
          <w:sz w:val="32"/>
          <w:szCs w:val="32"/>
          <w:highlight w:val="none"/>
        </w:rPr>
        <w:t>202</w:t>
      </w:r>
      <w:r>
        <w:rPr>
          <w:rFonts w:hint="eastAsia" w:ascii="仿宋_GB2312" w:hAnsi="Times New Roman" w:eastAsia="仿宋_GB2312" w:cs="Times New Roman"/>
          <w:b/>
          <w:bCs/>
          <w:spacing w:val="0"/>
          <w:w w:val="100"/>
          <w:sz w:val="32"/>
          <w:szCs w:val="32"/>
          <w:highlight w:val="none"/>
          <w:lang w:val="en-US" w:eastAsia="zh-CN"/>
        </w:rPr>
        <w:t>6</w:t>
      </w:r>
      <w:r>
        <w:rPr>
          <w:rFonts w:hint="eastAsia" w:ascii="仿宋_GB2312" w:hAnsi="Times New Roman" w:eastAsia="仿宋_GB2312" w:cs="Times New Roman"/>
          <w:b/>
          <w:bCs/>
          <w:spacing w:val="0"/>
          <w:w w:val="100"/>
          <w:sz w:val="32"/>
          <w:szCs w:val="32"/>
          <w:highlight w:val="none"/>
        </w:rPr>
        <w:t>年财政预算编制的基本原则：</w:t>
      </w:r>
      <w:r>
        <w:rPr>
          <w:rFonts w:hint="eastAsia" w:ascii="仿宋_GB2312" w:hAnsi="仿宋_GB2312" w:eastAsia="仿宋_GB2312" w:cs="仿宋_GB2312"/>
          <w:b/>
          <w:bCs/>
          <w:spacing w:val="0"/>
          <w:w w:val="100"/>
          <w:sz w:val="32"/>
          <w:szCs w:val="32"/>
          <w:highlight w:val="none"/>
          <w:lang w:val="en-US" w:eastAsia="zh-CN"/>
        </w:rPr>
        <w:t>一是量入为出，收支平衡。</w:t>
      </w:r>
      <w:r>
        <w:rPr>
          <w:rFonts w:hint="eastAsia" w:ascii="仿宋_GB2312" w:hAnsi="仿宋_GB2312" w:eastAsia="仿宋_GB2312" w:cs="仿宋_GB2312"/>
          <w:spacing w:val="0"/>
          <w:w w:val="100"/>
          <w:sz w:val="32"/>
          <w:szCs w:val="32"/>
          <w:highlight w:val="none"/>
          <w:lang w:val="en-US" w:eastAsia="zh-CN"/>
        </w:rPr>
        <w:t>深化零基预算改革，加强政府预算收入管理，强化部门预算收入统筹，盘活存量资金，增强财政保障能力，坚持收支平衡。各单位执收的非税收入预算统筹50%全部用于“三保”支出和保障重点民生支出。项目已实施完成并形成的存量资金预算统筹50%用于重点项目建设。</w:t>
      </w:r>
      <w:r>
        <w:rPr>
          <w:rFonts w:hint="eastAsia" w:ascii="仿宋_GB2312" w:hAnsi="仿宋_GB2312" w:eastAsia="仿宋_GB2312" w:cs="仿宋_GB2312"/>
          <w:b/>
          <w:bCs/>
          <w:spacing w:val="0"/>
          <w:w w:val="100"/>
          <w:sz w:val="32"/>
          <w:szCs w:val="32"/>
          <w:highlight w:val="none"/>
          <w:lang w:val="en-US" w:eastAsia="zh-CN"/>
        </w:rPr>
        <w:t>二是厉行节约，提质增效。</w:t>
      </w:r>
      <w:r>
        <w:rPr>
          <w:rFonts w:hint="eastAsia" w:ascii="仿宋_GB2312" w:hAnsi="仿宋_GB2312" w:eastAsia="仿宋_GB2312" w:cs="仿宋_GB2312"/>
          <w:spacing w:val="0"/>
          <w:w w:val="100"/>
          <w:sz w:val="32"/>
          <w:szCs w:val="32"/>
          <w:highlight w:val="none"/>
          <w:lang w:val="en-US" w:eastAsia="zh-CN"/>
        </w:rPr>
        <w:t>进一步压减非重点非刚性支出，落实党政机关习惯过紧日子要求，坚持有破有立，打破基数概念和支出固化格局。严格按政策标准落实民生支出，持续保障民生。坚持“三保”优先次序，坚持按照“保基本民生、保工资、保运转、保政府债券利息、保重点项目”的顺序安排预算，其他项目视财力状况量力而行。</w:t>
      </w:r>
      <w:r>
        <w:rPr>
          <w:rFonts w:hint="eastAsia" w:ascii="仿宋_GB2312" w:hAnsi="仿宋_GB2312" w:eastAsia="仿宋_GB2312" w:cs="仿宋_GB2312"/>
          <w:b/>
          <w:bCs/>
          <w:spacing w:val="0"/>
          <w:w w:val="100"/>
          <w:sz w:val="32"/>
          <w:szCs w:val="32"/>
          <w:highlight w:val="none"/>
          <w:lang w:val="en-US" w:eastAsia="zh-CN"/>
        </w:rPr>
        <w:t>三是讲求绩效，提高效益。</w:t>
      </w:r>
      <w:r>
        <w:rPr>
          <w:rFonts w:hint="eastAsia" w:ascii="仿宋_GB2312" w:hAnsi="仿宋_GB2312" w:eastAsia="仿宋_GB2312" w:cs="仿宋_GB2312"/>
          <w:spacing w:val="0"/>
          <w:w w:val="100"/>
          <w:sz w:val="32"/>
          <w:szCs w:val="32"/>
          <w:highlight w:val="none"/>
          <w:lang w:val="en-US" w:eastAsia="zh-CN"/>
        </w:rPr>
        <w:t>坚持全面实施预算绩效管理与推进零基预算改革相结合，将绩效管理嵌入预算编制、执行、监督全过程。强化绩效评价结果运用，把评价结果作为预算安排、完善政策、改进管理的重要依据，有效发挥预算绩效管理激励约束作用，切实做到“花钱必问效”。</w:t>
      </w:r>
      <w:r>
        <w:rPr>
          <w:rFonts w:hint="eastAsia" w:ascii="仿宋_GB2312" w:hAnsi="仿宋_GB2312" w:eastAsia="仿宋_GB2312" w:cs="仿宋_GB2312"/>
          <w:b/>
          <w:bCs/>
          <w:spacing w:val="0"/>
          <w:w w:val="100"/>
          <w:sz w:val="32"/>
          <w:szCs w:val="32"/>
          <w:highlight w:val="none"/>
          <w:lang w:val="en-US" w:eastAsia="zh-CN"/>
        </w:rPr>
        <w:t>四是强化管理，硬化约束。</w:t>
      </w:r>
      <w:r>
        <w:rPr>
          <w:rFonts w:hint="eastAsia" w:ascii="仿宋_GB2312" w:hAnsi="仿宋_GB2312" w:eastAsia="仿宋_GB2312" w:cs="仿宋_GB2312"/>
          <w:spacing w:val="0"/>
          <w:w w:val="100"/>
          <w:sz w:val="32"/>
          <w:szCs w:val="32"/>
          <w:highlight w:val="none"/>
          <w:lang w:val="en-US" w:eastAsia="zh-CN"/>
        </w:rPr>
        <w:t>坚持预算法定，严格按照《中华人民共和国预算法》及其实施条例等法律法规要求编制预算，严格执行“二上二下”的预算编制程序。提升预算执行力，严格执行人大批准的预算。落实预算审查监督要求，不断加大政府预算信息公开力度，切实做到及时公开、内容准确、形式规范，主动接受人大和社会监督。</w:t>
      </w:r>
    </w:p>
    <w:p w14:paraId="2D764D4C">
      <w:pPr>
        <w:keepNext w:val="0"/>
        <w:keepLines w:val="0"/>
        <w:pageBreakBefore w:val="0"/>
        <w:widowControl w:val="0"/>
        <w:kinsoku/>
        <w:wordWrap/>
        <w:overflowPunct/>
        <w:topLinePunct w:val="0"/>
        <w:bidi w:val="0"/>
        <w:snapToGrid/>
        <w:spacing w:beforeAutospacing="0" w:afterAutospacing="0" w:line="600" w:lineRule="exact"/>
        <w:ind w:left="0" w:leftChars="0" w:right="0" w:firstLine="645"/>
        <w:jc w:val="both"/>
        <w:textAlignment w:val="auto"/>
        <w:rPr>
          <w:rFonts w:ascii="仿宋_GB2312" w:hAnsi="Times New Roman" w:eastAsia="仿宋_GB2312" w:cs="Times New Roman"/>
          <w:spacing w:val="0"/>
          <w:w w:val="100"/>
          <w:kern w:val="2"/>
          <w:sz w:val="32"/>
          <w:szCs w:val="32"/>
          <w:highlight w:val="none"/>
          <w:lang w:val="en-US" w:eastAsia="zh-CN" w:bidi="ar-SA"/>
        </w:rPr>
      </w:pPr>
      <w:r>
        <w:rPr>
          <w:rFonts w:hint="eastAsia" w:ascii="仿宋_GB2312" w:hAnsi="Times New Roman" w:eastAsia="仿宋_GB2312" w:cs="Times New Roman"/>
          <w:spacing w:val="0"/>
          <w:w w:val="100"/>
          <w:kern w:val="2"/>
          <w:sz w:val="32"/>
          <w:szCs w:val="32"/>
          <w:highlight w:val="none"/>
          <w:lang w:val="en-US" w:eastAsia="zh-CN" w:bidi="ar-SA"/>
        </w:rPr>
        <w:t>根据上述指导思想和基本原则，综合考虑各方面因素，2026年财政收支预算初步安排如下：</w:t>
      </w:r>
    </w:p>
    <w:p w14:paraId="4026881B">
      <w:pPr>
        <w:keepNext w:val="0"/>
        <w:keepLines w:val="0"/>
        <w:pageBreakBefore w:val="0"/>
        <w:widowControl w:val="0"/>
        <w:numPr>
          <w:ilvl w:val="0"/>
          <w:numId w:val="3"/>
        </w:numPr>
        <w:kinsoku/>
        <w:wordWrap/>
        <w:overflowPunct/>
        <w:topLinePunct w:val="0"/>
        <w:bidi w:val="0"/>
        <w:snapToGrid/>
        <w:spacing w:line="600" w:lineRule="exact"/>
        <w:ind w:left="0" w:leftChars="0" w:right="0" w:firstLine="643" w:firstLineChars="200"/>
        <w:jc w:val="both"/>
        <w:textAlignment w:val="auto"/>
        <w:rPr>
          <w:rFonts w:ascii="仿宋_GB2312" w:hAnsi="Times New Roman" w:eastAsia="仿宋_GB2312" w:cs="Times New Roman"/>
          <w:b/>
          <w:spacing w:val="0"/>
          <w:w w:val="100"/>
          <w:sz w:val="32"/>
          <w:szCs w:val="32"/>
          <w:highlight w:val="none"/>
        </w:rPr>
      </w:pPr>
      <w:r>
        <w:rPr>
          <w:rFonts w:hint="eastAsia" w:ascii="仿宋_GB2312" w:hAnsi="Times New Roman" w:eastAsia="仿宋_GB2312" w:cs="Times New Roman"/>
          <w:b/>
          <w:spacing w:val="0"/>
          <w:w w:val="100"/>
          <w:sz w:val="32"/>
          <w:szCs w:val="32"/>
          <w:highlight w:val="none"/>
        </w:rPr>
        <w:t>一般公共预算</w:t>
      </w:r>
    </w:p>
    <w:p w14:paraId="16931B5C">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Times New Roman" w:eastAsia="仿宋_GB2312" w:cs="仿宋_GB2312"/>
          <w:spacing w:val="0"/>
          <w:w w:val="100"/>
          <w:sz w:val="32"/>
          <w:szCs w:val="32"/>
          <w:highlight w:val="none"/>
        </w:rPr>
      </w:pPr>
      <w:r>
        <w:rPr>
          <w:rFonts w:hint="eastAsia" w:ascii="仿宋_GB2312" w:hAnsi="Times New Roman" w:eastAsia="仿宋_GB2312" w:cs="仿宋_GB2312"/>
          <w:spacing w:val="0"/>
          <w:w w:val="100"/>
          <w:sz w:val="32"/>
          <w:szCs w:val="32"/>
          <w:highlight w:val="none"/>
        </w:rPr>
        <w:t>2026年全区地方一般公共预算收入108</w:t>
      </w:r>
      <w:r>
        <w:rPr>
          <w:rFonts w:hint="eastAsia" w:ascii="仿宋_GB2312" w:hAnsi="Times New Roman" w:eastAsia="仿宋_GB2312" w:cs="仿宋_GB2312"/>
          <w:spacing w:val="0"/>
          <w:w w:val="100"/>
          <w:sz w:val="32"/>
          <w:szCs w:val="32"/>
          <w:highlight w:val="none"/>
          <w:lang w:val="en-US" w:eastAsia="zh-CN"/>
        </w:rPr>
        <w:t>4</w:t>
      </w:r>
      <w:r>
        <w:rPr>
          <w:rFonts w:hint="eastAsia" w:ascii="仿宋_GB2312" w:hAnsi="Times New Roman" w:eastAsia="仿宋_GB2312" w:cs="仿宋_GB2312"/>
          <w:spacing w:val="0"/>
          <w:w w:val="100"/>
          <w:sz w:val="32"/>
          <w:szCs w:val="32"/>
          <w:highlight w:val="none"/>
        </w:rPr>
        <w:t>16万元（含上划市级），</w:t>
      </w:r>
      <w:r>
        <w:rPr>
          <w:rFonts w:hint="eastAsia" w:ascii="仿宋_GB2312" w:hAnsi="Times New Roman" w:eastAsia="仿宋_GB2312" w:cs="仿宋_GB2312"/>
          <w:spacing w:val="0"/>
          <w:w w:val="100"/>
          <w:sz w:val="32"/>
          <w:szCs w:val="32"/>
          <w:highlight w:val="none"/>
          <w:lang w:eastAsia="zh-CN"/>
        </w:rPr>
        <w:t>同口径增长</w:t>
      </w:r>
      <w:r>
        <w:rPr>
          <w:rFonts w:hint="eastAsia" w:ascii="仿宋_GB2312" w:hAnsi="Times New Roman" w:eastAsia="仿宋_GB2312" w:cs="仿宋_GB2312"/>
          <w:spacing w:val="0"/>
          <w:w w:val="100"/>
          <w:sz w:val="32"/>
          <w:szCs w:val="32"/>
          <w:highlight w:val="none"/>
          <w:lang w:val="en-US" w:eastAsia="zh-CN"/>
        </w:rPr>
        <w:t>4</w:t>
      </w:r>
      <w:r>
        <w:rPr>
          <w:rFonts w:hint="eastAsia" w:ascii="仿宋_GB2312" w:hAnsi="Times New Roman" w:eastAsia="仿宋_GB2312" w:cs="仿宋_GB2312"/>
          <w:spacing w:val="0"/>
          <w:w w:val="100"/>
          <w:sz w:val="32"/>
          <w:szCs w:val="32"/>
          <w:highlight w:val="none"/>
        </w:rPr>
        <w:t>%（剔除2025年砂石一次性补缴</w:t>
      </w:r>
      <w:r>
        <w:rPr>
          <w:rFonts w:hint="eastAsia" w:ascii="仿宋_GB2312" w:hAnsi="Times New Roman" w:eastAsia="仿宋_GB2312" w:cs="仿宋_GB2312"/>
          <w:spacing w:val="0"/>
          <w:w w:val="100"/>
          <w:sz w:val="32"/>
          <w:szCs w:val="32"/>
          <w:highlight w:val="none"/>
          <w:lang w:eastAsia="zh-CN"/>
        </w:rPr>
        <w:t>因素</w:t>
      </w:r>
      <w:r>
        <w:rPr>
          <w:rFonts w:hint="eastAsia" w:ascii="仿宋_GB2312" w:hAnsi="Times New Roman" w:eastAsia="仿宋_GB2312" w:cs="仿宋_GB2312"/>
          <w:spacing w:val="0"/>
          <w:w w:val="100"/>
          <w:sz w:val="32"/>
          <w:szCs w:val="32"/>
          <w:highlight w:val="none"/>
        </w:rPr>
        <w:t>），其中：税收收入</w:t>
      </w:r>
      <w:r>
        <w:rPr>
          <w:rFonts w:hint="eastAsia" w:ascii="仿宋_GB2312" w:hAnsi="Times New Roman" w:eastAsia="仿宋_GB2312" w:cs="仿宋_GB2312"/>
          <w:spacing w:val="0"/>
          <w:w w:val="100"/>
          <w:sz w:val="32"/>
          <w:szCs w:val="32"/>
          <w:highlight w:val="none"/>
          <w:lang w:val="en-US" w:eastAsia="zh-CN"/>
        </w:rPr>
        <w:t>70928</w:t>
      </w:r>
      <w:r>
        <w:rPr>
          <w:rFonts w:hint="eastAsia" w:ascii="仿宋_GB2312" w:hAnsi="Times New Roman" w:eastAsia="仿宋_GB2312" w:cs="仿宋_GB2312"/>
          <w:spacing w:val="0"/>
          <w:w w:val="100"/>
          <w:sz w:val="32"/>
          <w:szCs w:val="32"/>
          <w:highlight w:val="none"/>
        </w:rPr>
        <w:t>万元，增长</w:t>
      </w:r>
      <w:r>
        <w:rPr>
          <w:rFonts w:hint="eastAsia" w:ascii="仿宋_GB2312" w:hAnsi="Times New Roman" w:eastAsia="仿宋_GB2312" w:cs="仿宋_GB2312"/>
          <w:spacing w:val="0"/>
          <w:w w:val="100"/>
          <w:sz w:val="32"/>
          <w:szCs w:val="32"/>
          <w:highlight w:val="none"/>
          <w:lang w:val="en-US" w:eastAsia="zh-CN"/>
        </w:rPr>
        <w:t>4</w:t>
      </w:r>
      <w:r>
        <w:rPr>
          <w:rFonts w:hint="eastAsia" w:ascii="仿宋_GB2312" w:hAnsi="Times New Roman" w:eastAsia="仿宋_GB2312" w:cs="仿宋_GB2312"/>
          <w:spacing w:val="0"/>
          <w:w w:val="100"/>
          <w:sz w:val="32"/>
          <w:szCs w:val="32"/>
          <w:highlight w:val="none"/>
        </w:rPr>
        <w:t>%；非税收入37</w:t>
      </w:r>
      <w:r>
        <w:rPr>
          <w:rFonts w:hint="eastAsia" w:ascii="仿宋_GB2312" w:hAnsi="Times New Roman" w:eastAsia="仿宋_GB2312" w:cs="仿宋_GB2312"/>
          <w:spacing w:val="0"/>
          <w:w w:val="100"/>
          <w:sz w:val="32"/>
          <w:szCs w:val="32"/>
          <w:highlight w:val="none"/>
          <w:lang w:val="en-US" w:eastAsia="zh-CN"/>
        </w:rPr>
        <w:t>48</w:t>
      </w:r>
      <w:r>
        <w:rPr>
          <w:rFonts w:hint="eastAsia" w:ascii="仿宋_GB2312" w:hAnsi="Times New Roman" w:eastAsia="仿宋_GB2312" w:cs="仿宋_GB2312"/>
          <w:spacing w:val="0"/>
          <w:w w:val="100"/>
          <w:sz w:val="32"/>
          <w:szCs w:val="32"/>
          <w:highlight w:val="none"/>
        </w:rPr>
        <w:t>8万元，</w:t>
      </w:r>
      <w:r>
        <w:rPr>
          <w:rFonts w:hint="eastAsia" w:ascii="仿宋_GB2312" w:hAnsi="Times New Roman" w:eastAsia="仿宋_GB2312" w:cs="仿宋_GB2312"/>
          <w:spacing w:val="0"/>
          <w:w w:val="100"/>
          <w:sz w:val="32"/>
          <w:szCs w:val="32"/>
          <w:highlight w:val="none"/>
          <w:lang w:eastAsia="zh-CN"/>
        </w:rPr>
        <w:t>同口径</w:t>
      </w:r>
      <w:r>
        <w:rPr>
          <w:rFonts w:hint="eastAsia" w:ascii="仿宋_GB2312" w:hAnsi="Times New Roman" w:eastAsia="仿宋_GB2312" w:cs="仿宋_GB2312"/>
          <w:spacing w:val="0"/>
          <w:w w:val="100"/>
          <w:sz w:val="32"/>
          <w:szCs w:val="32"/>
          <w:highlight w:val="none"/>
        </w:rPr>
        <w:t>增长</w:t>
      </w:r>
      <w:r>
        <w:rPr>
          <w:rFonts w:hint="eastAsia" w:ascii="仿宋_GB2312" w:hAnsi="Times New Roman" w:eastAsia="仿宋_GB2312" w:cs="仿宋_GB2312"/>
          <w:spacing w:val="0"/>
          <w:w w:val="100"/>
          <w:sz w:val="32"/>
          <w:szCs w:val="32"/>
          <w:highlight w:val="none"/>
          <w:lang w:val="en-US" w:eastAsia="zh-CN"/>
        </w:rPr>
        <w:t>4</w:t>
      </w:r>
      <w:r>
        <w:rPr>
          <w:rFonts w:hint="eastAsia" w:ascii="仿宋_GB2312" w:hAnsi="Times New Roman" w:eastAsia="仿宋_GB2312" w:cs="仿宋_GB2312"/>
          <w:spacing w:val="0"/>
          <w:w w:val="100"/>
          <w:sz w:val="32"/>
          <w:szCs w:val="32"/>
          <w:highlight w:val="none"/>
        </w:rPr>
        <w:t>%（剔除2025年砂石一次性补缴</w:t>
      </w:r>
      <w:r>
        <w:rPr>
          <w:rFonts w:hint="eastAsia" w:ascii="仿宋_GB2312" w:hAnsi="Times New Roman" w:eastAsia="仿宋_GB2312" w:cs="仿宋_GB2312"/>
          <w:spacing w:val="0"/>
          <w:w w:val="100"/>
          <w:sz w:val="32"/>
          <w:szCs w:val="32"/>
          <w:highlight w:val="none"/>
          <w:lang w:eastAsia="zh-CN"/>
        </w:rPr>
        <w:t>因素</w:t>
      </w:r>
      <w:r>
        <w:rPr>
          <w:rFonts w:hint="eastAsia" w:ascii="仿宋_GB2312" w:hAnsi="Times New Roman" w:eastAsia="仿宋_GB2312" w:cs="仿宋_GB2312"/>
          <w:spacing w:val="0"/>
          <w:w w:val="100"/>
          <w:sz w:val="32"/>
          <w:szCs w:val="32"/>
          <w:highlight w:val="none"/>
        </w:rPr>
        <w:t>）。2026年全区本级财政收入</w:t>
      </w:r>
      <w:r>
        <w:rPr>
          <w:rFonts w:hint="eastAsia" w:ascii="仿宋_GB2312" w:hAnsi="Times New Roman" w:eastAsia="仿宋_GB2312" w:cs="仿宋_GB2312"/>
          <w:spacing w:val="0"/>
          <w:w w:val="100"/>
          <w:sz w:val="32"/>
          <w:szCs w:val="32"/>
          <w:highlight w:val="none"/>
          <w:lang w:val="en-US" w:eastAsia="zh-CN"/>
        </w:rPr>
        <w:t>70115</w:t>
      </w:r>
      <w:r>
        <w:rPr>
          <w:rFonts w:hint="eastAsia" w:ascii="仿宋_GB2312" w:hAnsi="Times New Roman" w:eastAsia="仿宋_GB2312" w:cs="仿宋_GB2312"/>
          <w:spacing w:val="0"/>
          <w:w w:val="100"/>
          <w:sz w:val="32"/>
          <w:szCs w:val="32"/>
          <w:highlight w:val="none"/>
        </w:rPr>
        <w:t>万元，税收返还收入4693万元，财力性一般性转移支付收入122163万元，区级可用财力</w:t>
      </w:r>
      <w:r>
        <w:rPr>
          <w:rFonts w:hint="eastAsia" w:ascii="仿宋_GB2312" w:hAnsi="Times New Roman" w:eastAsia="仿宋_GB2312" w:cs="仿宋_GB2312"/>
          <w:spacing w:val="0"/>
          <w:w w:val="100"/>
          <w:sz w:val="32"/>
          <w:szCs w:val="32"/>
          <w:highlight w:val="none"/>
          <w:lang w:val="en-US" w:eastAsia="zh-CN"/>
        </w:rPr>
        <w:t>196971</w:t>
      </w:r>
      <w:r>
        <w:rPr>
          <w:rFonts w:hint="eastAsia" w:ascii="仿宋_GB2312" w:hAnsi="Times New Roman" w:eastAsia="仿宋_GB2312" w:cs="仿宋_GB2312"/>
          <w:spacing w:val="0"/>
          <w:w w:val="100"/>
          <w:sz w:val="32"/>
          <w:szCs w:val="32"/>
          <w:highlight w:val="none"/>
        </w:rPr>
        <w:t>万元；专项用途一般性转移支付收入79301万元；专项转移支付收入25870万元；调入资金</w:t>
      </w:r>
      <w:r>
        <w:rPr>
          <w:rFonts w:hint="eastAsia" w:ascii="仿宋_GB2312" w:hAnsi="Times New Roman" w:eastAsia="仿宋_GB2312" w:cs="仿宋_GB2312"/>
          <w:spacing w:val="0"/>
          <w:w w:val="100"/>
          <w:sz w:val="32"/>
          <w:szCs w:val="32"/>
          <w:highlight w:val="none"/>
          <w:lang w:val="en-US" w:eastAsia="zh-CN"/>
        </w:rPr>
        <w:t>12332</w:t>
      </w:r>
      <w:r>
        <w:rPr>
          <w:rFonts w:hint="eastAsia" w:ascii="仿宋_GB2312" w:hAnsi="Times New Roman" w:eastAsia="仿宋_GB2312" w:cs="仿宋_GB2312"/>
          <w:spacing w:val="0"/>
          <w:w w:val="100"/>
          <w:sz w:val="32"/>
          <w:szCs w:val="32"/>
          <w:highlight w:val="none"/>
        </w:rPr>
        <w:t>万元；收入合计</w:t>
      </w:r>
      <w:r>
        <w:rPr>
          <w:rFonts w:hint="eastAsia" w:ascii="仿宋_GB2312" w:hAnsi="Times New Roman" w:eastAsia="仿宋_GB2312" w:cs="仿宋_GB2312"/>
          <w:spacing w:val="0"/>
          <w:w w:val="100"/>
          <w:sz w:val="32"/>
          <w:szCs w:val="32"/>
          <w:highlight w:val="none"/>
          <w:lang w:val="en-US" w:eastAsia="zh-CN"/>
        </w:rPr>
        <w:t>314474</w:t>
      </w:r>
      <w:r>
        <w:rPr>
          <w:rFonts w:hint="eastAsia" w:ascii="仿宋_GB2312" w:hAnsi="Times New Roman" w:eastAsia="仿宋_GB2312" w:cs="仿宋_GB2312"/>
          <w:spacing w:val="0"/>
          <w:w w:val="100"/>
          <w:sz w:val="32"/>
          <w:szCs w:val="32"/>
          <w:highlight w:val="none"/>
        </w:rPr>
        <w:t>万元。</w:t>
      </w:r>
    </w:p>
    <w:p w14:paraId="16FCDDF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Times New Roman" w:eastAsia="仿宋_GB2312" w:cs="仿宋_GB2312"/>
          <w:spacing w:val="0"/>
          <w:w w:val="100"/>
          <w:sz w:val="32"/>
          <w:szCs w:val="32"/>
          <w:highlight w:val="none"/>
        </w:rPr>
      </w:pPr>
      <w:r>
        <w:rPr>
          <w:rFonts w:hint="eastAsia" w:ascii="仿宋_GB2312" w:hAnsi="Times New Roman" w:eastAsia="仿宋_GB2312" w:cs="仿宋_GB2312"/>
          <w:spacing w:val="0"/>
          <w:w w:val="100"/>
          <w:sz w:val="32"/>
          <w:szCs w:val="32"/>
          <w:highlight w:val="none"/>
        </w:rPr>
        <w:t>一般公共预算支出</w:t>
      </w:r>
      <w:r>
        <w:rPr>
          <w:rFonts w:hint="eastAsia" w:ascii="仿宋_GB2312" w:hAnsi="Times New Roman" w:eastAsia="仿宋_GB2312" w:cs="仿宋_GB2312"/>
          <w:spacing w:val="0"/>
          <w:w w:val="100"/>
          <w:sz w:val="32"/>
          <w:szCs w:val="32"/>
          <w:highlight w:val="none"/>
          <w:lang w:val="en-US" w:eastAsia="zh-CN"/>
        </w:rPr>
        <w:t>306087</w:t>
      </w:r>
      <w:r>
        <w:rPr>
          <w:rFonts w:hint="eastAsia" w:ascii="仿宋_GB2312" w:hAnsi="Times New Roman" w:eastAsia="仿宋_GB2312" w:cs="仿宋_GB2312"/>
          <w:spacing w:val="0"/>
          <w:w w:val="100"/>
          <w:sz w:val="32"/>
          <w:szCs w:val="32"/>
          <w:highlight w:val="none"/>
        </w:rPr>
        <w:t>万元（本级安排支出</w:t>
      </w:r>
      <w:r>
        <w:rPr>
          <w:rFonts w:hint="eastAsia" w:ascii="仿宋_GB2312" w:hAnsi="Times New Roman" w:eastAsia="仿宋_GB2312" w:cs="仿宋_GB2312"/>
          <w:spacing w:val="0"/>
          <w:w w:val="100"/>
          <w:sz w:val="32"/>
          <w:szCs w:val="32"/>
          <w:highlight w:val="none"/>
          <w:lang w:val="en-US" w:eastAsia="zh-CN"/>
        </w:rPr>
        <w:t>200916</w:t>
      </w:r>
      <w:r>
        <w:rPr>
          <w:rFonts w:hint="eastAsia" w:ascii="仿宋_GB2312" w:hAnsi="Times New Roman" w:eastAsia="仿宋_GB2312" w:cs="仿宋_GB2312"/>
          <w:spacing w:val="0"/>
          <w:w w:val="100"/>
          <w:sz w:val="32"/>
          <w:szCs w:val="32"/>
          <w:highlight w:val="none"/>
        </w:rPr>
        <w:t>万元，专项用途一般性转移支付支出79301万元，专项转移支付支出25870万元），上解支出8387万元，支出合计</w:t>
      </w:r>
      <w:r>
        <w:rPr>
          <w:rFonts w:hint="eastAsia" w:ascii="仿宋_GB2312" w:hAnsi="Times New Roman" w:eastAsia="仿宋_GB2312" w:cs="仿宋_GB2312"/>
          <w:spacing w:val="0"/>
          <w:w w:val="100"/>
          <w:sz w:val="32"/>
          <w:szCs w:val="32"/>
          <w:highlight w:val="none"/>
          <w:lang w:val="en-US" w:eastAsia="zh-CN"/>
        </w:rPr>
        <w:t>314474</w:t>
      </w:r>
      <w:r>
        <w:rPr>
          <w:rFonts w:hint="eastAsia" w:ascii="仿宋_GB2312" w:hAnsi="Times New Roman" w:eastAsia="仿宋_GB2312" w:cs="仿宋_GB2312"/>
          <w:spacing w:val="0"/>
          <w:w w:val="100"/>
          <w:sz w:val="32"/>
          <w:szCs w:val="32"/>
          <w:highlight w:val="none"/>
        </w:rPr>
        <w:t>万元，实现收支平衡。</w:t>
      </w:r>
    </w:p>
    <w:p w14:paraId="00C9AB33">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Times New Roman" w:eastAsia="仿宋_GB2312" w:cs="仿宋_GB2312"/>
          <w:spacing w:val="0"/>
          <w:w w:val="100"/>
          <w:sz w:val="32"/>
          <w:szCs w:val="32"/>
          <w:highlight w:val="none"/>
        </w:rPr>
      </w:pPr>
      <w:r>
        <w:rPr>
          <w:rFonts w:hint="eastAsia" w:ascii="仿宋_GB2312" w:hAnsi="Times New Roman" w:eastAsia="仿宋_GB2312" w:cs="仿宋_GB2312"/>
          <w:spacing w:val="0"/>
          <w:w w:val="100"/>
          <w:sz w:val="32"/>
          <w:szCs w:val="32"/>
          <w:highlight w:val="none"/>
        </w:rPr>
        <w:t>2026年一般公共预算支出</w:t>
      </w:r>
      <w:r>
        <w:rPr>
          <w:rFonts w:hint="eastAsia" w:ascii="仿宋_GB2312" w:hAnsi="Times New Roman" w:eastAsia="仿宋_GB2312" w:cs="仿宋_GB2312"/>
          <w:spacing w:val="0"/>
          <w:w w:val="100"/>
          <w:sz w:val="32"/>
          <w:szCs w:val="32"/>
          <w:highlight w:val="none"/>
          <w:lang w:val="en-US" w:eastAsia="zh-CN"/>
        </w:rPr>
        <w:t>306087</w:t>
      </w:r>
      <w:r>
        <w:rPr>
          <w:rFonts w:hint="eastAsia" w:ascii="仿宋_GB2312" w:hAnsi="Times New Roman" w:eastAsia="仿宋_GB2312" w:cs="仿宋_GB2312"/>
          <w:spacing w:val="0"/>
          <w:w w:val="100"/>
          <w:sz w:val="32"/>
          <w:szCs w:val="32"/>
          <w:highlight w:val="none"/>
        </w:rPr>
        <w:t>万元，比2025年预算数299901万元增加</w:t>
      </w:r>
      <w:r>
        <w:rPr>
          <w:rFonts w:hint="eastAsia" w:ascii="仿宋_GB2312" w:hAnsi="Times New Roman" w:eastAsia="仿宋_GB2312" w:cs="仿宋_GB2312"/>
          <w:spacing w:val="0"/>
          <w:w w:val="100"/>
          <w:sz w:val="32"/>
          <w:szCs w:val="32"/>
          <w:highlight w:val="none"/>
          <w:lang w:val="en-US" w:eastAsia="zh-CN"/>
        </w:rPr>
        <w:t>6186</w:t>
      </w:r>
      <w:r>
        <w:rPr>
          <w:rFonts w:hint="eastAsia" w:ascii="仿宋_GB2312" w:hAnsi="Times New Roman" w:eastAsia="仿宋_GB2312" w:cs="仿宋_GB2312"/>
          <w:spacing w:val="0"/>
          <w:w w:val="100"/>
          <w:sz w:val="32"/>
          <w:szCs w:val="32"/>
          <w:highlight w:val="none"/>
        </w:rPr>
        <w:t>万元，增长2.0</w:t>
      </w:r>
      <w:r>
        <w:rPr>
          <w:rFonts w:hint="eastAsia" w:ascii="仿宋_GB2312" w:hAnsi="Times New Roman" w:eastAsia="仿宋_GB2312" w:cs="仿宋_GB2312"/>
          <w:spacing w:val="0"/>
          <w:w w:val="100"/>
          <w:sz w:val="32"/>
          <w:szCs w:val="32"/>
          <w:highlight w:val="none"/>
          <w:lang w:val="en-US" w:eastAsia="zh-CN"/>
        </w:rPr>
        <w:t>6</w:t>
      </w:r>
      <w:r>
        <w:rPr>
          <w:rFonts w:hint="eastAsia" w:ascii="仿宋_GB2312" w:hAnsi="Times New Roman" w:eastAsia="仿宋_GB2312" w:cs="仿宋_GB2312"/>
          <w:spacing w:val="0"/>
          <w:w w:val="100"/>
          <w:sz w:val="32"/>
          <w:szCs w:val="32"/>
          <w:highlight w:val="none"/>
        </w:rPr>
        <w:t>%。</w:t>
      </w:r>
    </w:p>
    <w:p w14:paraId="777645F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highlight w:val="none"/>
        </w:rPr>
      </w:pPr>
      <w:r>
        <w:rPr>
          <w:rFonts w:hint="eastAsia" w:ascii="仿宋_GB2312" w:hAnsi="Times New Roman" w:eastAsia="仿宋_GB2312" w:cs="仿宋_GB2312"/>
          <w:spacing w:val="0"/>
          <w:w w:val="100"/>
          <w:sz w:val="32"/>
          <w:szCs w:val="32"/>
          <w:highlight w:val="none"/>
        </w:rPr>
        <w:t>202</w:t>
      </w:r>
      <w:r>
        <w:rPr>
          <w:rFonts w:hint="eastAsia" w:ascii="仿宋_GB2312" w:hAnsi="Times New Roman" w:eastAsia="仿宋_GB2312" w:cs="仿宋_GB2312"/>
          <w:spacing w:val="0"/>
          <w:w w:val="100"/>
          <w:sz w:val="32"/>
          <w:szCs w:val="32"/>
          <w:highlight w:val="none"/>
          <w:lang w:val="en-US" w:eastAsia="zh-CN"/>
        </w:rPr>
        <w:t>6</w:t>
      </w:r>
      <w:r>
        <w:rPr>
          <w:rFonts w:hint="eastAsia" w:ascii="仿宋_GB2312" w:hAnsi="Times New Roman" w:eastAsia="仿宋_GB2312" w:cs="仿宋_GB2312"/>
          <w:spacing w:val="0"/>
          <w:w w:val="100"/>
          <w:sz w:val="32"/>
          <w:szCs w:val="32"/>
          <w:highlight w:val="none"/>
        </w:rPr>
        <w:t>年一般公共预算</w:t>
      </w:r>
      <w:r>
        <w:rPr>
          <w:rFonts w:hint="eastAsia" w:ascii="仿宋_GB2312" w:hAnsi="Times New Roman" w:eastAsia="仿宋_GB2312" w:cs="仿宋_GB2312"/>
          <w:spacing w:val="0"/>
          <w:w w:val="100"/>
          <w:sz w:val="32"/>
          <w:szCs w:val="32"/>
          <w:highlight w:val="none"/>
          <w:lang w:eastAsia="zh-CN"/>
        </w:rPr>
        <w:t>“</w:t>
      </w:r>
      <w:r>
        <w:rPr>
          <w:rFonts w:hint="eastAsia" w:ascii="仿宋_GB2312" w:hAnsi="Times New Roman" w:eastAsia="仿宋_GB2312" w:cs="仿宋_GB2312"/>
          <w:spacing w:val="0"/>
          <w:w w:val="100"/>
          <w:sz w:val="32"/>
          <w:szCs w:val="32"/>
          <w:highlight w:val="none"/>
        </w:rPr>
        <w:t>三保</w:t>
      </w:r>
      <w:r>
        <w:rPr>
          <w:rFonts w:hint="eastAsia" w:ascii="仿宋_GB2312" w:hAnsi="Times New Roman" w:eastAsia="仿宋_GB2312" w:cs="仿宋_GB2312"/>
          <w:spacing w:val="0"/>
          <w:w w:val="100"/>
          <w:sz w:val="32"/>
          <w:szCs w:val="32"/>
          <w:highlight w:val="none"/>
          <w:lang w:eastAsia="zh-CN"/>
        </w:rPr>
        <w:t>”</w:t>
      </w:r>
      <w:r>
        <w:rPr>
          <w:rFonts w:hint="eastAsia" w:ascii="仿宋_GB2312" w:hAnsi="Times New Roman" w:eastAsia="仿宋_GB2312" w:cs="仿宋_GB2312"/>
          <w:spacing w:val="0"/>
          <w:w w:val="100"/>
          <w:sz w:val="32"/>
          <w:szCs w:val="32"/>
          <w:highlight w:val="none"/>
        </w:rPr>
        <w:t>支出共计安排</w:t>
      </w:r>
      <w:r>
        <w:rPr>
          <w:rFonts w:hint="eastAsia" w:ascii="仿宋_GB2312" w:hAnsi="Times New Roman" w:eastAsia="仿宋_GB2312" w:cs="仿宋_GB2312"/>
          <w:spacing w:val="0"/>
          <w:w w:val="100"/>
          <w:sz w:val="32"/>
          <w:szCs w:val="32"/>
          <w:highlight w:val="none"/>
          <w:lang w:val="en-US" w:eastAsia="zh-CN"/>
        </w:rPr>
        <w:t>138794</w:t>
      </w:r>
      <w:r>
        <w:rPr>
          <w:rFonts w:hint="eastAsia" w:ascii="仿宋_GB2312" w:hAnsi="Times New Roman" w:eastAsia="仿宋_GB2312" w:cs="仿宋_GB2312"/>
          <w:spacing w:val="0"/>
          <w:w w:val="100"/>
          <w:sz w:val="32"/>
          <w:szCs w:val="32"/>
          <w:highlight w:val="none"/>
        </w:rPr>
        <w:t>万元，其中保民生支出</w:t>
      </w:r>
      <w:r>
        <w:rPr>
          <w:rFonts w:hint="eastAsia" w:ascii="仿宋_GB2312" w:hAnsi="Times New Roman" w:eastAsia="仿宋_GB2312" w:cs="仿宋_GB2312"/>
          <w:spacing w:val="0"/>
          <w:w w:val="100"/>
          <w:sz w:val="32"/>
          <w:szCs w:val="32"/>
          <w:highlight w:val="none"/>
          <w:lang w:val="en-US" w:eastAsia="zh-CN"/>
        </w:rPr>
        <w:t>79378</w:t>
      </w:r>
      <w:r>
        <w:rPr>
          <w:rFonts w:hint="eastAsia" w:ascii="仿宋_GB2312" w:hAnsi="Times New Roman" w:eastAsia="仿宋_GB2312" w:cs="仿宋_GB2312"/>
          <w:spacing w:val="0"/>
          <w:w w:val="100"/>
          <w:sz w:val="32"/>
          <w:szCs w:val="32"/>
          <w:highlight w:val="none"/>
        </w:rPr>
        <w:t>万元，保工资支出</w:t>
      </w:r>
      <w:r>
        <w:rPr>
          <w:rFonts w:hint="eastAsia" w:ascii="仿宋_GB2312" w:hAnsi="Times New Roman" w:eastAsia="仿宋_GB2312" w:cs="仿宋_GB2312"/>
          <w:spacing w:val="0"/>
          <w:w w:val="100"/>
          <w:sz w:val="32"/>
          <w:szCs w:val="32"/>
          <w:highlight w:val="none"/>
          <w:lang w:val="en-US" w:eastAsia="zh-CN"/>
        </w:rPr>
        <w:t>56673</w:t>
      </w:r>
      <w:r>
        <w:rPr>
          <w:rFonts w:hint="eastAsia" w:ascii="仿宋_GB2312" w:hAnsi="Times New Roman" w:eastAsia="仿宋_GB2312" w:cs="仿宋_GB2312"/>
          <w:spacing w:val="0"/>
          <w:w w:val="100"/>
          <w:sz w:val="32"/>
          <w:szCs w:val="32"/>
          <w:highlight w:val="none"/>
        </w:rPr>
        <w:t>万元，保运转支出</w:t>
      </w:r>
      <w:r>
        <w:rPr>
          <w:rFonts w:hint="eastAsia" w:ascii="仿宋_GB2312" w:hAnsi="Times New Roman" w:eastAsia="仿宋_GB2312" w:cs="仿宋_GB2312"/>
          <w:spacing w:val="0"/>
          <w:w w:val="100"/>
          <w:sz w:val="32"/>
          <w:szCs w:val="32"/>
          <w:highlight w:val="none"/>
          <w:lang w:val="en-US" w:eastAsia="zh-CN"/>
        </w:rPr>
        <w:t>2743</w:t>
      </w:r>
      <w:r>
        <w:rPr>
          <w:rFonts w:hint="eastAsia" w:ascii="仿宋_GB2312" w:hAnsi="Times New Roman" w:eastAsia="仿宋_GB2312" w:cs="仿宋_GB2312"/>
          <w:spacing w:val="0"/>
          <w:w w:val="100"/>
          <w:sz w:val="32"/>
          <w:szCs w:val="32"/>
          <w:highlight w:val="none"/>
        </w:rPr>
        <w:t>万元。</w:t>
      </w:r>
    </w:p>
    <w:p w14:paraId="1858D3E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firstLine="643" w:firstLineChars="200"/>
        <w:jc w:val="both"/>
        <w:textAlignment w:val="auto"/>
        <w:rPr>
          <w:rFonts w:ascii="仿宋_GB2312" w:hAnsi="Times New Roman" w:eastAsia="仿宋_GB2312" w:cs="Times New Roman"/>
          <w:b/>
          <w:bCs/>
          <w:spacing w:val="0"/>
          <w:w w:val="100"/>
          <w:sz w:val="32"/>
          <w:szCs w:val="32"/>
          <w:highlight w:val="none"/>
        </w:rPr>
      </w:pPr>
      <w:r>
        <w:rPr>
          <w:rFonts w:hint="eastAsia" w:ascii="仿宋_GB2312" w:hAnsi="Times New Roman" w:eastAsia="仿宋_GB2312" w:cs="Times New Roman"/>
          <w:b/>
          <w:bCs/>
          <w:spacing w:val="0"/>
          <w:w w:val="100"/>
          <w:sz w:val="32"/>
          <w:szCs w:val="32"/>
          <w:highlight w:val="none"/>
        </w:rPr>
        <w:t>政府性基金预算</w:t>
      </w:r>
    </w:p>
    <w:p w14:paraId="6E410170">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Times New Roman" w:eastAsia="仿宋_GB2312" w:cs="仿宋_GB2312"/>
          <w:spacing w:val="0"/>
          <w:w w:val="100"/>
          <w:sz w:val="32"/>
          <w:szCs w:val="32"/>
          <w:highlight w:val="none"/>
        </w:rPr>
      </w:pPr>
      <w:r>
        <w:rPr>
          <w:rFonts w:ascii="仿宋_GB2312" w:hAnsi="Times New Roman" w:eastAsia="仿宋_GB2312" w:cs="仿宋_GB2312"/>
          <w:spacing w:val="0"/>
          <w:w w:val="100"/>
          <w:sz w:val="32"/>
          <w:szCs w:val="32"/>
          <w:highlight w:val="none"/>
        </w:rPr>
        <w:t>202</w:t>
      </w:r>
      <w:r>
        <w:rPr>
          <w:rFonts w:hint="eastAsia" w:ascii="仿宋_GB2312" w:hAnsi="Times New Roman" w:eastAsia="仿宋_GB2312" w:cs="仿宋_GB2312"/>
          <w:spacing w:val="0"/>
          <w:w w:val="100"/>
          <w:sz w:val="32"/>
          <w:szCs w:val="32"/>
          <w:highlight w:val="none"/>
          <w:lang w:val="en-US" w:eastAsia="zh-CN"/>
        </w:rPr>
        <w:t>6</w:t>
      </w:r>
      <w:r>
        <w:rPr>
          <w:rFonts w:hint="eastAsia" w:ascii="仿宋_GB2312" w:hAnsi="Times New Roman" w:eastAsia="仿宋_GB2312" w:cs="仿宋_GB2312"/>
          <w:spacing w:val="0"/>
          <w:w w:val="100"/>
          <w:sz w:val="32"/>
          <w:szCs w:val="32"/>
          <w:highlight w:val="none"/>
        </w:rPr>
        <w:t>年政府性基金收入</w:t>
      </w:r>
      <w:r>
        <w:rPr>
          <w:rFonts w:hint="eastAsia" w:ascii="仿宋_GB2312" w:hAnsi="Times New Roman" w:eastAsia="仿宋_GB2312" w:cs="仿宋_GB2312"/>
          <w:spacing w:val="0"/>
          <w:w w:val="100"/>
          <w:sz w:val="32"/>
          <w:szCs w:val="32"/>
          <w:highlight w:val="none"/>
          <w:lang w:eastAsia="zh-CN"/>
        </w:rPr>
        <w:t>合计</w:t>
      </w:r>
      <w:r>
        <w:rPr>
          <w:rFonts w:hint="eastAsia" w:ascii="仿宋_GB2312" w:hAnsi="Times New Roman" w:eastAsia="仿宋_GB2312" w:cs="仿宋_GB2312"/>
          <w:spacing w:val="0"/>
          <w:w w:val="100"/>
          <w:sz w:val="32"/>
          <w:szCs w:val="32"/>
          <w:highlight w:val="none"/>
          <w:lang w:val="en-US" w:eastAsia="zh-CN"/>
        </w:rPr>
        <w:t>28628</w:t>
      </w:r>
      <w:r>
        <w:rPr>
          <w:rFonts w:hint="eastAsia" w:ascii="仿宋_GB2312" w:hAnsi="Times New Roman" w:eastAsia="仿宋_GB2312" w:cs="仿宋_GB2312"/>
          <w:spacing w:val="0"/>
          <w:w w:val="100"/>
          <w:sz w:val="32"/>
          <w:szCs w:val="32"/>
          <w:highlight w:val="none"/>
        </w:rPr>
        <w:t>万元，其中：上级转移支付收入（</w:t>
      </w:r>
      <w:r>
        <w:rPr>
          <w:rFonts w:hint="eastAsia" w:ascii="仿宋_GB2312" w:hAnsi="Times New Roman" w:eastAsia="仿宋_GB2312" w:cs="仿宋_GB2312"/>
          <w:spacing w:val="0"/>
          <w:w w:val="100"/>
          <w:sz w:val="32"/>
          <w:szCs w:val="32"/>
          <w:highlight w:val="none"/>
          <w:lang w:eastAsia="zh-CN"/>
        </w:rPr>
        <w:t>含</w:t>
      </w:r>
      <w:r>
        <w:rPr>
          <w:rFonts w:hint="eastAsia" w:ascii="仿宋_GB2312" w:hAnsi="Times New Roman" w:eastAsia="仿宋_GB2312" w:cs="仿宋_GB2312"/>
          <w:spacing w:val="0"/>
          <w:w w:val="100"/>
          <w:sz w:val="32"/>
          <w:szCs w:val="32"/>
          <w:highlight w:val="none"/>
        </w:rPr>
        <w:t>市级返还国有土地使用权出让收入）</w:t>
      </w:r>
      <w:r>
        <w:rPr>
          <w:rFonts w:hint="eastAsia" w:ascii="仿宋_GB2312" w:hAnsi="Times New Roman" w:eastAsia="仿宋_GB2312" w:cs="仿宋_GB2312"/>
          <w:spacing w:val="0"/>
          <w:w w:val="100"/>
          <w:sz w:val="32"/>
          <w:szCs w:val="32"/>
          <w:highlight w:val="none"/>
          <w:lang w:val="en-US" w:eastAsia="zh-CN"/>
        </w:rPr>
        <w:t>15765</w:t>
      </w:r>
      <w:r>
        <w:rPr>
          <w:rFonts w:hint="eastAsia" w:ascii="仿宋_GB2312" w:hAnsi="Times New Roman" w:eastAsia="仿宋_GB2312" w:cs="仿宋_GB2312"/>
          <w:spacing w:val="0"/>
          <w:w w:val="100"/>
          <w:sz w:val="32"/>
          <w:szCs w:val="32"/>
          <w:highlight w:val="none"/>
        </w:rPr>
        <w:t>万元</w:t>
      </w:r>
      <w:r>
        <w:rPr>
          <w:rFonts w:hint="eastAsia" w:ascii="仿宋_GB2312" w:hAnsi="Times New Roman" w:eastAsia="仿宋_GB2312" w:cs="仿宋_GB2312"/>
          <w:spacing w:val="0"/>
          <w:w w:val="100"/>
          <w:sz w:val="32"/>
          <w:szCs w:val="32"/>
          <w:highlight w:val="none"/>
          <w:lang w:eastAsia="zh-CN"/>
        </w:rPr>
        <w:t>，其他政府性基金收入</w:t>
      </w:r>
      <w:r>
        <w:rPr>
          <w:rFonts w:hint="eastAsia" w:ascii="仿宋_GB2312" w:hAnsi="Times New Roman" w:eastAsia="仿宋_GB2312" w:cs="仿宋_GB2312"/>
          <w:spacing w:val="0"/>
          <w:w w:val="100"/>
          <w:sz w:val="32"/>
          <w:szCs w:val="32"/>
          <w:highlight w:val="none"/>
          <w:lang w:val="en-US" w:eastAsia="zh-CN"/>
        </w:rPr>
        <w:t>12863万元</w:t>
      </w:r>
      <w:r>
        <w:rPr>
          <w:rFonts w:hint="eastAsia" w:ascii="仿宋_GB2312" w:hAnsi="Times New Roman" w:eastAsia="仿宋_GB2312" w:cs="仿宋_GB2312"/>
          <w:spacing w:val="0"/>
          <w:w w:val="100"/>
          <w:sz w:val="32"/>
          <w:szCs w:val="32"/>
          <w:highlight w:val="none"/>
        </w:rPr>
        <w:t>。</w:t>
      </w:r>
    </w:p>
    <w:p w14:paraId="1FD9616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ascii="仿宋_GB2312" w:hAnsi="Times New Roman" w:eastAsia="仿宋_GB2312" w:cs="Times New Roman"/>
          <w:spacing w:val="0"/>
          <w:w w:val="100"/>
          <w:sz w:val="32"/>
          <w:szCs w:val="32"/>
          <w:highlight w:val="none"/>
        </w:rPr>
      </w:pPr>
      <w:r>
        <w:rPr>
          <w:rFonts w:hint="eastAsia" w:ascii="仿宋_GB2312" w:hAnsi="Times New Roman" w:eastAsia="仿宋_GB2312" w:cs="仿宋_GB2312"/>
          <w:spacing w:val="0"/>
          <w:w w:val="100"/>
          <w:sz w:val="32"/>
          <w:szCs w:val="32"/>
          <w:highlight w:val="none"/>
          <w:lang w:val="en-US" w:eastAsia="zh-CN"/>
        </w:rPr>
        <w:t>2026年</w:t>
      </w:r>
      <w:r>
        <w:rPr>
          <w:rFonts w:hint="eastAsia" w:ascii="仿宋_GB2312" w:hAnsi="Times New Roman" w:eastAsia="仿宋_GB2312" w:cs="仿宋_GB2312"/>
          <w:spacing w:val="0"/>
          <w:w w:val="100"/>
          <w:sz w:val="32"/>
          <w:szCs w:val="32"/>
          <w:highlight w:val="none"/>
        </w:rPr>
        <w:t>政府性基金支出</w:t>
      </w:r>
      <w:r>
        <w:rPr>
          <w:rFonts w:hint="eastAsia" w:ascii="仿宋_GB2312" w:hAnsi="Times New Roman" w:eastAsia="仿宋_GB2312" w:cs="仿宋_GB2312"/>
          <w:spacing w:val="0"/>
          <w:w w:val="100"/>
          <w:sz w:val="32"/>
          <w:szCs w:val="32"/>
          <w:highlight w:val="none"/>
          <w:lang w:eastAsia="zh-CN"/>
        </w:rPr>
        <w:t>合计</w:t>
      </w:r>
      <w:r>
        <w:rPr>
          <w:rFonts w:hint="eastAsia" w:ascii="仿宋_GB2312" w:hAnsi="Times New Roman" w:eastAsia="仿宋_GB2312" w:cs="仿宋_GB2312"/>
          <w:spacing w:val="0"/>
          <w:w w:val="100"/>
          <w:sz w:val="32"/>
          <w:szCs w:val="32"/>
          <w:highlight w:val="none"/>
          <w:lang w:val="en-US" w:eastAsia="zh-CN"/>
        </w:rPr>
        <w:t>28628</w:t>
      </w:r>
      <w:r>
        <w:rPr>
          <w:rFonts w:hint="eastAsia" w:ascii="仿宋_GB2312" w:hAnsi="Times New Roman" w:eastAsia="仿宋_GB2312" w:cs="仿宋_GB2312"/>
          <w:spacing w:val="0"/>
          <w:w w:val="100"/>
          <w:sz w:val="32"/>
          <w:szCs w:val="32"/>
          <w:highlight w:val="none"/>
        </w:rPr>
        <w:t>万元，其中：</w:t>
      </w:r>
      <w:r>
        <w:rPr>
          <w:rFonts w:hint="eastAsia" w:ascii="仿宋_GB2312" w:hAnsi="Times New Roman" w:eastAsia="仿宋_GB2312" w:cs="仿宋_GB2312"/>
          <w:spacing w:val="0"/>
          <w:w w:val="100"/>
          <w:sz w:val="32"/>
          <w:szCs w:val="32"/>
          <w:highlight w:val="none"/>
          <w:lang w:eastAsia="zh-CN"/>
        </w:rPr>
        <w:t>政府性基金支出</w:t>
      </w:r>
      <w:r>
        <w:rPr>
          <w:rFonts w:hint="eastAsia" w:ascii="仿宋_GB2312" w:hAnsi="Times New Roman" w:eastAsia="仿宋_GB2312" w:cs="仿宋_GB2312"/>
          <w:spacing w:val="0"/>
          <w:w w:val="100"/>
          <w:sz w:val="32"/>
          <w:szCs w:val="32"/>
          <w:highlight w:val="none"/>
          <w:lang w:val="en-US" w:eastAsia="zh-CN"/>
        </w:rPr>
        <w:t>26278万元（含债务付息支出10513万元），地方政府专项债务还本支出2350万元</w:t>
      </w:r>
      <w:r>
        <w:rPr>
          <w:rFonts w:hint="eastAsia" w:ascii="仿宋_GB2312" w:hAnsi="Times New Roman" w:eastAsia="仿宋_GB2312" w:cs="仿宋_GB2312"/>
          <w:spacing w:val="0"/>
          <w:w w:val="100"/>
          <w:sz w:val="32"/>
          <w:szCs w:val="32"/>
          <w:highlight w:val="none"/>
        </w:rPr>
        <w:t>。收支相抵，实现收支平衡。</w:t>
      </w:r>
    </w:p>
    <w:p w14:paraId="5DCDB44C">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b/>
          <w:spacing w:val="0"/>
          <w:w w:val="100"/>
          <w:sz w:val="32"/>
          <w:szCs w:val="32"/>
          <w:highlight w:val="none"/>
        </w:rPr>
      </w:pPr>
      <w:r>
        <w:rPr>
          <w:rFonts w:hint="eastAsia" w:ascii="仿宋_GB2312" w:hAnsi="仿宋_GB2312" w:eastAsia="仿宋_GB2312" w:cs="仿宋_GB2312"/>
          <w:b/>
          <w:spacing w:val="0"/>
          <w:w w:val="100"/>
          <w:sz w:val="32"/>
          <w:szCs w:val="32"/>
          <w:highlight w:val="none"/>
        </w:rPr>
        <w:t>社保基金预算</w:t>
      </w:r>
    </w:p>
    <w:p w14:paraId="7E2592C8">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Times New Roman" w:eastAsia="仿宋_GB2312" w:cs="仿宋_GB2312"/>
          <w:spacing w:val="0"/>
          <w:w w:val="100"/>
          <w:sz w:val="32"/>
          <w:szCs w:val="32"/>
          <w:highlight w:val="none"/>
          <w:lang w:eastAsia="zh-CN"/>
        </w:rPr>
      </w:pPr>
      <w:r>
        <w:rPr>
          <w:rFonts w:ascii="仿宋_GB2312" w:hAnsi="Times New Roman" w:eastAsia="仿宋_GB2312" w:cs="仿宋_GB2312"/>
          <w:spacing w:val="0"/>
          <w:w w:val="100"/>
          <w:sz w:val="32"/>
          <w:szCs w:val="32"/>
          <w:highlight w:val="none"/>
        </w:rPr>
        <w:t>202</w:t>
      </w:r>
      <w:r>
        <w:rPr>
          <w:rFonts w:hint="eastAsia" w:ascii="仿宋_GB2312" w:hAnsi="Times New Roman" w:eastAsia="仿宋_GB2312" w:cs="仿宋_GB2312"/>
          <w:spacing w:val="0"/>
          <w:w w:val="100"/>
          <w:sz w:val="32"/>
          <w:szCs w:val="32"/>
          <w:highlight w:val="none"/>
          <w:lang w:val="en-US" w:eastAsia="zh-CN"/>
        </w:rPr>
        <w:t>6</w:t>
      </w:r>
      <w:r>
        <w:rPr>
          <w:rFonts w:hint="eastAsia" w:ascii="仿宋_GB2312" w:hAnsi="Times New Roman" w:eastAsia="仿宋_GB2312" w:cs="仿宋_GB2312"/>
          <w:spacing w:val="0"/>
          <w:w w:val="100"/>
          <w:sz w:val="32"/>
          <w:szCs w:val="32"/>
          <w:highlight w:val="none"/>
        </w:rPr>
        <w:t>年社会保险基金收入</w:t>
      </w:r>
      <w:r>
        <w:rPr>
          <w:rFonts w:hint="eastAsia" w:ascii="仿宋_GB2312" w:hAnsi="Times New Roman" w:eastAsia="仿宋_GB2312" w:cs="仿宋_GB2312"/>
          <w:spacing w:val="0"/>
          <w:w w:val="100"/>
          <w:sz w:val="32"/>
          <w:szCs w:val="32"/>
          <w:highlight w:val="none"/>
          <w:lang w:val="en-US" w:eastAsia="zh-CN"/>
        </w:rPr>
        <w:t>78354</w:t>
      </w:r>
      <w:r>
        <w:rPr>
          <w:rFonts w:hint="eastAsia" w:ascii="仿宋_GB2312" w:hAnsi="Times New Roman" w:eastAsia="仿宋_GB2312" w:cs="仿宋_GB2312"/>
          <w:spacing w:val="0"/>
          <w:w w:val="100"/>
          <w:sz w:val="32"/>
          <w:szCs w:val="32"/>
          <w:highlight w:val="none"/>
        </w:rPr>
        <w:t>万元，</w:t>
      </w:r>
      <w:r>
        <w:rPr>
          <w:rFonts w:hint="eastAsia" w:ascii="仿宋_GB2312" w:hAnsi="Times New Roman" w:eastAsia="仿宋_GB2312" w:cs="仿宋_GB2312"/>
          <w:spacing w:val="0"/>
          <w:w w:val="100"/>
          <w:sz w:val="32"/>
          <w:szCs w:val="32"/>
          <w:highlight w:val="none"/>
          <w:lang w:eastAsia="zh-CN"/>
        </w:rPr>
        <w:t>其中：</w:t>
      </w:r>
      <w:r>
        <w:rPr>
          <w:rFonts w:hint="eastAsia" w:ascii="仿宋_GB2312" w:hAnsi="Times New Roman" w:eastAsia="仿宋_GB2312" w:cs="仿宋_GB2312"/>
          <w:spacing w:val="0"/>
          <w:w w:val="100"/>
          <w:sz w:val="32"/>
          <w:szCs w:val="32"/>
          <w:highlight w:val="none"/>
        </w:rPr>
        <w:t>城乡居民基本养老保险基金收入</w:t>
      </w:r>
      <w:r>
        <w:rPr>
          <w:rFonts w:hint="eastAsia" w:ascii="仿宋_GB2312" w:hAnsi="Times New Roman" w:eastAsia="仿宋_GB2312" w:cs="仿宋_GB2312"/>
          <w:spacing w:val="0"/>
          <w:w w:val="100"/>
          <w:sz w:val="32"/>
          <w:szCs w:val="32"/>
          <w:highlight w:val="none"/>
          <w:lang w:val="en-US" w:eastAsia="zh-CN"/>
        </w:rPr>
        <w:t>34392</w:t>
      </w:r>
      <w:r>
        <w:rPr>
          <w:rFonts w:hint="eastAsia" w:ascii="仿宋_GB2312" w:hAnsi="Times New Roman" w:eastAsia="仿宋_GB2312" w:cs="仿宋_GB2312"/>
          <w:spacing w:val="0"/>
          <w:w w:val="100"/>
          <w:sz w:val="32"/>
          <w:szCs w:val="32"/>
          <w:highlight w:val="none"/>
        </w:rPr>
        <w:t>万元</w:t>
      </w:r>
      <w:r>
        <w:rPr>
          <w:rFonts w:hint="eastAsia" w:ascii="仿宋_GB2312" w:hAnsi="Times New Roman" w:eastAsia="仿宋_GB2312" w:cs="仿宋_GB2312"/>
          <w:spacing w:val="0"/>
          <w:w w:val="100"/>
          <w:sz w:val="32"/>
          <w:szCs w:val="32"/>
          <w:highlight w:val="none"/>
          <w:lang w:eastAsia="zh-CN"/>
        </w:rPr>
        <w:t>，</w:t>
      </w:r>
      <w:r>
        <w:rPr>
          <w:rFonts w:hint="eastAsia" w:ascii="仿宋_GB2312" w:hAnsi="Times New Roman" w:eastAsia="仿宋_GB2312" w:cs="仿宋_GB2312"/>
          <w:spacing w:val="0"/>
          <w:w w:val="100"/>
          <w:sz w:val="32"/>
          <w:szCs w:val="32"/>
          <w:highlight w:val="none"/>
        </w:rPr>
        <w:t>机关事业单位养老保险基金收入</w:t>
      </w:r>
      <w:r>
        <w:rPr>
          <w:rFonts w:hint="eastAsia" w:ascii="仿宋_GB2312" w:hAnsi="Times New Roman" w:eastAsia="仿宋_GB2312" w:cs="仿宋_GB2312"/>
          <w:spacing w:val="0"/>
          <w:w w:val="100"/>
          <w:sz w:val="32"/>
          <w:szCs w:val="32"/>
          <w:highlight w:val="none"/>
          <w:lang w:val="en-US" w:eastAsia="zh-CN"/>
        </w:rPr>
        <w:t>43962</w:t>
      </w:r>
      <w:r>
        <w:rPr>
          <w:rFonts w:hint="eastAsia" w:ascii="仿宋_GB2312" w:hAnsi="Times New Roman" w:eastAsia="仿宋_GB2312" w:cs="仿宋_GB2312"/>
          <w:spacing w:val="0"/>
          <w:w w:val="100"/>
          <w:sz w:val="32"/>
          <w:szCs w:val="32"/>
          <w:highlight w:val="none"/>
        </w:rPr>
        <w:t>万元</w:t>
      </w:r>
      <w:r>
        <w:rPr>
          <w:rFonts w:hint="eastAsia" w:ascii="仿宋_GB2312" w:hAnsi="Times New Roman" w:eastAsia="仿宋_GB2312" w:cs="仿宋_GB2312"/>
          <w:spacing w:val="0"/>
          <w:w w:val="100"/>
          <w:sz w:val="32"/>
          <w:szCs w:val="32"/>
          <w:highlight w:val="none"/>
          <w:lang w:eastAsia="zh-CN"/>
        </w:rPr>
        <w:t>。</w:t>
      </w:r>
    </w:p>
    <w:p w14:paraId="6BAFAC4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Times New Roman" w:eastAsia="仿宋_GB2312" w:cs="仿宋_GB2312"/>
          <w:spacing w:val="0"/>
          <w:w w:val="100"/>
          <w:sz w:val="32"/>
          <w:szCs w:val="32"/>
          <w:highlight w:val="none"/>
          <w:lang w:eastAsia="zh-CN"/>
        </w:rPr>
      </w:pPr>
      <w:r>
        <w:rPr>
          <w:rFonts w:hint="eastAsia" w:ascii="仿宋_GB2312" w:hAnsi="Times New Roman" w:eastAsia="仿宋_GB2312" w:cs="仿宋_GB2312"/>
          <w:spacing w:val="0"/>
          <w:w w:val="100"/>
          <w:sz w:val="32"/>
          <w:szCs w:val="32"/>
          <w:highlight w:val="none"/>
          <w:lang w:val="en-US" w:eastAsia="zh-CN"/>
        </w:rPr>
        <w:t>2026年社会保险基金</w:t>
      </w:r>
      <w:r>
        <w:rPr>
          <w:rFonts w:hint="eastAsia" w:ascii="仿宋_GB2312" w:hAnsi="Times New Roman" w:eastAsia="仿宋_GB2312" w:cs="仿宋_GB2312"/>
          <w:spacing w:val="0"/>
          <w:w w:val="100"/>
          <w:sz w:val="32"/>
          <w:szCs w:val="32"/>
          <w:highlight w:val="none"/>
        </w:rPr>
        <w:t>支出</w:t>
      </w:r>
      <w:r>
        <w:rPr>
          <w:rFonts w:hint="eastAsia" w:ascii="仿宋_GB2312" w:hAnsi="Times New Roman" w:eastAsia="仿宋_GB2312" w:cs="仿宋_GB2312"/>
          <w:spacing w:val="0"/>
          <w:w w:val="100"/>
          <w:sz w:val="32"/>
          <w:szCs w:val="32"/>
          <w:highlight w:val="none"/>
          <w:lang w:val="en-US" w:eastAsia="zh-CN"/>
        </w:rPr>
        <w:t>60722</w:t>
      </w:r>
      <w:r>
        <w:rPr>
          <w:rFonts w:hint="eastAsia" w:ascii="仿宋_GB2312" w:hAnsi="Times New Roman" w:eastAsia="仿宋_GB2312" w:cs="仿宋_GB2312"/>
          <w:spacing w:val="0"/>
          <w:w w:val="100"/>
          <w:sz w:val="32"/>
          <w:szCs w:val="32"/>
          <w:highlight w:val="none"/>
        </w:rPr>
        <w:t>万元。其中：城乡居民基本养老保险基金支出</w:t>
      </w:r>
      <w:r>
        <w:rPr>
          <w:rFonts w:hint="eastAsia" w:ascii="仿宋_GB2312" w:hAnsi="Times New Roman" w:eastAsia="仿宋_GB2312" w:cs="仿宋_GB2312"/>
          <w:spacing w:val="0"/>
          <w:w w:val="100"/>
          <w:sz w:val="32"/>
          <w:szCs w:val="32"/>
          <w:highlight w:val="none"/>
          <w:lang w:val="en-US" w:eastAsia="zh-CN"/>
        </w:rPr>
        <w:t>17568</w:t>
      </w:r>
      <w:r>
        <w:rPr>
          <w:rFonts w:hint="eastAsia" w:ascii="仿宋_GB2312" w:hAnsi="Times New Roman" w:eastAsia="仿宋_GB2312" w:cs="仿宋_GB2312"/>
          <w:spacing w:val="0"/>
          <w:w w:val="100"/>
          <w:sz w:val="32"/>
          <w:szCs w:val="32"/>
          <w:highlight w:val="none"/>
        </w:rPr>
        <w:t>万元</w:t>
      </w:r>
      <w:r>
        <w:rPr>
          <w:rFonts w:hint="eastAsia" w:ascii="仿宋_GB2312" w:hAnsi="Times New Roman" w:eastAsia="仿宋_GB2312" w:cs="仿宋_GB2312"/>
          <w:spacing w:val="0"/>
          <w:w w:val="100"/>
          <w:sz w:val="32"/>
          <w:szCs w:val="32"/>
          <w:highlight w:val="none"/>
          <w:lang w:eastAsia="zh-CN"/>
        </w:rPr>
        <w:t>，</w:t>
      </w:r>
      <w:r>
        <w:rPr>
          <w:rFonts w:hint="eastAsia" w:ascii="仿宋_GB2312" w:hAnsi="Times New Roman" w:eastAsia="仿宋_GB2312" w:cs="仿宋_GB2312"/>
          <w:spacing w:val="0"/>
          <w:w w:val="100"/>
          <w:sz w:val="32"/>
          <w:szCs w:val="32"/>
          <w:highlight w:val="none"/>
        </w:rPr>
        <w:t>机关事业单位养老保险基金支出</w:t>
      </w:r>
      <w:r>
        <w:rPr>
          <w:rFonts w:hint="eastAsia" w:ascii="仿宋_GB2312" w:hAnsi="Times New Roman" w:eastAsia="仿宋_GB2312" w:cs="仿宋_GB2312"/>
          <w:spacing w:val="0"/>
          <w:w w:val="100"/>
          <w:sz w:val="32"/>
          <w:szCs w:val="32"/>
          <w:highlight w:val="none"/>
          <w:lang w:val="en-US" w:eastAsia="zh-CN"/>
        </w:rPr>
        <w:t>43154</w:t>
      </w:r>
      <w:r>
        <w:rPr>
          <w:rFonts w:hint="eastAsia" w:ascii="仿宋_GB2312" w:hAnsi="Times New Roman" w:eastAsia="仿宋_GB2312" w:cs="仿宋_GB2312"/>
          <w:spacing w:val="0"/>
          <w:w w:val="100"/>
          <w:sz w:val="32"/>
          <w:szCs w:val="32"/>
          <w:highlight w:val="none"/>
        </w:rPr>
        <w:t>万元</w:t>
      </w:r>
      <w:r>
        <w:rPr>
          <w:rFonts w:hint="eastAsia" w:ascii="仿宋_GB2312" w:hAnsi="Times New Roman" w:eastAsia="仿宋_GB2312" w:cs="仿宋_GB2312"/>
          <w:spacing w:val="0"/>
          <w:w w:val="100"/>
          <w:sz w:val="32"/>
          <w:szCs w:val="32"/>
          <w:highlight w:val="none"/>
          <w:lang w:eastAsia="zh-CN"/>
        </w:rPr>
        <w:t>。</w:t>
      </w:r>
    </w:p>
    <w:p w14:paraId="19B57DB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ascii="仿宋_GB2312" w:hAnsi="Times New Roman" w:eastAsia="仿宋_GB2312" w:cs="Times New Roman"/>
          <w:spacing w:val="0"/>
          <w:w w:val="100"/>
          <w:sz w:val="32"/>
          <w:szCs w:val="32"/>
          <w:highlight w:val="none"/>
        </w:rPr>
      </w:pPr>
      <w:r>
        <w:rPr>
          <w:rFonts w:hint="eastAsia" w:ascii="仿宋_GB2312" w:hAnsi="Times New Roman" w:eastAsia="仿宋_GB2312" w:cs="仿宋_GB2312"/>
          <w:spacing w:val="0"/>
          <w:w w:val="100"/>
          <w:sz w:val="32"/>
          <w:szCs w:val="32"/>
          <w:highlight w:val="none"/>
        </w:rPr>
        <w:t>收支相抵，社保基金本年收支结余</w:t>
      </w:r>
      <w:r>
        <w:rPr>
          <w:rFonts w:hint="eastAsia" w:ascii="仿宋_GB2312" w:hAnsi="Times New Roman" w:eastAsia="仿宋_GB2312" w:cs="仿宋_GB2312"/>
          <w:spacing w:val="0"/>
          <w:w w:val="100"/>
          <w:sz w:val="32"/>
          <w:szCs w:val="32"/>
          <w:highlight w:val="none"/>
          <w:lang w:val="en-US" w:eastAsia="zh-CN"/>
        </w:rPr>
        <w:t>17632</w:t>
      </w:r>
      <w:r>
        <w:rPr>
          <w:rFonts w:hint="eastAsia" w:ascii="仿宋_GB2312" w:hAnsi="Times New Roman" w:eastAsia="仿宋_GB2312" w:cs="仿宋_GB2312"/>
          <w:spacing w:val="0"/>
          <w:w w:val="100"/>
          <w:sz w:val="32"/>
          <w:szCs w:val="32"/>
          <w:highlight w:val="none"/>
        </w:rPr>
        <w:t>万元。</w:t>
      </w:r>
    </w:p>
    <w:p w14:paraId="3ED0310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b/>
          <w:spacing w:val="0"/>
          <w:w w:val="100"/>
          <w:sz w:val="32"/>
          <w:szCs w:val="32"/>
          <w:highlight w:val="none"/>
        </w:rPr>
      </w:pPr>
      <w:r>
        <w:rPr>
          <w:rFonts w:hint="eastAsia" w:ascii="仿宋_GB2312" w:hAnsi="仿宋_GB2312" w:eastAsia="仿宋_GB2312" w:cs="仿宋_GB2312"/>
          <w:b/>
          <w:spacing w:val="0"/>
          <w:w w:val="100"/>
          <w:sz w:val="32"/>
          <w:szCs w:val="32"/>
          <w:highlight w:val="none"/>
        </w:rPr>
        <w:t>国有资本经营预算</w:t>
      </w:r>
    </w:p>
    <w:p w14:paraId="097F6C7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ascii="仿宋_GB2312" w:hAnsi="Times New Roman" w:eastAsia="仿宋_GB2312" w:cs="Times New Roman"/>
          <w:spacing w:val="0"/>
          <w:w w:val="100"/>
          <w:sz w:val="32"/>
          <w:szCs w:val="32"/>
          <w:highlight w:val="none"/>
        </w:rPr>
      </w:pPr>
      <w:r>
        <w:rPr>
          <w:rFonts w:hint="eastAsia" w:ascii="仿宋_GB2312" w:hAnsi="Times New Roman" w:eastAsia="仿宋_GB2312" w:cs="Times New Roman"/>
          <w:spacing w:val="0"/>
          <w:w w:val="100"/>
          <w:sz w:val="32"/>
          <w:szCs w:val="32"/>
          <w:highlight w:val="none"/>
        </w:rPr>
        <w:t>202</w:t>
      </w:r>
      <w:r>
        <w:rPr>
          <w:rFonts w:hint="eastAsia" w:ascii="仿宋_GB2312" w:hAnsi="Times New Roman" w:eastAsia="仿宋_GB2312" w:cs="Times New Roman"/>
          <w:spacing w:val="0"/>
          <w:w w:val="100"/>
          <w:sz w:val="32"/>
          <w:szCs w:val="32"/>
          <w:highlight w:val="none"/>
          <w:lang w:val="en-US" w:eastAsia="zh-CN"/>
        </w:rPr>
        <w:t>6</w:t>
      </w:r>
      <w:r>
        <w:rPr>
          <w:rFonts w:hint="eastAsia" w:ascii="仿宋_GB2312" w:hAnsi="Times New Roman" w:eastAsia="仿宋_GB2312" w:cs="Times New Roman"/>
          <w:spacing w:val="0"/>
          <w:w w:val="100"/>
          <w:sz w:val="32"/>
          <w:szCs w:val="32"/>
          <w:highlight w:val="none"/>
        </w:rPr>
        <w:t>年国有资本经营预算收入</w:t>
      </w:r>
      <w:r>
        <w:rPr>
          <w:rFonts w:hint="eastAsia" w:ascii="仿宋_GB2312" w:hAnsi="Times New Roman" w:eastAsia="仿宋_GB2312" w:cs="Times New Roman"/>
          <w:spacing w:val="0"/>
          <w:w w:val="100"/>
          <w:sz w:val="32"/>
          <w:szCs w:val="32"/>
          <w:highlight w:val="none"/>
          <w:lang w:val="en-US" w:eastAsia="zh-CN"/>
        </w:rPr>
        <w:t>856</w:t>
      </w:r>
      <w:r>
        <w:rPr>
          <w:rFonts w:hint="eastAsia" w:ascii="仿宋_GB2312" w:hAnsi="Times New Roman" w:eastAsia="仿宋_GB2312" w:cs="Times New Roman"/>
          <w:spacing w:val="0"/>
          <w:w w:val="100"/>
          <w:sz w:val="32"/>
          <w:szCs w:val="32"/>
          <w:highlight w:val="none"/>
        </w:rPr>
        <w:t>万元。其中：益阳市创鑫建设投资有限公司</w:t>
      </w:r>
      <w:r>
        <w:rPr>
          <w:rFonts w:hint="eastAsia" w:ascii="仿宋_GB2312" w:hAnsi="Times New Roman" w:eastAsia="仿宋_GB2312" w:cs="Times New Roman"/>
          <w:spacing w:val="0"/>
          <w:w w:val="100"/>
          <w:sz w:val="32"/>
          <w:szCs w:val="32"/>
          <w:highlight w:val="none"/>
          <w:lang w:val="en-US" w:eastAsia="zh-CN"/>
        </w:rPr>
        <w:t>295</w:t>
      </w:r>
      <w:r>
        <w:rPr>
          <w:rFonts w:hint="eastAsia" w:ascii="仿宋_GB2312" w:hAnsi="Times New Roman" w:eastAsia="仿宋_GB2312" w:cs="Times New Roman"/>
          <w:spacing w:val="0"/>
          <w:w w:val="100"/>
          <w:sz w:val="32"/>
          <w:szCs w:val="32"/>
          <w:highlight w:val="none"/>
        </w:rPr>
        <w:t>万元，益阳市资阳区发展集团有限公司</w:t>
      </w:r>
      <w:r>
        <w:rPr>
          <w:rFonts w:hint="eastAsia" w:ascii="仿宋_GB2312" w:hAnsi="Times New Roman" w:eastAsia="仿宋_GB2312" w:cs="Times New Roman"/>
          <w:spacing w:val="0"/>
          <w:w w:val="100"/>
          <w:sz w:val="32"/>
          <w:szCs w:val="32"/>
          <w:highlight w:val="none"/>
          <w:lang w:val="en-US" w:eastAsia="zh-CN"/>
        </w:rPr>
        <w:t>561</w:t>
      </w:r>
      <w:r>
        <w:rPr>
          <w:rFonts w:hint="eastAsia" w:ascii="仿宋_GB2312" w:hAnsi="Times New Roman" w:eastAsia="仿宋_GB2312" w:cs="Times New Roman"/>
          <w:spacing w:val="0"/>
          <w:w w:val="100"/>
          <w:sz w:val="32"/>
          <w:szCs w:val="32"/>
          <w:highlight w:val="none"/>
        </w:rPr>
        <w:t>万元。按照收支平衡的原则，202</w:t>
      </w:r>
      <w:r>
        <w:rPr>
          <w:rFonts w:hint="eastAsia" w:ascii="仿宋_GB2312" w:hAnsi="Times New Roman" w:eastAsia="仿宋_GB2312" w:cs="Times New Roman"/>
          <w:spacing w:val="0"/>
          <w:w w:val="100"/>
          <w:sz w:val="32"/>
          <w:szCs w:val="32"/>
          <w:highlight w:val="none"/>
          <w:lang w:val="en-US" w:eastAsia="zh-CN"/>
        </w:rPr>
        <w:t>5</w:t>
      </w:r>
      <w:r>
        <w:rPr>
          <w:rFonts w:hint="eastAsia" w:ascii="仿宋_GB2312" w:hAnsi="Times New Roman" w:eastAsia="仿宋_GB2312" w:cs="Times New Roman"/>
          <w:spacing w:val="0"/>
          <w:w w:val="100"/>
          <w:sz w:val="32"/>
          <w:szCs w:val="32"/>
          <w:highlight w:val="none"/>
        </w:rPr>
        <w:t>年支出预算安排其他支出</w:t>
      </w:r>
      <w:r>
        <w:rPr>
          <w:rFonts w:hint="eastAsia" w:ascii="仿宋_GB2312" w:hAnsi="Times New Roman" w:eastAsia="仿宋_GB2312" w:cs="Times New Roman"/>
          <w:spacing w:val="0"/>
          <w:w w:val="100"/>
          <w:sz w:val="32"/>
          <w:szCs w:val="32"/>
          <w:highlight w:val="none"/>
          <w:lang w:val="en-US" w:eastAsia="zh-CN"/>
        </w:rPr>
        <w:t>856</w:t>
      </w:r>
      <w:r>
        <w:rPr>
          <w:rFonts w:hint="eastAsia" w:ascii="仿宋_GB2312" w:hAnsi="Times New Roman" w:eastAsia="仿宋_GB2312" w:cs="Times New Roman"/>
          <w:spacing w:val="0"/>
          <w:w w:val="100"/>
          <w:sz w:val="32"/>
          <w:szCs w:val="32"/>
          <w:highlight w:val="none"/>
        </w:rPr>
        <w:t>万元。</w:t>
      </w:r>
    </w:p>
    <w:p w14:paraId="1B1B3E8F">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ascii="楷体_GB2312" w:hAnsi="Times New Roman" w:eastAsia="楷体_GB2312" w:cs="Times New Roman"/>
          <w:b/>
          <w:bCs/>
          <w:spacing w:val="0"/>
          <w:w w:val="100"/>
          <w:sz w:val="32"/>
          <w:szCs w:val="32"/>
          <w:highlight w:val="none"/>
        </w:rPr>
      </w:pPr>
      <w:r>
        <w:rPr>
          <w:rFonts w:hint="eastAsia" w:ascii="楷体_GB2312" w:hAnsi="Times New Roman" w:eastAsia="楷体_GB2312" w:cs="Times New Roman"/>
          <w:b/>
          <w:bCs/>
          <w:spacing w:val="0"/>
          <w:w w:val="100"/>
          <w:sz w:val="32"/>
          <w:szCs w:val="32"/>
          <w:highlight w:val="none"/>
        </w:rPr>
        <w:t>（二）202</w:t>
      </w:r>
      <w:r>
        <w:rPr>
          <w:rFonts w:hint="eastAsia" w:ascii="楷体_GB2312" w:hAnsi="Times New Roman" w:eastAsia="楷体_GB2312" w:cs="Times New Roman"/>
          <w:b/>
          <w:bCs/>
          <w:spacing w:val="0"/>
          <w:w w:val="100"/>
          <w:sz w:val="32"/>
          <w:szCs w:val="32"/>
          <w:highlight w:val="none"/>
          <w:lang w:val="en-US" w:eastAsia="zh-CN"/>
        </w:rPr>
        <w:t>6</w:t>
      </w:r>
      <w:r>
        <w:rPr>
          <w:rFonts w:hint="eastAsia" w:ascii="楷体_GB2312" w:hAnsi="Times New Roman" w:eastAsia="楷体_GB2312" w:cs="Times New Roman"/>
          <w:b/>
          <w:bCs/>
          <w:spacing w:val="0"/>
          <w:w w:val="100"/>
          <w:sz w:val="32"/>
          <w:szCs w:val="32"/>
          <w:highlight w:val="none"/>
        </w:rPr>
        <w:t>年财政预算支出重点及财政工作思路</w:t>
      </w:r>
    </w:p>
    <w:p w14:paraId="68D381F6">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ascii="仿宋_GB2312" w:hAnsi="Times New Roman" w:eastAsia="仿宋_GB2312" w:cs="Times New Roman"/>
          <w:spacing w:val="0"/>
          <w:w w:val="100"/>
          <w:sz w:val="32"/>
          <w:szCs w:val="32"/>
          <w:highlight w:val="none"/>
        </w:rPr>
      </w:pPr>
      <w:r>
        <w:rPr>
          <w:rFonts w:hint="eastAsia" w:ascii="仿宋_GB2312" w:hAnsi="Times New Roman" w:eastAsia="仿宋_GB2312" w:cs="Times New Roman"/>
          <w:spacing w:val="0"/>
          <w:w w:val="100"/>
          <w:sz w:val="32"/>
          <w:szCs w:val="32"/>
          <w:highlight w:val="none"/>
        </w:rPr>
        <w:t>202</w:t>
      </w:r>
      <w:r>
        <w:rPr>
          <w:rFonts w:hint="eastAsia" w:ascii="仿宋_GB2312" w:hAnsi="Times New Roman" w:eastAsia="仿宋_GB2312" w:cs="Times New Roman"/>
          <w:spacing w:val="0"/>
          <w:w w:val="100"/>
          <w:sz w:val="32"/>
          <w:szCs w:val="32"/>
          <w:highlight w:val="none"/>
          <w:lang w:val="en-US" w:eastAsia="zh-CN"/>
        </w:rPr>
        <w:t>6</w:t>
      </w:r>
      <w:r>
        <w:rPr>
          <w:rFonts w:hint="eastAsia" w:ascii="仿宋_GB2312" w:hAnsi="Times New Roman" w:eastAsia="仿宋_GB2312" w:cs="Times New Roman"/>
          <w:spacing w:val="0"/>
          <w:w w:val="100"/>
          <w:sz w:val="32"/>
          <w:szCs w:val="32"/>
          <w:highlight w:val="none"/>
        </w:rPr>
        <w:t>年财政工作将紧紧围绕区委的决策部署，重点做好以下几个方面的工作：</w:t>
      </w:r>
    </w:p>
    <w:p w14:paraId="549604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_GB2312" w:hAnsi="仿宋_GB2312" w:eastAsia="仿宋_GB2312" w:cs="仿宋_GB2312"/>
          <w:b w:val="0"/>
          <w:bCs w:val="0"/>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1. 以零基预算为引擎，驱动支出结构优化。持续提高人员保障标准。</w:t>
      </w:r>
      <w:r>
        <w:rPr>
          <w:rFonts w:hint="eastAsia" w:ascii="仿宋_GB2312" w:hAnsi="仿宋_GB2312" w:eastAsia="仿宋_GB2312" w:cs="仿宋_GB2312"/>
          <w:spacing w:val="0"/>
          <w:w w:val="100"/>
          <w:sz w:val="32"/>
          <w:szCs w:val="32"/>
          <w:highlight w:val="none"/>
          <w:lang w:val="en-US" w:eastAsia="zh-CN"/>
        </w:rPr>
        <w:t>差额、自收自支人员工资福利支出财政负担比例由80%提高至100%，新增财政支出1700万元。至此，全区差额、自收自支人员工资实现全额保障。</w:t>
      </w:r>
      <w:r>
        <w:rPr>
          <w:rFonts w:hint="eastAsia" w:ascii="仿宋_GB2312" w:hAnsi="仿宋_GB2312" w:eastAsia="仿宋_GB2312" w:cs="仿宋_GB2312"/>
          <w:b/>
          <w:bCs/>
          <w:spacing w:val="0"/>
          <w:w w:val="100"/>
          <w:sz w:val="32"/>
          <w:szCs w:val="32"/>
          <w:highlight w:val="none"/>
          <w:lang w:val="en-US" w:eastAsia="zh-CN"/>
        </w:rPr>
        <w:t>提高公务费标准1000元/人，</w:t>
      </w:r>
      <w:r>
        <w:rPr>
          <w:rFonts w:hint="eastAsia" w:ascii="仿宋_GB2312" w:hAnsi="仿宋_GB2312" w:eastAsia="仿宋_GB2312" w:cs="仿宋_GB2312"/>
          <w:spacing w:val="0"/>
          <w:w w:val="100"/>
          <w:sz w:val="32"/>
          <w:szCs w:val="32"/>
          <w:highlight w:val="none"/>
          <w:lang w:val="en-US" w:eastAsia="zh-CN"/>
        </w:rPr>
        <w:t>新增财政支出300万元。</w:t>
      </w:r>
      <w:r>
        <w:rPr>
          <w:rFonts w:hint="eastAsia" w:ascii="仿宋_GB2312" w:hAnsi="仿宋_GB2312" w:eastAsia="仿宋_GB2312" w:cs="仿宋_GB2312"/>
          <w:b/>
          <w:bCs/>
          <w:spacing w:val="0"/>
          <w:w w:val="100"/>
          <w:sz w:val="32"/>
          <w:szCs w:val="32"/>
          <w:highlight w:val="none"/>
          <w:lang w:val="en-US" w:eastAsia="zh-CN"/>
        </w:rPr>
        <w:t>完善医疗卫生机构保障标准，</w:t>
      </w:r>
      <w:r>
        <w:rPr>
          <w:rFonts w:hint="eastAsia" w:ascii="仿宋_GB2312" w:hAnsi="仿宋_GB2312" w:eastAsia="仿宋_GB2312" w:cs="仿宋_GB2312"/>
          <w:spacing w:val="0"/>
          <w:w w:val="100"/>
          <w:sz w:val="32"/>
          <w:szCs w:val="32"/>
          <w:highlight w:val="none"/>
          <w:lang w:val="en-US" w:eastAsia="zh-CN"/>
        </w:rPr>
        <w:t>基层医疗机构按照5万元/人的包干保障方式不变，区直三院调整经费保障标准，人民医院原在编在岗人员按1万元/人标准安排，血防合并人员全额预算，增加411万元；妇幼保健院、中医医院标准为4.6万元/人，增加454万元。</w:t>
      </w:r>
      <w:r>
        <w:rPr>
          <w:rFonts w:hint="eastAsia" w:ascii="仿宋_GB2312" w:hAnsi="仿宋_GB2312" w:eastAsia="仿宋_GB2312" w:cs="仿宋_GB2312"/>
          <w:b/>
          <w:bCs/>
          <w:spacing w:val="0"/>
          <w:w w:val="100"/>
          <w:sz w:val="32"/>
          <w:szCs w:val="32"/>
          <w:highlight w:val="none"/>
          <w:lang w:val="en-US" w:eastAsia="zh-CN"/>
        </w:rPr>
        <w:t>兜底保障机关事业单位养老保险待遇，</w:t>
      </w:r>
      <w:r>
        <w:rPr>
          <w:rFonts w:hint="eastAsia" w:ascii="仿宋_GB2312" w:hAnsi="仿宋_GB2312" w:eastAsia="仿宋_GB2312" w:cs="仿宋_GB2312"/>
          <w:spacing w:val="0"/>
          <w:w w:val="100"/>
          <w:sz w:val="32"/>
          <w:szCs w:val="32"/>
          <w:highlight w:val="none"/>
          <w:lang w:val="en-US" w:eastAsia="zh-CN"/>
        </w:rPr>
        <w:t>2026年预算安排机关事业单位养老保险基金补助32904万元，确保养老保险待遇及时足额发放。</w:t>
      </w:r>
      <w:r>
        <w:rPr>
          <w:rFonts w:hint="eastAsia" w:ascii="仿宋_GB2312" w:hAnsi="仿宋_GB2312" w:eastAsia="仿宋_GB2312" w:cs="仿宋_GB2312"/>
          <w:b/>
          <w:bCs/>
          <w:spacing w:val="0"/>
          <w:w w:val="100"/>
          <w:sz w:val="32"/>
          <w:szCs w:val="32"/>
          <w:highlight w:val="none"/>
          <w:lang w:val="en-US" w:eastAsia="zh-CN"/>
        </w:rPr>
        <w:t>完善专项资金调整机制，</w:t>
      </w:r>
      <w:r>
        <w:rPr>
          <w:rFonts w:hint="eastAsia" w:ascii="仿宋_GB2312" w:hAnsi="仿宋_GB2312" w:eastAsia="仿宋_GB2312" w:cs="仿宋_GB2312"/>
          <w:b w:val="0"/>
          <w:bCs w:val="0"/>
          <w:spacing w:val="0"/>
          <w:w w:val="100"/>
          <w:sz w:val="32"/>
          <w:szCs w:val="32"/>
          <w:highlight w:val="none"/>
          <w:lang w:val="en-US" w:eastAsia="zh-CN"/>
        </w:rPr>
        <w:t>2026年拟安排项目373个，项目数量较上年减少129个，减少26%。2026年项目预算拟安排财政资金128081万元，其中优化减少调整项目174个，压减金额6033万元；优化增加（含据实核算调增）调整项目78个，调增金额3755万元；打破基数，退出项目36个3047万元；按政策新增专项16个2559万元。财政专项资金相较于上年减少2766万元，达到集中财力办大事的效果。</w:t>
      </w:r>
    </w:p>
    <w:p w14:paraId="723EBE04">
      <w:pPr>
        <w:keepNext w:val="0"/>
        <w:keepLines w:val="0"/>
        <w:pageBreakBefore w:val="0"/>
        <w:widowControl w:val="0"/>
        <w:numPr>
          <w:ilvl w:val="0"/>
          <w:numId w:val="0"/>
        </w:numPr>
        <w:kinsoku/>
        <w:wordWrap/>
        <w:overflowPunct/>
        <w:topLinePunct w:val="0"/>
        <w:bidi w:val="0"/>
        <w:snapToGrid/>
        <w:spacing w:line="600" w:lineRule="exact"/>
        <w:ind w:left="0" w:leftChars="0" w:right="0" w:firstLine="643" w:firstLineChars="200"/>
        <w:jc w:val="both"/>
        <w:textAlignment w:val="auto"/>
        <w:rPr>
          <w:rFonts w:hint="eastAsia" w:ascii="仿宋_GB2312" w:hAnsi="仿宋_GB2312" w:eastAsia="仿宋_GB2312" w:cs="仿宋_GB2312"/>
          <w:b w:val="0"/>
          <w:bCs w:val="0"/>
          <w:spacing w:val="0"/>
          <w:w w:val="100"/>
          <w:sz w:val="32"/>
          <w:szCs w:val="32"/>
          <w:highlight w:val="none"/>
          <w:lang w:val="en-US" w:eastAsia="zh-CN"/>
        </w:rPr>
      </w:pPr>
      <w:r>
        <w:rPr>
          <w:rFonts w:hint="eastAsia" w:ascii="仿宋_GB2312" w:hAnsi="仿宋_GB2312" w:eastAsia="仿宋_GB2312" w:cs="仿宋_GB2312"/>
          <w:b/>
          <w:bCs/>
          <w:spacing w:val="0"/>
          <w:w w:val="100"/>
          <w:kern w:val="2"/>
          <w:sz w:val="32"/>
          <w:szCs w:val="32"/>
          <w:highlight w:val="none"/>
          <w:lang w:val="en-US" w:eastAsia="zh-CN" w:bidi="ar-SA"/>
        </w:rPr>
        <w:t xml:space="preserve">2. </w:t>
      </w:r>
      <w:r>
        <w:rPr>
          <w:rFonts w:hint="eastAsia" w:ascii="仿宋_GB2312" w:hAnsi="仿宋_GB2312" w:eastAsia="仿宋_GB2312" w:cs="仿宋_GB2312"/>
          <w:b/>
          <w:bCs/>
          <w:spacing w:val="0"/>
          <w:w w:val="100"/>
          <w:sz w:val="32"/>
          <w:szCs w:val="32"/>
          <w:highlight w:val="none"/>
          <w:lang w:val="en-US" w:eastAsia="zh-CN"/>
        </w:rPr>
        <w:t>以绩效管理为标尺，提升资金使用效益。</w:t>
      </w:r>
      <w:r>
        <w:rPr>
          <w:rFonts w:hint="eastAsia" w:ascii="仿宋_GB2312" w:hAnsi="仿宋_GB2312" w:eastAsia="仿宋_GB2312" w:cs="仿宋_GB2312"/>
          <w:b w:val="0"/>
          <w:bCs w:val="0"/>
          <w:spacing w:val="0"/>
          <w:w w:val="100"/>
          <w:sz w:val="32"/>
          <w:szCs w:val="32"/>
          <w:highlight w:val="none"/>
          <w:lang w:val="en-US" w:eastAsia="zh-CN"/>
        </w:rPr>
        <w:t>牢固树立绩效观念，选定2026年39个重点项目绩效目标与年度预算草案同步报送人大参阅，严把绩效目标编制质量关，扎实做好重点项目资金预算绩效目标执行情况动态监控，全力推进重点项目绩效自评，做好绩效评价结果应用，不断提高财政资金的使用效益。</w:t>
      </w:r>
    </w:p>
    <w:p w14:paraId="15A4D2D3">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hint="eastAsia" w:ascii="仿宋_GB2312" w:hAnsi="仿宋_GB2312" w:eastAsia="仿宋_GB2312" w:cs="仿宋_GB2312"/>
          <w:b w:val="0"/>
          <w:bCs w:val="0"/>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3. 以“过紧日子”为准绳，降低行政运转成本</w:t>
      </w:r>
      <w:r>
        <w:rPr>
          <w:rFonts w:hint="eastAsia" w:ascii="仿宋_GB2312" w:hAnsi="仿宋_GB2312" w:eastAsia="仿宋_GB2312" w:cs="仿宋_GB2312"/>
          <w:b w:val="0"/>
          <w:bCs w:val="0"/>
          <w:spacing w:val="0"/>
          <w:w w:val="100"/>
          <w:sz w:val="32"/>
          <w:szCs w:val="32"/>
          <w:highlight w:val="none"/>
          <w:lang w:val="en-US" w:eastAsia="zh-CN"/>
        </w:rPr>
        <w:t>。从严控制一般性支出，强化“三公”经费</w:t>
      </w:r>
      <w:r>
        <w:rPr>
          <w:rFonts w:hint="eastAsia" w:ascii="仿宋_GB2312" w:hAnsi="Calibri" w:eastAsia="仿宋_GB2312" w:cs="Times New Roman"/>
          <w:bCs/>
          <w:sz w:val="32"/>
          <w:szCs w:val="32"/>
          <w:shd w:val="clear" w:color="auto" w:fill="FFFFFF"/>
          <w:vertAlign w:val="superscript"/>
        </w:rPr>
        <w:t>⑦</w:t>
      </w:r>
      <w:r>
        <w:rPr>
          <w:rFonts w:hint="eastAsia" w:ascii="仿宋_GB2312" w:hAnsi="仿宋_GB2312" w:eastAsia="仿宋_GB2312" w:cs="仿宋_GB2312"/>
          <w:b w:val="0"/>
          <w:bCs w:val="0"/>
          <w:spacing w:val="0"/>
          <w:w w:val="100"/>
          <w:sz w:val="32"/>
          <w:szCs w:val="32"/>
          <w:highlight w:val="none"/>
          <w:lang w:val="en-US" w:eastAsia="zh-CN"/>
        </w:rPr>
        <w:t>限额管理，加强节会、论坛、展会等支出管理，有效遏制铺张浪费。在保障部门履职及机构正常运转基础上，进一步控制机关运行成本，连续第6年压减部门单位行政运行类专项，2026年继续压减512万元。</w:t>
      </w:r>
    </w:p>
    <w:p w14:paraId="2A43FEB7">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hint="eastAsia" w:ascii="仿宋_GB2312" w:hAnsi="仿宋_GB2312" w:eastAsia="仿宋_GB2312" w:cs="仿宋_GB2312"/>
          <w:b w:val="0"/>
          <w:bCs w:val="0"/>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4. 以强化监督为保障，确保财政运行安全稳健。一是</w:t>
      </w:r>
      <w:r>
        <w:rPr>
          <w:rFonts w:hint="eastAsia" w:ascii="仿宋_GB2312" w:hAnsi="仿宋_GB2312" w:eastAsia="仿宋_GB2312" w:cs="仿宋_GB2312"/>
          <w:b w:val="0"/>
          <w:bCs w:val="0"/>
          <w:spacing w:val="0"/>
          <w:w w:val="100"/>
          <w:sz w:val="32"/>
          <w:szCs w:val="32"/>
          <w:highlight w:val="none"/>
          <w:lang w:val="en-US" w:eastAsia="zh-CN"/>
        </w:rPr>
        <w:t>加大财会监督力度，协同纪检监察、审计等开展工作，横向到边、纵向到底压实部门单位责任，通过强化全口径预算监督和严格执行预算法定原则，确保所有财政收支活动都在监督下运行，严防资金滥用。</w:t>
      </w:r>
      <w:r>
        <w:rPr>
          <w:rFonts w:hint="eastAsia" w:ascii="仿宋_GB2312" w:hAnsi="仿宋_GB2312" w:eastAsia="仿宋_GB2312" w:cs="仿宋_GB2312"/>
          <w:b/>
          <w:bCs/>
          <w:spacing w:val="0"/>
          <w:w w:val="100"/>
          <w:sz w:val="32"/>
          <w:szCs w:val="32"/>
          <w:highlight w:val="none"/>
          <w:lang w:val="en-US" w:eastAsia="zh-CN"/>
        </w:rPr>
        <w:t>二是</w:t>
      </w:r>
      <w:r>
        <w:rPr>
          <w:rFonts w:hint="eastAsia" w:ascii="仿宋_GB2312" w:hAnsi="仿宋_GB2312" w:eastAsia="仿宋_GB2312" w:cs="仿宋_GB2312"/>
          <w:b w:val="0"/>
          <w:bCs w:val="0"/>
          <w:spacing w:val="0"/>
          <w:w w:val="100"/>
          <w:sz w:val="32"/>
          <w:szCs w:val="32"/>
          <w:highlight w:val="none"/>
          <w:lang w:val="en-US" w:eastAsia="zh-CN"/>
        </w:rPr>
        <w:t>利用好一揽子化债政策，积极争取上级政策资金，多措并举化解存量债务，建立全链条债务监管体系，深化平台公司市场化转型。</w:t>
      </w:r>
      <w:r>
        <w:rPr>
          <w:rFonts w:hint="eastAsia" w:ascii="仿宋_GB2312" w:hAnsi="仿宋_GB2312" w:eastAsia="仿宋_GB2312" w:cs="仿宋_GB2312"/>
          <w:b/>
          <w:bCs/>
          <w:spacing w:val="0"/>
          <w:w w:val="100"/>
          <w:sz w:val="32"/>
          <w:szCs w:val="32"/>
          <w:highlight w:val="none"/>
          <w:lang w:val="en-US" w:eastAsia="zh-CN"/>
        </w:rPr>
        <w:t>三是</w:t>
      </w:r>
      <w:r>
        <w:rPr>
          <w:rFonts w:hint="eastAsia" w:ascii="仿宋_GB2312" w:hAnsi="仿宋_GB2312" w:eastAsia="仿宋_GB2312" w:cs="仿宋_GB2312"/>
          <w:b w:val="0"/>
          <w:bCs w:val="0"/>
          <w:spacing w:val="0"/>
          <w:w w:val="100"/>
          <w:sz w:val="32"/>
          <w:szCs w:val="32"/>
          <w:highlight w:val="none"/>
          <w:lang w:val="en-US" w:eastAsia="zh-CN"/>
        </w:rPr>
        <w:t>强化财政运行分析研判和动态监测，加强库款调度和应急处置，推动“三保”底线筑牢兜实、基层财政平稳运行。</w:t>
      </w:r>
    </w:p>
    <w:p w14:paraId="669E9714">
      <w:pPr>
        <w:keepNext w:val="0"/>
        <w:keepLines w:val="0"/>
        <w:pageBreakBefore w:val="0"/>
        <w:widowControl w:val="0"/>
        <w:kinsoku/>
        <w:wordWrap/>
        <w:overflowPunct/>
        <w:topLinePunct w:val="0"/>
        <w:bidi w:val="0"/>
        <w:snapToGrid/>
        <w:spacing w:line="600" w:lineRule="exact"/>
        <w:ind w:left="0" w:leftChars="0" w:right="0" w:firstLine="643" w:firstLineChars="200"/>
        <w:jc w:val="both"/>
        <w:textAlignment w:val="auto"/>
        <w:rPr>
          <w:rFonts w:hint="eastAsia" w:ascii="仿宋_GB2312" w:hAnsi="仿宋_GB2312" w:eastAsia="仿宋_GB2312" w:cs="仿宋_GB2312"/>
          <w:b/>
          <w:bCs/>
          <w:spacing w:val="0"/>
          <w:w w:val="100"/>
          <w:sz w:val="32"/>
          <w:szCs w:val="32"/>
          <w:highlight w:val="none"/>
          <w:lang w:val="en-US" w:eastAsia="zh-CN"/>
        </w:rPr>
      </w:pPr>
      <w:r>
        <w:rPr>
          <w:rFonts w:hint="eastAsia" w:ascii="仿宋_GB2312" w:hAnsi="仿宋_GB2312" w:eastAsia="仿宋_GB2312" w:cs="仿宋_GB2312"/>
          <w:b/>
          <w:bCs/>
          <w:spacing w:val="0"/>
          <w:w w:val="100"/>
          <w:sz w:val="32"/>
          <w:szCs w:val="32"/>
          <w:highlight w:val="none"/>
          <w:lang w:val="en-US" w:eastAsia="zh-CN"/>
        </w:rPr>
        <w:t>5. 以民生所盼为目标，提高群众幸福感。</w:t>
      </w:r>
      <w:r>
        <w:rPr>
          <w:rFonts w:hint="eastAsia" w:ascii="仿宋_GB2312" w:hAnsi="仿宋_GB2312" w:eastAsia="仿宋_GB2312" w:cs="仿宋_GB2312"/>
          <w:b w:val="0"/>
          <w:bCs w:val="0"/>
          <w:spacing w:val="0"/>
          <w:w w:val="100"/>
          <w:sz w:val="32"/>
          <w:szCs w:val="32"/>
          <w:highlight w:val="none"/>
          <w:lang w:val="en-US" w:eastAsia="zh-CN"/>
        </w:rPr>
        <w:t>强化“一老一小”服务，严格落实养老服务消费补贴、免费学前教育、育儿补贴配套责任，严格执行耕地地力补贴、稻谷目标价格补贴等惠民惠农政策，确保种粮农民基本利益，提高种粮积极性。加强重大民生政策跨部门统筹协调，持续完善教育、卫生健康等重点民生领域支持政策，有效扩大社会保障覆盖面，强化低收入群体兜底帮扶，推动民生建设更加公平、均衡、普惠、可及。</w:t>
      </w:r>
    </w:p>
    <w:p w14:paraId="4D2C5D2B">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仿宋_GB2312" w:hAnsi="Times New Roman" w:eastAsia="仿宋_GB2312" w:cs="Times New Roman"/>
          <w:color w:val="000000"/>
          <w:spacing w:val="0"/>
          <w:w w:val="100"/>
          <w:sz w:val="32"/>
          <w:szCs w:val="32"/>
          <w:highlight w:val="none"/>
        </w:rPr>
      </w:pPr>
      <w:r>
        <w:rPr>
          <w:rFonts w:hint="eastAsia" w:ascii="仿宋_GB2312" w:hAnsi="Times New Roman" w:eastAsia="仿宋_GB2312" w:cs="Times New Roman"/>
          <w:spacing w:val="0"/>
          <w:w w:val="100"/>
          <w:sz w:val="32"/>
          <w:szCs w:val="32"/>
          <w:highlight w:val="none"/>
          <w:lang w:eastAsia="zh-CN"/>
        </w:rPr>
        <w:t>各位代表</w:t>
      </w:r>
      <w:r>
        <w:rPr>
          <w:rFonts w:hint="eastAsia" w:ascii="仿宋_GB2312" w:hAnsi="Times New Roman" w:eastAsia="仿宋_GB2312" w:cs="Times New Roman"/>
          <w:spacing w:val="0"/>
          <w:w w:val="100"/>
          <w:sz w:val="32"/>
          <w:szCs w:val="32"/>
          <w:highlight w:val="none"/>
        </w:rPr>
        <w:t>，202</w:t>
      </w:r>
      <w:r>
        <w:rPr>
          <w:rFonts w:hint="eastAsia" w:ascii="仿宋_GB2312" w:hAnsi="Times New Roman" w:eastAsia="仿宋_GB2312" w:cs="Times New Roman"/>
          <w:spacing w:val="0"/>
          <w:w w:val="100"/>
          <w:sz w:val="32"/>
          <w:szCs w:val="32"/>
          <w:highlight w:val="none"/>
          <w:lang w:val="en-US" w:eastAsia="zh-CN"/>
        </w:rPr>
        <w:t>6</w:t>
      </w:r>
      <w:r>
        <w:rPr>
          <w:rFonts w:hint="eastAsia" w:ascii="仿宋_GB2312" w:hAnsi="Times New Roman" w:eastAsia="仿宋_GB2312" w:cs="Times New Roman"/>
          <w:spacing w:val="0"/>
          <w:w w:val="100"/>
          <w:sz w:val="32"/>
          <w:szCs w:val="32"/>
          <w:highlight w:val="none"/>
        </w:rPr>
        <w:t>年是“十</w:t>
      </w:r>
      <w:r>
        <w:rPr>
          <w:rFonts w:hint="eastAsia" w:ascii="仿宋_GB2312" w:hAnsi="Times New Roman" w:eastAsia="仿宋_GB2312" w:cs="Times New Roman"/>
          <w:spacing w:val="0"/>
          <w:w w:val="100"/>
          <w:sz w:val="32"/>
          <w:szCs w:val="32"/>
          <w:highlight w:val="none"/>
          <w:lang w:eastAsia="zh-CN"/>
        </w:rPr>
        <w:t>五</w:t>
      </w:r>
      <w:r>
        <w:rPr>
          <w:rFonts w:hint="eastAsia" w:ascii="仿宋_GB2312" w:hAnsi="Times New Roman" w:eastAsia="仿宋_GB2312" w:cs="Times New Roman"/>
          <w:spacing w:val="0"/>
          <w:w w:val="100"/>
          <w:sz w:val="32"/>
          <w:szCs w:val="32"/>
          <w:highlight w:val="none"/>
        </w:rPr>
        <w:t>五”规划目标的</w:t>
      </w:r>
      <w:r>
        <w:rPr>
          <w:rFonts w:hint="eastAsia" w:ascii="仿宋_GB2312" w:hAnsi="Times New Roman" w:eastAsia="仿宋_GB2312" w:cs="Times New Roman"/>
          <w:spacing w:val="0"/>
          <w:w w:val="100"/>
          <w:sz w:val="32"/>
          <w:szCs w:val="32"/>
          <w:highlight w:val="none"/>
          <w:lang w:eastAsia="zh-CN"/>
        </w:rPr>
        <w:t>开局</w:t>
      </w:r>
      <w:r>
        <w:rPr>
          <w:rFonts w:hint="eastAsia" w:ascii="仿宋_GB2312" w:hAnsi="Times New Roman" w:eastAsia="仿宋_GB2312" w:cs="Times New Roman"/>
          <w:spacing w:val="0"/>
          <w:w w:val="100"/>
          <w:sz w:val="32"/>
          <w:szCs w:val="32"/>
          <w:highlight w:val="none"/>
        </w:rPr>
        <w:t>之年。我们将在区委</w:t>
      </w:r>
      <w:r>
        <w:rPr>
          <w:rFonts w:hint="eastAsia" w:ascii="仿宋_GB2312" w:hAnsi="Times New Roman" w:eastAsia="仿宋_GB2312" w:cs="Times New Roman"/>
          <w:spacing w:val="0"/>
          <w:w w:val="100"/>
          <w:sz w:val="32"/>
          <w:szCs w:val="32"/>
          <w:highlight w:val="none"/>
          <w:lang w:eastAsia="zh-CN"/>
        </w:rPr>
        <w:t>、区政府</w:t>
      </w:r>
      <w:r>
        <w:rPr>
          <w:rFonts w:hint="eastAsia" w:ascii="仿宋_GB2312" w:hAnsi="Times New Roman" w:eastAsia="仿宋_GB2312" w:cs="Times New Roman"/>
          <w:spacing w:val="0"/>
          <w:w w:val="100"/>
          <w:sz w:val="32"/>
          <w:szCs w:val="32"/>
          <w:highlight w:val="none"/>
        </w:rPr>
        <w:t>的坚强领导和区人大、区政协的监督支持下，</w:t>
      </w:r>
      <w:r>
        <w:rPr>
          <w:rFonts w:hint="eastAsia" w:ascii="仿宋_GB2312" w:hAnsi="Times New Roman" w:eastAsia="仿宋_GB2312" w:cs="Times New Roman"/>
          <w:spacing w:val="0"/>
          <w:w w:val="100"/>
          <w:sz w:val="32"/>
          <w:szCs w:val="32"/>
          <w:highlight w:val="none"/>
          <w:lang w:eastAsia="zh-CN"/>
        </w:rPr>
        <w:t>实施更加积极的财政政策，坚持稳中求进，统筹发展和安全，为</w:t>
      </w:r>
      <w:r>
        <w:rPr>
          <w:rFonts w:hint="eastAsia" w:ascii="仿宋_GB2312" w:hAnsi="Times New Roman" w:eastAsia="仿宋_GB2312" w:cs="Times New Roman"/>
          <w:color w:val="000000"/>
          <w:spacing w:val="0"/>
          <w:w w:val="100"/>
          <w:sz w:val="32"/>
          <w:szCs w:val="32"/>
          <w:highlight w:val="none"/>
        </w:rPr>
        <w:t>资阳经济</w:t>
      </w:r>
      <w:r>
        <w:rPr>
          <w:rFonts w:hint="eastAsia" w:ascii="仿宋_GB2312" w:hAnsi="Times New Roman" w:eastAsia="仿宋_GB2312" w:cs="Times New Roman"/>
          <w:color w:val="000000"/>
          <w:spacing w:val="0"/>
          <w:w w:val="100"/>
          <w:sz w:val="32"/>
          <w:szCs w:val="32"/>
          <w:highlight w:val="none"/>
          <w:lang w:eastAsia="zh-CN"/>
        </w:rPr>
        <w:t>持续</w:t>
      </w:r>
      <w:r>
        <w:rPr>
          <w:rFonts w:hint="eastAsia" w:ascii="仿宋_GB2312" w:hAnsi="Times New Roman" w:eastAsia="仿宋_GB2312" w:cs="Times New Roman"/>
          <w:color w:val="000000"/>
          <w:spacing w:val="0"/>
          <w:w w:val="100"/>
          <w:sz w:val="32"/>
          <w:szCs w:val="32"/>
          <w:highlight w:val="none"/>
        </w:rPr>
        <w:t>健康</w:t>
      </w:r>
      <w:r>
        <w:rPr>
          <w:rFonts w:hint="eastAsia" w:ascii="仿宋_GB2312" w:hAnsi="Times New Roman" w:eastAsia="仿宋_GB2312" w:cs="Times New Roman"/>
          <w:color w:val="000000"/>
          <w:spacing w:val="0"/>
          <w:w w:val="100"/>
          <w:sz w:val="32"/>
          <w:szCs w:val="32"/>
          <w:highlight w:val="none"/>
          <w:lang w:eastAsia="zh-CN"/>
        </w:rPr>
        <w:t>发展提供坚实保障</w:t>
      </w:r>
      <w:r>
        <w:rPr>
          <w:rFonts w:hint="eastAsia" w:ascii="仿宋_GB2312" w:hAnsi="Times New Roman" w:eastAsia="仿宋_GB2312" w:cs="Times New Roman"/>
          <w:color w:val="000000"/>
          <w:spacing w:val="0"/>
          <w:w w:val="100"/>
          <w:sz w:val="32"/>
          <w:szCs w:val="32"/>
          <w:highlight w:val="none"/>
        </w:rPr>
        <w:t>！</w:t>
      </w:r>
    </w:p>
    <w:p w14:paraId="7FE6ADE0">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仿宋_GB2312" w:hAnsi="Times New Roman" w:eastAsia="仿宋_GB2312" w:cs="Times New Roman"/>
          <w:spacing w:val="0"/>
          <w:w w:val="100"/>
          <w:sz w:val="32"/>
          <w:szCs w:val="32"/>
          <w:highlight w:val="none"/>
        </w:rPr>
      </w:pPr>
      <w:r>
        <w:rPr>
          <w:rFonts w:hint="eastAsia" w:ascii="仿宋_GB2312" w:hAnsi="Times New Roman" w:eastAsia="仿宋_GB2312" w:cs="Times New Roman"/>
          <w:spacing w:val="0"/>
          <w:w w:val="100"/>
          <w:sz w:val="32"/>
          <w:szCs w:val="32"/>
          <w:highlight w:val="none"/>
        </w:rPr>
        <w:t>以上报告，请予审议。</w:t>
      </w:r>
    </w:p>
    <w:p w14:paraId="47D529F1">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仿宋_GB2312" w:hAnsi="Times New Roman" w:eastAsia="仿宋_GB2312" w:cs="Times New Roman"/>
          <w:spacing w:val="0"/>
          <w:w w:val="100"/>
          <w:sz w:val="32"/>
          <w:szCs w:val="32"/>
          <w:highlight w:val="none"/>
        </w:rPr>
      </w:pPr>
    </w:p>
    <w:p w14:paraId="68DE6FE1">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Times New Roman" w:hAnsi="Times New Roman" w:eastAsia="仿宋_GB2312" w:cs="Times New Roman"/>
          <w:color w:val="auto"/>
          <w:spacing w:val="0"/>
          <w:w w:val="100"/>
          <w:kern w:val="21"/>
          <w:sz w:val="32"/>
          <w:szCs w:val="32"/>
          <w:highlight w:val="none"/>
          <w:lang w:val="en-US" w:eastAsia="zh-CN"/>
        </w:rPr>
      </w:pPr>
    </w:p>
    <w:p w14:paraId="4560C723">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Times New Roman" w:hAnsi="Times New Roman" w:eastAsia="仿宋_GB2312" w:cs="Times New Roman"/>
          <w:color w:val="auto"/>
          <w:spacing w:val="0"/>
          <w:w w:val="100"/>
          <w:kern w:val="21"/>
          <w:sz w:val="32"/>
          <w:szCs w:val="32"/>
          <w:highlight w:val="none"/>
          <w:lang w:val="en-US" w:eastAsia="zh-CN"/>
        </w:rPr>
      </w:pPr>
    </w:p>
    <w:p w14:paraId="3157EF26">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Times New Roman" w:hAnsi="Times New Roman" w:eastAsia="仿宋_GB2312" w:cs="Times New Roman"/>
          <w:color w:val="auto"/>
          <w:spacing w:val="0"/>
          <w:w w:val="100"/>
          <w:kern w:val="21"/>
          <w:sz w:val="32"/>
          <w:szCs w:val="32"/>
          <w:highlight w:val="none"/>
          <w:lang w:val="en-US" w:eastAsia="zh-CN"/>
        </w:rPr>
      </w:pPr>
    </w:p>
    <w:p w14:paraId="7EDA737E">
      <w:pPr>
        <w:keepNext w:val="0"/>
        <w:keepLines w:val="0"/>
        <w:pageBreakBefore w:val="0"/>
        <w:widowControl w:val="0"/>
        <w:kinsoku/>
        <w:wordWrap/>
        <w:overflowPunct/>
        <w:topLinePunct w:val="0"/>
        <w:bidi w:val="0"/>
        <w:snapToGrid/>
        <w:spacing w:line="600" w:lineRule="exact"/>
        <w:ind w:left="0" w:leftChars="0" w:right="0" w:firstLine="640" w:firstLineChars="200"/>
        <w:jc w:val="both"/>
        <w:textAlignment w:val="auto"/>
        <w:rPr>
          <w:rFonts w:hint="eastAsia" w:ascii="Times New Roman" w:hAnsi="Times New Roman" w:eastAsia="仿宋_GB2312" w:cs="Times New Roman"/>
          <w:color w:val="auto"/>
          <w:spacing w:val="0"/>
          <w:w w:val="100"/>
          <w:kern w:val="21"/>
          <w:sz w:val="32"/>
          <w:szCs w:val="32"/>
          <w:highlight w:val="none"/>
          <w:lang w:val="en-US" w:eastAsia="zh-CN"/>
        </w:rPr>
        <w:sectPr>
          <w:headerReference r:id="rId3" w:type="default"/>
          <w:footerReference r:id="rId4" w:type="default"/>
          <w:pgSz w:w="11905" w:h="16838"/>
          <w:pgMar w:top="1871" w:right="1531" w:bottom="1531" w:left="1531" w:header="1134" w:footer="1247" w:gutter="0"/>
          <w:cols w:space="0" w:num="1"/>
          <w:rtlGutter w:val="0"/>
          <w:docGrid w:type="lines" w:linePitch="319" w:charSpace="0"/>
        </w:sectPr>
      </w:pPr>
    </w:p>
    <w:p w14:paraId="50749D92">
      <w:pPr>
        <w:spacing w:line="620" w:lineRule="exact"/>
        <w:jc w:val="center"/>
        <w:rPr>
          <w:rFonts w:hint="eastAsia" w:ascii="Arial" w:hAnsi="Arial" w:eastAsia="宋体" w:cs="Arial"/>
          <w:color w:val="333333"/>
          <w:sz w:val="28"/>
          <w:szCs w:val="28"/>
        </w:rPr>
      </w:pPr>
      <w:r>
        <w:rPr>
          <w:rFonts w:hint="eastAsia" w:ascii="方正小标宋简体" w:hAnsi="方正小标宋简体" w:eastAsia="方正小标宋简体" w:cs="方正小标宋简体"/>
          <w:sz w:val="44"/>
          <w:szCs w:val="44"/>
        </w:rPr>
        <w:t>名  词  注  释</w:t>
      </w:r>
    </w:p>
    <w:p w14:paraId="4D8175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p>
    <w:p w14:paraId="30A562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①</w:t>
      </w:r>
      <w:r>
        <w:rPr>
          <w:rFonts w:hint="eastAsia" w:ascii="仿宋_GB2312" w:hAnsi="仿宋_GB2312" w:eastAsia="仿宋_GB2312" w:cs="仿宋_GB2312"/>
          <w:b/>
          <w:bCs/>
          <w:sz w:val="32"/>
          <w:szCs w:val="32"/>
          <w:lang w:eastAsia="zh-CN"/>
        </w:rPr>
        <w:t>结转下年支出</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受项目进展、工程决算、指标下达时间等因素影响</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部分上级专项资金当年支付进度达不到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按项目支出管理要求，需转到下年度继续安排和使用的支出。</w:t>
      </w:r>
    </w:p>
    <w:p w14:paraId="5B8269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②</w:t>
      </w:r>
      <w:r>
        <w:rPr>
          <w:rFonts w:hint="eastAsia" w:ascii="仿宋_GB2312" w:hAnsi="仿宋_GB2312" w:eastAsia="仿宋_GB2312" w:cs="仿宋_GB2312"/>
          <w:b/>
          <w:bCs/>
          <w:sz w:val="32"/>
          <w:szCs w:val="32"/>
          <w:shd w:val="clear" w:color="auto" w:fill="FFFFFF"/>
          <w:lang w:eastAsia="zh-CN"/>
        </w:rPr>
        <w:t>国有“三资”</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sz w:val="32"/>
          <w:szCs w:val="32"/>
          <w:shd w:val="clear" w:color="auto" w:fill="FFFFFF"/>
        </w:rPr>
        <w:t>归属国有的资金（闲置和低效资金），资产（实物、股权、债权、特许经营权、未来收益权），资源（矿产、土地、林业、能源、水利、数据）。</w:t>
      </w:r>
    </w:p>
    <w:p w14:paraId="738488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③</w:t>
      </w:r>
      <w:r>
        <w:rPr>
          <w:rFonts w:hint="eastAsia" w:ascii="仿宋_GB2312" w:hAnsi="仿宋_GB2312" w:eastAsia="仿宋_GB2312" w:cs="仿宋_GB2312"/>
          <w:b/>
          <w:bCs/>
          <w:sz w:val="32"/>
          <w:szCs w:val="32"/>
          <w:lang w:eastAsia="zh-CN"/>
        </w:rPr>
        <w:t>零基预算改革</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不以历史期经济活动及其预算为基础，以零为起点，从实际需要出发分析预算期经济活动的合理性，经综合平衡，形成预算的预算编制方法。零基预算的核心理念就是根据公共项目的重要性确定预算安排的优先性，它要求全盘考虑所有的预算支出项目并按其重要性排序，从而提高预算决策的效果。</w:t>
      </w:r>
    </w:p>
    <w:p w14:paraId="113C6B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④</w:t>
      </w:r>
      <w:r>
        <w:rPr>
          <w:rFonts w:hint="eastAsia" w:ascii="仿宋_GB2312" w:hAnsi="仿宋_GB2312" w:eastAsia="仿宋_GB2312" w:cs="仿宋_GB2312"/>
          <w:b/>
          <w:bCs/>
          <w:sz w:val="32"/>
          <w:szCs w:val="32"/>
          <w:lang w:eastAsia="zh-CN"/>
        </w:rPr>
        <w:t>教育经费“两个只增不减”：</w:t>
      </w:r>
      <w:r>
        <w:rPr>
          <w:rFonts w:hint="eastAsia" w:ascii="仿宋_GB2312" w:hAnsi="仿宋_GB2312" w:eastAsia="仿宋_GB2312" w:cs="仿宋_GB2312"/>
          <w:sz w:val="32"/>
          <w:szCs w:val="32"/>
          <w:lang w:eastAsia="zh-CN"/>
        </w:rPr>
        <w:t>确保财政一般公共预算教育支出逐年只增不减，确保按在校学生人数平均的一般公共预算教育支出逐年只增不减。</w:t>
      </w:r>
    </w:p>
    <w:p w14:paraId="4DB90C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⑤“三保”：</w:t>
      </w:r>
      <w:r>
        <w:rPr>
          <w:rFonts w:hint="eastAsia" w:ascii="仿宋_GB2312" w:hAnsi="仿宋_GB2312" w:eastAsia="仿宋_GB2312" w:cs="仿宋_GB2312"/>
          <w:sz w:val="32"/>
          <w:szCs w:val="32"/>
        </w:rPr>
        <w:t>保基本民生、保工资、保运转。</w:t>
      </w:r>
    </w:p>
    <w:p w14:paraId="122D96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⑥</w:t>
      </w:r>
      <w:r>
        <w:rPr>
          <w:rFonts w:hint="eastAsia" w:ascii="仿宋_GB2312" w:hAnsi="仿宋_GB2312" w:eastAsia="仿宋_GB2312" w:cs="仿宋_GB2312"/>
          <w:b/>
          <w:bCs/>
          <w:sz w:val="32"/>
          <w:szCs w:val="32"/>
          <w:lang w:eastAsia="zh-CN"/>
        </w:rPr>
        <w:t>“三方”对账</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依托</w:t>
      </w:r>
      <w:r>
        <w:rPr>
          <w:rFonts w:hint="eastAsia" w:ascii="仿宋_GB2312" w:hAnsi="仿宋_GB2312" w:eastAsia="仿宋_GB2312" w:cs="仿宋_GB2312"/>
          <w:sz w:val="32"/>
          <w:szCs w:val="32"/>
        </w:rPr>
        <w:t>预算管理一体化系统财政部门</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预算单位</w:t>
      </w:r>
      <w:r>
        <w:rPr>
          <w:rFonts w:hint="eastAsia" w:ascii="仿宋_GB2312" w:hAnsi="仿宋_GB2312" w:eastAsia="仿宋_GB2312" w:cs="仿宋_GB2312"/>
          <w:sz w:val="32"/>
          <w:szCs w:val="32"/>
        </w:rPr>
        <w:t>对账，确保财政部门、银行和预算单位三方数据一致。</w:t>
      </w:r>
    </w:p>
    <w:p w14:paraId="108F83E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⑦“三公”经费：</w:t>
      </w:r>
      <w:r>
        <w:rPr>
          <w:rFonts w:hint="eastAsia" w:ascii="仿宋_GB2312" w:hAnsi="仿宋_GB2312" w:eastAsia="仿宋_GB2312" w:cs="仿宋_GB2312"/>
          <w:sz w:val="32"/>
          <w:szCs w:val="32"/>
        </w:rPr>
        <w:t>因公出国（境）费、公务接待费、公务用车运行维护费及购置费。</w:t>
      </w:r>
    </w:p>
    <w:p w14:paraId="550B7AE8">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sectPr>
      <w:pgSz w:w="11905" w:h="16838"/>
      <w:pgMar w:top="1304" w:right="1474" w:bottom="1304" w:left="1587" w:header="1134" w:footer="1020"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2710">
    <w:pPr>
      <w:framePr w:w="689" w:wrap="around" w:vAnchor="text" w:hAnchor="margin" w:xAlign="center" w:y="1"/>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21"/>
        <w:szCs w:val="21"/>
        <w:lang w:val="en-US" w:eastAsia="zh-CN" w:bidi="ar-SA"/>
      </w:rPr>
      <w:t xml:space="preserve">- </w:t>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PAGE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16</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18"/>
        <w:szCs w:val="18"/>
        <w:lang w:val="en-US" w:eastAsia="zh-CN" w:bidi="ar-SA"/>
      </w:rPr>
      <w:t xml:space="preserve"> </w:t>
    </w:r>
    <w:r>
      <w:rPr>
        <w:rFonts w:ascii="Times New Roman" w:hAnsi="Times New Roman" w:eastAsia="宋体" w:cs="Times New Roman"/>
        <w:kern w:val="2"/>
        <w:sz w:val="21"/>
        <w:szCs w:val="21"/>
        <w:lang w:val="en-US" w:eastAsia="zh-CN" w:bidi="ar-SA"/>
      </w:rPr>
      <w:t>-</w:t>
    </w:r>
  </w:p>
  <w:p w14:paraId="3EB9B020">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B0BB">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69BBE"/>
    <w:multiLevelType w:val="singleLevel"/>
    <w:tmpl w:val="98D69BBE"/>
    <w:lvl w:ilvl="0" w:tentative="0">
      <w:start w:val="1"/>
      <w:numFmt w:val="decimal"/>
      <w:suff w:val="space"/>
      <w:lvlText w:val="%1."/>
      <w:lvlJc w:val="left"/>
    </w:lvl>
  </w:abstractNum>
  <w:abstractNum w:abstractNumId="1">
    <w:nsid w:val="C950D0CB"/>
    <w:multiLevelType w:val="singleLevel"/>
    <w:tmpl w:val="C950D0CB"/>
    <w:lvl w:ilvl="0" w:tentative="0">
      <w:start w:val="2"/>
      <w:numFmt w:val="decimal"/>
      <w:suff w:val="space"/>
      <w:lvlText w:val="%1."/>
      <w:lvlJc w:val="left"/>
      <w:rPr>
        <w:rFonts w:hint="default"/>
        <w:b/>
        <w:bCs/>
      </w:rPr>
    </w:lvl>
  </w:abstractNum>
  <w:abstractNum w:abstractNumId="2">
    <w:nsid w:val="3F579661"/>
    <w:multiLevelType w:val="singleLevel"/>
    <w:tmpl w:val="3F579661"/>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WRkZTc5ZDdhMTdlMWFhYjE1YzI2M2VlZGMxOTcifQ=="/>
  </w:docVars>
  <w:rsids>
    <w:rsidRoot w:val="568F638E"/>
    <w:rsid w:val="00935193"/>
    <w:rsid w:val="07DF73BB"/>
    <w:rsid w:val="09F04BCC"/>
    <w:rsid w:val="0B0A3CE5"/>
    <w:rsid w:val="0D2A1C8C"/>
    <w:rsid w:val="0F6D0B55"/>
    <w:rsid w:val="134E46DD"/>
    <w:rsid w:val="13FD3CDB"/>
    <w:rsid w:val="142101D6"/>
    <w:rsid w:val="169276A7"/>
    <w:rsid w:val="17B85297"/>
    <w:rsid w:val="185A7990"/>
    <w:rsid w:val="18970402"/>
    <w:rsid w:val="1B5103F3"/>
    <w:rsid w:val="1F7061A9"/>
    <w:rsid w:val="272E17C3"/>
    <w:rsid w:val="276B3F2F"/>
    <w:rsid w:val="2931315E"/>
    <w:rsid w:val="2E174669"/>
    <w:rsid w:val="2F0A5039"/>
    <w:rsid w:val="33B20DD2"/>
    <w:rsid w:val="36170F81"/>
    <w:rsid w:val="38DC70F8"/>
    <w:rsid w:val="39D76BE6"/>
    <w:rsid w:val="3B721B08"/>
    <w:rsid w:val="3DCE3DAE"/>
    <w:rsid w:val="3EFA36F7"/>
    <w:rsid w:val="49D2505E"/>
    <w:rsid w:val="4C616B18"/>
    <w:rsid w:val="4E31544E"/>
    <w:rsid w:val="4E346991"/>
    <w:rsid w:val="4EF5536F"/>
    <w:rsid w:val="534741B0"/>
    <w:rsid w:val="568F638E"/>
    <w:rsid w:val="58E23C97"/>
    <w:rsid w:val="65097E10"/>
    <w:rsid w:val="6C5C4E7B"/>
    <w:rsid w:val="783C0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tabs>
        <w:tab w:val="center" w:pos="4213"/>
        <w:tab w:val="right" w:pos="8306"/>
      </w:tabs>
      <w:overflowPunct w:val="0"/>
      <w:spacing w:line="600" w:lineRule="exact"/>
      <w:jc w:val="center"/>
      <w:outlineLvl w:val="0"/>
    </w:pPr>
    <w:rPr>
      <w:rFonts w:ascii="方正小标宋简体" w:hAnsi="方正小标宋简体" w:eastAsia="方正小标宋简体" w:cs="方正大标宋简体"/>
      <w:color w:val="000000"/>
      <w:kern w:val="21"/>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toc 1"/>
    <w:next w:val="1"/>
    <w:semiHidden/>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9d592bac-838a-4b48-8031-9d7c4392c4b6</errorID>
      <errorWord>户、2</errorWord>
      <group>L1_Punc</group>
      <groupName>标点问题</groupName>
      <ability>L2_Punc</ability>
      <abilityName>标点符号检查</abilityName>
      <candidateList>
        <item>户2</item>
      </candidateList>
      <explain/>
      <paraID>517CA4C7</paraID>
      <start>96</start>
      <end>99</end>
      <status>unmodified</status>
      <modifiedWord/>
      <trackRevisions>false</trackRevisions>
    </reviewItem>
  </reviewItems>
  <config/>
</contractReview>
</file>

<file path=customXml/itemProps1.xml><?xml version="1.0" encoding="utf-8"?>
<ds:datastoreItem xmlns:ds="http://schemas.openxmlformats.org/officeDocument/2006/customXml" ds:itemID="{0cecd7cd-0f55-472a-985b-0da67fdfad3b}">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6889</Words>
  <Characters>7589</Characters>
  <Lines>0</Lines>
  <Paragraphs>0</Paragraphs>
  <TotalTime>11</TotalTime>
  <ScaleCrop>false</ScaleCrop>
  <LinksUpToDate>false</LinksUpToDate>
  <CharactersWithSpaces>7601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2025-11-18T13:01:00Z</dcterms:created>
  <dc:creator>断舍离</dc:creator>
  <cp:lastModifiedBy>断舍离</cp:lastModifiedBy>
  <cp:lastPrinted>2025-12-05T07:06:00Z</cp:lastPrinted>
  <dcterms:modified xsi:type="dcterms:W3CDTF">2025-12-12T09:23:20Z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70508F884E604C1B8A5C176F733C6604_13</vt:lpwstr>
  </property>
  <property fmtid="{D5CDD505-2E9C-101B-9397-08002B2CF9AE}" pid="4" name="KSOTemplateDocerSaveRecord">
    <vt:lpwstr>eyJoZGlkIjoiNjgwMzBhMDg0ZWZhMWMwYzRiOTg0MmZhZWI4ZDQ0ZjAiLCJ1c2VySWQiOiI0NjA2NTA4MTUifQ==</vt:lpwstr>
  </property>
</Properties>
</file>