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bidi w:val="0"/>
        <w:snapToGrid/>
        <w:spacing w:line="560" w:lineRule="exact"/>
        <w:jc w:val="center"/>
        <w:textAlignment w:val="auto"/>
        <w:rPr>
          <w:rFonts w:hint="eastAsia" w:ascii="方正小标宋简体" w:hAnsi="Times New Roman" w:eastAsia="方正小标宋简体" w:cs="Times New Roman"/>
          <w:bCs/>
          <w:spacing w:val="4"/>
          <w:sz w:val="44"/>
          <w:szCs w:val="44"/>
          <w:highlight w:val="none"/>
        </w:rPr>
      </w:pPr>
    </w:p>
    <w:p>
      <w:pPr>
        <w:keepNext w:val="0"/>
        <w:keepLines w:val="0"/>
        <w:pageBreakBefore w:val="0"/>
        <w:widowControl w:val="0"/>
        <w:kinsoku/>
        <w:wordWrap/>
        <w:overflowPunct/>
        <w:topLinePunct w:val="0"/>
        <w:autoSpaceDE w:val="0"/>
        <w:bidi w:val="0"/>
        <w:snapToGrid/>
        <w:spacing w:line="560" w:lineRule="exact"/>
        <w:jc w:val="center"/>
        <w:textAlignment w:val="auto"/>
        <w:rPr>
          <w:rFonts w:ascii="楷体_GB2312" w:hAnsi="楷体_GB2312" w:eastAsia="楷体_GB2312" w:cs="楷体_GB2312"/>
          <w:bCs/>
          <w:spacing w:val="-10"/>
          <w:sz w:val="28"/>
          <w:szCs w:val="28"/>
          <w:highlight w:val="none"/>
        </w:rPr>
      </w:pPr>
      <w:r>
        <w:rPr>
          <w:rFonts w:hint="eastAsia" w:ascii="方正小标宋简体" w:hAnsi="Times New Roman" w:eastAsia="方正小标宋简体" w:cs="Times New Roman"/>
          <w:bCs/>
          <w:spacing w:val="4"/>
          <w:sz w:val="44"/>
          <w:szCs w:val="44"/>
          <w:highlight w:val="none"/>
        </w:rPr>
        <w:t>关于益阳市资阳区202</w:t>
      </w:r>
      <w:r>
        <w:rPr>
          <w:rFonts w:hint="eastAsia" w:ascii="方正小标宋简体" w:hAnsi="Times New Roman" w:eastAsia="方正小标宋简体" w:cs="Times New Roman"/>
          <w:bCs/>
          <w:spacing w:val="4"/>
          <w:sz w:val="44"/>
          <w:szCs w:val="44"/>
          <w:highlight w:val="none"/>
          <w:lang w:val="en-US" w:eastAsia="zh-CN"/>
        </w:rPr>
        <w:t>4</w:t>
      </w:r>
      <w:r>
        <w:rPr>
          <w:rFonts w:hint="eastAsia" w:ascii="方正小标宋简体" w:hAnsi="Times New Roman" w:eastAsia="方正小标宋简体" w:cs="Times New Roman"/>
          <w:bCs/>
          <w:spacing w:val="4"/>
          <w:sz w:val="44"/>
          <w:szCs w:val="44"/>
          <w:highlight w:val="none"/>
        </w:rPr>
        <w:t>年财政预算执行情况</w:t>
      </w:r>
      <w:r>
        <w:rPr>
          <w:rFonts w:hint="eastAsia" w:ascii="方正小标宋简体" w:hAnsi="Times New Roman" w:eastAsia="方正小标宋简体" w:cs="Times New Roman"/>
          <w:bCs/>
          <w:sz w:val="44"/>
          <w:szCs w:val="44"/>
          <w:highlight w:val="none"/>
        </w:rPr>
        <w:t>和</w:t>
      </w:r>
      <w:r>
        <w:rPr>
          <w:rFonts w:hint="eastAsia" w:ascii="方正小标宋简体" w:hAnsi="Times New Roman" w:eastAsia="方正小标宋简体" w:cs="Times New Roman"/>
          <w:bCs/>
          <w:spacing w:val="4"/>
          <w:sz w:val="44"/>
          <w:szCs w:val="44"/>
          <w:highlight w:val="none"/>
        </w:rPr>
        <w:t>202</w:t>
      </w:r>
      <w:r>
        <w:rPr>
          <w:rFonts w:hint="eastAsia" w:ascii="方正小标宋简体" w:hAnsi="Times New Roman" w:eastAsia="方正小标宋简体" w:cs="Times New Roman"/>
          <w:bCs/>
          <w:spacing w:val="4"/>
          <w:sz w:val="44"/>
          <w:szCs w:val="44"/>
          <w:highlight w:val="none"/>
          <w:lang w:val="en-US" w:eastAsia="zh-CN"/>
        </w:rPr>
        <w:t>5</w:t>
      </w:r>
      <w:r>
        <w:rPr>
          <w:rFonts w:hint="eastAsia" w:ascii="方正小标宋简体" w:hAnsi="Times New Roman" w:eastAsia="方正小标宋简体" w:cs="Times New Roman"/>
          <w:bCs/>
          <w:spacing w:val="4"/>
          <w:sz w:val="44"/>
          <w:szCs w:val="44"/>
          <w:highlight w:val="none"/>
        </w:rPr>
        <w:t>年财政预算（草案）的报</w:t>
      </w:r>
      <w:r>
        <w:rPr>
          <w:rFonts w:hint="eastAsia" w:ascii="方正小标宋简体" w:hAnsi="Times New Roman" w:eastAsia="方正小标宋简体" w:cs="Times New Roman"/>
          <w:bCs/>
          <w:sz w:val="44"/>
          <w:szCs w:val="44"/>
          <w:highlight w:val="none"/>
        </w:rPr>
        <w:t>告</w:t>
      </w:r>
    </w:p>
    <w:p>
      <w:pPr>
        <w:keepNext w:val="0"/>
        <w:keepLines w:val="0"/>
        <w:pageBreakBefore w:val="0"/>
        <w:widowControl w:val="0"/>
        <w:kinsoku/>
        <w:wordWrap/>
        <w:overflowPunct/>
        <w:topLinePunct w:val="0"/>
        <w:bidi w:val="0"/>
        <w:snapToGrid/>
        <w:spacing w:line="560" w:lineRule="exact"/>
        <w:jc w:val="center"/>
        <w:textAlignment w:val="auto"/>
        <w:rPr>
          <w:rFonts w:hint="eastAsia" w:ascii="楷体" w:hAnsi="楷体" w:eastAsia="楷体" w:cs="仿宋"/>
          <w:bCs/>
          <w:color w:val="000000"/>
          <w:w w:val="76"/>
          <w:sz w:val="32"/>
          <w:szCs w:val="32"/>
          <w:highlight w:val="none"/>
        </w:rPr>
      </w:pPr>
      <w:r>
        <w:rPr>
          <w:rFonts w:hint="eastAsia" w:ascii="楷体" w:hAnsi="楷体" w:eastAsia="楷体" w:cs="仿宋"/>
          <w:bCs/>
          <w:color w:val="000000"/>
          <w:w w:val="76"/>
          <w:sz w:val="32"/>
          <w:szCs w:val="32"/>
          <w:highlight w:val="none"/>
        </w:rPr>
        <w:t>—2024年12月</w:t>
      </w:r>
      <w:r>
        <w:rPr>
          <w:rFonts w:hint="eastAsia" w:ascii="楷体" w:hAnsi="楷体" w:eastAsia="楷体" w:cs="仿宋"/>
          <w:bCs/>
          <w:color w:val="000000"/>
          <w:w w:val="76"/>
          <w:sz w:val="32"/>
          <w:szCs w:val="32"/>
          <w:highlight w:val="none"/>
          <w:lang w:val="en-US" w:eastAsia="zh-CN"/>
        </w:rPr>
        <w:t>20</w:t>
      </w:r>
      <w:r>
        <w:rPr>
          <w:rFonts w:hint="eastAsia" w:ascii="楷体" w:hAnsi="楷体" w:eastAsia="楷体" w:cs="仿宋"/>
          <w:bCs/>
          <w:color w:val="000000"/>
          <w:w w:val="76"/>
          <w:sz w:val="32"/>
          <w:szCs w:val="32"/>
          <w:highlight w:val="none"/>
        </w:rPr>
        <w:t>日在益阳市资阳区第六届人民代表大会第四次会议上</w:t>
      </w:r>
    </w:p>
    <w:p>
      <w:pPr>
        <w:keepNext w:val="0"/>
        <w:keepLines w:val="0"/>
        <w:pageBreakBefore w:val="0"/>
        <w:widowControl w:val="0"/>
        <w:kinsoku/>
        <w:wordWrap/>
        <w:overflowPunct/>
        <w:topLinePunct w:val="0"/>
        <w:bidi w:val="0"/>
        <w:snapToGrid/>
        <w:spacing w:line="560" w:lineRule="exact"/>
        <w:jc w:val="center"/>
        <w:textAlignment w:val="auto"/>
        <w:rPr>
          <w:rFonts w:ascii="黑体" w:hAnsi="Times New Roman" w:eastAsia="黑体" w:cs="Times New Roman"/>
          <w:sz w:val="32"/>
          <w:szCs w:val="32"/>
          <w:highlight w:val="none"/>
        </w:rPr>
      </w:pPr>
      <w:r>
        <w:rPr>
          <w:rFonts w:hint="eastAsia" w:ascii="楷体" w:hAnsi="楷体" w:eastAsia="楷体" w:cs="仿宋"/>
          <w:bCs/>
          <w:color w:val="000000"/>
          <w:w w:val="76"/>
          <w:sz w:val="32"/>
          <w:szCs w:val="32"/>
          <w:highlight w:val="none"/>
        </w:rPr>
        <w:t>益阳市资阳区财政局</w:t>
      </w:r>
    </w:p>
    <w:p>
      <w:pPr>
        <w:keepNext w:val="0"/>
        <w:keepLines w:val="0"/>
        <w:pageBreakBefore w:val="0"/>
        <w:widowControl w:val="0"/>
        <w:kinsoku/>
        <w:wordWrap/>
        <w:overflowPunct/>
        <w:topLinePunct w:val="0"/>
        <w:bidi w:val="0"/>
        <w:snapToGrid/>
        <w:spacing w:line="560" w:lineRule="exact"/>
        <w:textAlignment w:val="auto"/>
        <w:rPr>
          <w:rFonts w:hint="default" w:ascii="Times New Roman" w:hAnsi="Times New Roman" w:eastAsia="仿宋_GB2312" w:cs="Times New Roman"/>
          <w:highlight w:val="none"/>
          <w:lang w:val="en-US" w:eastAsia="zh-CN"/>
        </w:rPr>
      </w:pPr>
      <w:r>
        <w:rPr>
          <w:rFonts w:hint="eastAsia" w:ascii="仿宋_GB2312" w:hAnsi="Times New Roman" w:eastAsia="仿宋_GB2312" w:cs="Times New Roman"/>
          <w:sz w:val="32"/>
          <w:szCs w:val="32"/>
          <w:highlight w:val="none"/>
          <w:lang w:eastAsia="zh-CN"/>
        </w:rPr>
        <w:t>各位代表</w:t>
      </w:r>
      <w:r>
        <w:rPr>
          <w:rFonts w:hint="eastAsia" w:ascii="仿宋_GB2312" w:hAnsi="Times New Roman" w:eastAsia="仿宋_GB2312" w:cs="Times New Roman"/>
          <w:sz w:val="32"/>
          <w:szCs w:val="32"/>
          <w:highlight w:val="none"/>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黑体" w:hAnsi="Times New Roman" w:eastAsia="黑体" w:cs="Times New Roman"/>
          <w:sz w:val="32"/>
          <w:szCs w:val="32"/>
          <w:highlight w:val="none"/>
        </w:rPr>
      </w:pPr>
      <w:r>
        <w:rPr>
          <w:rFonts w:hint="eastAsia" w:ascii="仿宋_GB2312" w:hAnsi="Times New Roman" w:eastAsia="仿宋_GB2312" w:cs="Times New Roman"/>
          <w:sz w:val="32"/>
          <w:szCs w:val="32"/>
          <w:highlight w:val="none"/>
        </w:rPr>
        <w:t>受区人民政府委托，向大会报告资阳区202</w:t>
      </w:r>
      <w:r>
        <w:rPr>
          <w:rFonts w:hint="eastAsia" w:ascii="仿宋_GB2312" w:hAnsi="Times New Roman" w:eastAsia="仿宋_GB2312" w:cs="Times New Roman"/>
          <w:sz w:val="32"/>
          <w:szCs w:val="32"/>
          <w:highlight w:val="none"/>
          <w:lang w:val="en-US" w:eastAsia="zh-CN"/>
        </w:rPr>
        <w:t>4</w:t>
      </w:r>
      <w:r>
        <w:rPr>
          <w:rFonts w:hint="eastAsia" w:ascii="仿宋_GB2312" w:hAnsi="Times New Roman" w:eastAsia="仿宋_GB2312" w:cs="Times New Roman"/>
          <w:sz w:val="32"/>
          <w:szCs w:val="32"/>
          <w:highlight w:val="none"/>
        </w:rPr>
        <w:t>年财政预算执行情况和202</w:t>
      </w:r>
      <w:r>
        <w:rPr>
          <w:rFonts w:hint="eastAsia" w:ascii="仿宋_GB2312" w:hAnsi="Times New Roman" w:eastAsia="仿宋_GB2312" w:cs="Times New Roman"/>
          <w:sz w:val="32"/>
          <w:szCs w:val="32"/>
          <w:highlight w:val="none"/>
          <w:lang w:val="en-US" w:eastAsia="zh-CN"/>
        </w:rPr>
        <w:t>5</w:t>
      </w:r>
      <w:r>
        <w:rPr>
          <w:rFonts w:hint="eastAsia" w:ascii="仿宋_GB2312" w:hAnsi="Times New Roman" w:eastAsia="仿宋_GB2312" w:cs="Times New Roman"/>
          <w:sz w:val="32"/>
          <w:szCs w:val="32"/>
          <w:highlight w:val="none"/>
        </w:rPr>
        <w:t>年财政预算（草案），请予审议。</w:t>
      </w:r>
      <w:r>
        <w:rPr>
          <w:rFonts w:hint="eastAsia" w:ascii="仿宋_GB2312" w:hAnsi="Times New Roman" w:eastAsia="仿宋_GB2312" w:cs="Times New Roman"/>
          <w:sz w:val="32"/>
          <w:szCs w:val="32"/>
        </w:rPr>
        <w:t>并请各位政协委员和列席大会的各界人士提出宝贵意见。</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黑体" w:hAnsi="黑体" w:eastAsia="黑体" w:cs="Times New Roman"/>
          <w:sz w:val="32"/>
          <w:szCs w:val="32"/>
          <w:highlight w:val="none"/>
        </w:rPr>
      </w:pPr>
      <w:r>
        <w:rPr>
          <w:rFonts w:hint="eastAsia" w:ascii="黑体" w:hAnsi="黑体" w:eastAsia="黑体" w:cs="Times New Roman"/>
          <w:sz w:val="32"/>
          <w:szCs w:val="32"/>
          <w:highlight w:val="none"/>
        </w:rPr>
        <w:t>一、202</w:t>
      </w:r>
      <w:r>
        <w:rPr>
          <w:rFonts w:hint="eastAsia" w:ascii="黑体" w:hAnsi="黑体" w:eastAsia="黑体" w:cs="Times New Roman"/>
          <w:sz w:val="32"/>
          <w:szCs w:val="32"/>
          <w:highlight w:val="none"/>
          <w:lang w:val="en-US" w:eastAsia="zh-CN"/>
        </w:rPr>
        <w:t>4</w:t>
      </w:r>
      <w:r>
        <w:rPr>
          <w:rFonts w:hint="eastAsia" w:ascii="黑体" w:hAnsi="黑体" w:eastAsia="黑体" w:cs="Times New Roman"/>
          <w:sz w:val="32"/>
          <w:szCs w:val="32"/>
          <w:highlight w:val="none"/>
        </w:rPr>
        <w:t xml:space="preserve">年财政预算预计执行情况   </w:t>
      </w:r>
    </w:p>
    <w:p>
      <w:pPr>
        <w:keepNext w:val="0"/>
        <w:keepLines w:val="0"/>
        <w:pageBreakBefore w:val="0"/>
        <w:widowControl w:val="0"/>
        <w:kinsoku/>
        <w:wordWrap/>
        <w:overflowPunct/>
        <w:topLinePunct w:val="0"/>
        <w:bidi w:val="0"/>
        <w:snapToGrid/>
        <w:spacing w:line="560" w:lineRule="exact"/>
        <w:ind w:firstLine="642"/>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2024年是中华人民共和国成立75周年，也是实现“十四五”规划的冲刺之年。我们始终坚持以习近平新时代中国特色社会主义思想为指导，坚决贯彻党的二十大和二十届二中、三中全会精神，坚决贯彻落实习近平总书记视察湖南重要讲话精神和对财政工作的重要指示批示，按照中央、省委、市委和区委各项决策部署，扎实推进积极财政政策落实，树牢政府“过紧日子”思想，切实兜牢“三保”底线，有效防范债务风险，充分发挥财政职能作用，</w:t>
      </w:r>
      <w:r>
        <w:rPr>
          <w:rFonts w:hint="eastAsia" w:ascii="仿宋_GB2312" w:hAnsi="仿宋_GB2312" w:eastAsia="仿宋_GB2312" w:cs="仿宋_GB2312"/>
          <w:sz w:val="32"/>
          <w:szCs w:val="32"/>
          <w:highlight w:val="none"/>
          <w:lang w:eastAsia="zh-CN"/>
        </w:rPr>
        <w:t>适度加力、提质增效，较好地完成了年初确定的各项目标任务</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bidi w:val="0"/>
        <w:snapToGrid/>
        <w:spacing w:line="560" w:lineRule="exact"/>
        <w:ind w:firstLine="642"/>
        <w:textAlignment w:val="auto"/>
        <w:rPr>
          <w:rFonts w:ascii="楷体_GB2312" w:hAnsi="Times New Roman" w:eastAsia="楷体_GB2312" w:cs="Times New Roman"/>
          <w:b/>
          <w:bCs/>
          <w:sz w:val="32"/>
          <w:szCs w:val="32"/>
          <w:highlight w:val="none"/>
        </w:rPr>
      </w:pPr>
      <w:r>
        <w:rPr>
          <w:rFonts w:hint="eastAsia" w:ascii="楷体_GB2312" w:hAnsi="Times New Roman" w:eastAsia="楷体_GB2312" w:cs="Times New Roman"/>
          <w:b/>
          <w:bCs/>
          <w:sz w:val="32"/>
          <w:szCs w:val="32"/>
          <w:highlight w:val="none"/>
        </w:rPr>
        <w:t>（一）一般公共预算</w:t>
      </w:r>
    </w:p>
    <w:p>
      <w:pPr>
        <w:keepNext w:val="0"/>
        <w:keepLines w:val="0"/>
        <w:pageBreakBefore w:val="0"/>
        <w:widowControl w:val="0"/>
        <w:kinsoku/>
        <w:wordWrap/>
        <w:overflowPunct/>
        <w:topLinePunct w:val="0"/>
        <w:bidi w:val="0"/>
        <w:snapToGrid/>
        <w:spacing w:line="560" w:lineRule="exact"/>
        <w:ind w:firstLine="642"/>
        <w:textAlignment w:val="auto"/>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b/>
          <w:bCs/>
          <w:sz w:val="32"/>
          <w:szCs w:val="32"/>
          <w:highlight w:val="none"/>
        </w:rPr>
        <w:t>1.一般公共预算收入预计完成情况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ascii="仿宋_GB2312" w:hAnsi="宋体" w:eastAsia="仿宋_GB2312" w:cs="Times New Roman"/>
          <w:color w:val="000000"/>
          <w:kern w:val="0"/>
          <w:sz w:val="32"/>
          <w:szCs w:val="32"/>
          <w:highlight w:val="none"/>
        </w:rPr>
      </w:pPr>
      <w:r>
        <w:rPr>
          <w:rFonts w:hint="eastAsia" w:ascii="仿宋_GB2312" w:hAnsi="宋体" w:eastAsia="仿宋_GB2312" w:cs="Times New Roman"/>
          <w:color w:val="000000"/>
          <w:kern w:val="0"/>
          <w:sz w:val="32"/>
          <w:szCs w:val="32"/>
          <w:highlight w:val="none"/>
        </w:rPr>
        <w:t>202</w:t>
      </w:r>
      <w:r>
        <w:rPr>
          <w:rFonts w:hint="eastAsia" w:ascii="仿宋_GB2312" w:hAnsi="宋体" w:eastAsia="仿宋_GB2312" w:cs="Times New Roman"/>
          <w:color w:val="000000"/>
          <w:kern w:val="0"/>
          <w:sz w:val="32"/>
          <w:szCs w:val="32"/>
          <w:highlight w:val="none"/>
          <w:lang w:val="en-US" w:eastAsia="zh-CN"/>
        </w:rPr>
        <w:t>4</w:t>
      </w:r>
      <w:r>
        <w:rPr>
          <w:rFonts w:hint="eastAsia" w:ascii="仿宋_GB2312" w:hAnsi="宋体" w:eastAsia="仿宋_GB2312" w:cs="Times New Roman"/>
          <w:color w:val="000000"/>
          <w:kern w:val="0"/>
          <w:sz w:val="32"/>
          <w:szCs w:val="32"/>
          <w:highlight w:val="none"/>
        </w:rPr>
        <w:t>年全区完成地方一般公共预算收入</w:t>
      </w:r>
      <w:r>
        <w:rPr>
          <w:rFonts w:hint="eastAsia" w:ascii="仿宋_GB2312" w:hAnsi="Times New Roman" w:eastAsia="仿宋_GB2312" w:cs="Times New Roman"/>
          <w:sz w:val="32"/>
          <w:szCs w:val="32"/>
          <w:highlight w:val="none"/>
          <w:lang w:val="en-US" w:eastAsia="zh-CN"/>
        </w:rPr>
        <w:t>98256万元</w:t>
      </w:r>
      <w:r>
        <w:rPr>
          <w:rFonts w:hint="eastAsia" w:ascii="仿宋_GB2312" w:hAnsi="宋体" w:eastAsia="仿宋_GB2312" w:cs="Times New Roman"/>
          <w:color w:val="000000"/>
          <w:kern w:val="0"/>
          <w:sz w:val="32"/>
          <w:szCs w:val="32"/>
          <w:highlight w:val="none"/>
        </w:rPr>
        <w:t>（含上划市级），同口径增长</w:t>
      </w:r>
      <w:r>
        <w:rPr>
          <w:rFonts w:hint="eastAsia" w:ascii="仿宋_GB2312" w:hAnsi="宋体" w:eastAsia="仿宋_GB2312" w:cs="Times New Roman"/>
          <w:color w:val="000000"/>
          <w:kern w:val="0"/>
          <w:sz w:val="32"/>
          <w:szCs w:val="32"/>
          <w:highlight w:val="none"/>
          <w:lang w:val="en-US" w:eastAsia="zh-CN"/>
        </w:rPr>
        <w:t>11.17</w:t>
      </w:r>
      <w:r>
        <w:rPr>
          <w:rFonts w:hint="eastAsia" w:ascii="仿宋_GB2312" w:hAnsi="宋体" w:eastAsia="仿宋_GB2312" w:cs="Times New Roman"/>
          <w:color w:val="000000"/>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ascii="仿宋_GB2312" w:hAnsi="宋体" w:eastAsia="仿宋_GB2312" w:cs="Times New Roman"/>
          <w:b/>
          <w:bCs/>
          <w:color w:val="000000"/>
          <w:kern w:val="0"/>
          <w:sz w:val="32"/>
          <w:szCs w:val="32"/>
          <w:highlight w:val="none"/>
        </w:rPr>
      </w:pPr>
      <w:r>
        <w:rPr>
          <w:rFonts w:hint="eastAsia" w:ascii="仿宋_GB2312" w:hAnsi="Times New Roman" w:eastAsia="仿宋_GB2312" w:cs="Times New Roman"/>
          <w:color w:val="000000"/>
          <w:sz w:val="32"/>
          <w:szCs w:val="32"/>
          <w:highlight w:val="none"/>
        </w:rPr>
        <w:t>地方一般预算收入中纯区级收入58178万元，税收返还收入4693万元，财力性转移支付收入</w:t>
      </w:r>
      <w:r>
        <w:rPr>
          <w:rFonts w:hint="eastAsia" w:ascii="仿宋_GB2312" w:hAnsi="Times New Roman" w:eastAsia="仿宋_GB2312" w:cs="Times New Roman"/>
          <w:color w:val="000000"/>
          <w:sz w:val="32"/>
          <w:szCs w:val="32"/>
          <w:highlight w:val="none"/>
          <w:lang w:val="en-US" w:eastAsia="zh-CN"/>
        </w:rPr>
        <w:t>113678</w:t>
      </w:r>
      <w:r>
        <w:rPr>
          <w:rFonts w:hint="eastAsia" w:ascii="仿宋_GB2312" w:hAnsi="Times New Roman" w:eastAsia="仿宋_GB2312" w:cs="Times New Roman"/>
          <w:color w:val="000000"/>
          <w:sz w:val="32"/>
          <w:szCs w:val="32"/>
          <w:highlight w:val="none"/>
        </w:rPr>
        <w:t>万元，专项用途一般性转移支付收入98671万元，专项转移支付收入</w:t>
      </w:r>
      <w:r>
        <w:rPr>
          <w:rFonts w:hint="eastAsia" w:ascii="仿宋_GB2312" w:hAnsi="Times New Roman" w:eastAsia="仿宋_GB2312" w:cs="Times New Roman"/>
          <w:color w:val="000000"/>
          <w:sz w:val="32"/>
          <w:szCs w:val="32"/>
          <w:highlight w:val="none"/>
          <w:lang w:val="en-US" w:eastAsia="zh-CN"/>
        </w:rPr>
        <w:t>20335</w:t>
      </w:r>
      <w:r>
        <w:rPr>
          <w:rFonts w:hint="eastAsia" w:ascii="仿宋_GB2312" w:hAnsi="Times New Roman" w:eastAsia="仿宋_GB2312" w:cs="Times New Roman"/>
          <w:color w:val="000000"/>
          <w:sz w:val="32"/>
          <w:szCs w:val="32"/>
          <w:highlight w:val="none"/>
        </w:rPr>
        <w:t>万元，新增债券转贷收入4300万元，上年结转27052万元，调入预算稳定调节资金24659万元，调入资金14820万元，再融资一般债券转贷收入20000万元。全年收入总额</w:t>
      </w:r>
      <w:r>
        <w:rPr>
          <w:rFonts w:hint="eastAsia" w:ascii="仿宋_GB2312" w:hAnsi="Times New Roman" w:eastAsia="仿宋_GB2312" w:cs="Times New Roman"/>
          <w:color w:val="000000"/>
          <w:sz w:val="32"/>
          <w:szCs w:val="32"/>
          <w:highlight w:val="none"/>
          <w:lang w:val="en-US" w:eastAsia="zh-CN"/>
        </w:rPr>
        <w:t>386386</w:t>
      </w:r>
      <w:r>
        <w:rPr>
          <w:rFonts w:hint="eastAsia" w:ascii="仿宋_GB2312" w:hAnsi="Times New Roman" w:eastAsia="仿宋_GB2312" w:cs="Times New Roman"/>
          <w:color w:val="000000"/>
          <w:sz w:val="32"/>
          <w:szCs w:val="32"/>
          <w:highlight w:val="none"/>
        </w:rPr>
        <w:t>万元。</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ascii="仿宋_GB2312" w:hAnsi="仿宋_GB2312" w:eastAsia="仿宋_GB2312" w:cs="仿宋_GB2312"/>
          <w:b/>
          <w:bCs/>
          <w:color w:val="000000"/>
          <w:sz w:val="32"/>
          <w:szCs w:val="32"/>
          <w:highlight w:val="none"/>
          <w:shd w:val="clear" w:color="FFFFFF" w:fill="D9D9D9"/>
        </w:rPr>
      </w:pPr>
      <w:r>
        <w:rPr>
          <w:rFonts w:hint="eastAsia" w:ascii="仿宋_GB2312" w:hAnsi="仿宋_GB2312" w:eastAsia="仿宋_GB2312" w:cs="仿宋_GB2312"/>
          <w:b/>
          <w:bCs/>
          <w:color w:val="000000"/>
          <w:sz w:val="32"/>
          <w:szCs w:val="32"/>
          <w:highlight w:val="none"/>
        </w:rPr>
        <w:t>2.一般公共预算支出预计完成情况</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_GB2312" w:hAnsi="Times New Roman" w:eastAsia="仿宋_GB2312" w:cs="Times New Roman"/>
          <w:color w:val="000000"/>
          <w:kern w:val="0"/>
          <w:sz w:val="32"/>
          <w:szCs w:val="32"/>
          <w:highlight w:val="none"/>
          <w:lang w:val="en-US" w:eastAsia="zh-CN" w:bidi="ar-SA"/>
        </w:rPr>
      </w:pPr>
      <w:r>
        <w:rPr>
          <w:rFonts w:hint="eastAsia" w:ascii="仿宋_GB2312" w:hAnsi="Times New Roman" w:eastAsia="仿宋_GB2312" w:cs="Times New Roman"/>
          <w:color w:val="000000"/>
          <w:kern w:val="0"/>
          <w:sz w:val="32"/>
          <w:szCs w:val="32"/>
          <w:highlight w:val="none"/>
          <w:lang w:val="en-US" w:eastAsia="zh-CN" w:bidi="ar-SA"/>
        </w:rPr>
        <w:t>2024年全区完成一般公共预算支出328471万元，比上年实际支出增加9465万元，增长2.97%。</w:t>
      </w:r>
    </w:p>
    <w:p>
      <w:pPr>
        <w:keepNext w:val="0"/>
        <w:keepLines w:val="0"/>
        <w:pageBreakBefore w:val="0"/>
        <w:widowControl w:val="0"/>
        <w:kinsoku/>
        <w:wordWrap/>
        <w:overflowPunct/>
        <w:topLinePunct w:val="0"/>
        <w:bidi w:val="0"/>
        <w:snapToGrid/>
        <w:spacing w:line="560" w:lineRule="exact"/>
        <w:ind w:firstLine="643" w:firstLineChars="200"/>
        <w:jc w:val="both"/>
        <w:textAlignment w:val="auto"/>
        <w:rPr>
          <w:rFonts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color w:val="000000"/>
          <w:kern w:val="0"/>
          <w:sz w:val="32"/>
          <w:szCs w:val="32"/>
          <w:highlight w:val="none"/>
          <w:lang w:val="en-US" w:eastAsia="zh-CN" w:bidi="ar-SA"/>
        </w:rPr>
        <w:t>3.收支平衡情况</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全年收入总计</w:t>
      </w:r>
      <w:r>
        <w:rPr>
          <w:rFonts w:hint="eastAsia" w:ascii="仿宋_GB2312" w:hAnsi="Times New Roman" w:eastAsia="仿宋_GB2312" w:cs="Times New Roman"/>
          <w:color w:val="000000"/>
          <w:sz w:val="32"/>
          <w:szCs w:val="32"/>
          <w:highlight w:val="none"/>
          <w:lang w:val="en-US" w:eastAsia="zh-CN"/>
        </w:rPr>
        <w:t>386386</w:t>
      </w:r>
      <w:r>
        <w:rPr>
          <w:rFonts w:hint="eastAsia" w:ascii="仿宋_GB2312" w:hAnsi="仿宋_GB2312" w:eastAsia="仿宋_GB2312" w:cs="仿宋_GB2312"/>
          <w:kern w:val="2"/>
          <w:sz w:val="32"/>
          <w:szCs w:val="32"/>
          <w:highlight w:val="none"/>
          <w:lang w:val="en-US" w:eastAsia="zh-CN" w:bidi="ar-SA"/>
        </w:rPr>
        <w:t>万元，一般公共预算支出</w:t>
      </w:r>
      <w:r>
        <w:rPr>
          <w:rFonts w:hint="eastAsia" w:ascii="仿宋_GB2312" w:hAnsi="Times New Roman" w:eastAsia="仿宋_GB2312" w:cs="Times New Roman"/>
          <w:color w:val="000000"/>
          <w:kern w:val="0"/>
          <w:sz w:val="32"/>
          <w:szCs w:val="32"/>
          <w:highlight w:val="none"/>
          <w:lang w:val="en-US" w:eastAsia="zh-CN" w:bidi="ar-SA"/>
        </w:rPr>
        <w:t>328471</w:t>
      </w:r>
      <w:r>
        <w:rPr>
          <w:rFonts w:hint="eastAsia" w:ascii="仿宋_GB2312" w:hAnsi="仿宋_GB2312" w:eastAsia="仿宋_GB2312" w:cs="仿宋_GB2312"/>
          <w:kern w:val="2"/>
          <w:sz w:val="32"/>
          <w:szCs w:val="32"/>
          <w:highlight w:val="none"/>
          <w:lang w:val="en-US" w:eastAsia="zh-CN" w:bidi="ar-SA"/>
        </w:rPr>
        <w:t>万元，上解上级支出9331万元，地方政府债券还本支出20000万元，结转下年支出28584万元，收支平衡。其中，区级可用财力209465万元（含一般债券收入4300万元），对应安排区级财政支出209465万元（含一般债券支出4300万元）。</w:t>
      </w:r>
    </w:p>
    <w:p>
      <w:pPr>
        <w:keepNext w:val="0"/>
        <w:keepLines w:val="0"/>
        <w:pageBreakBefore w:val="0"/>
        <w:widowControl w:val="0"/>
        <w:kinsoku/>
        <w:wordWrap/>
        <w:overflowPunct/>
        <w:topLinePunct w:val="0"/>
        <w:bidi w:val="0"/>
        <w:snapToGrid/>
        <w:spacing w:line="560" w:lineRule="exact"/>
        <w:ind w:firstLine="643" w:firstLineChars="200"/>
        <w:jc w:val="both"/>
        <w:textAlignment w:val="auto"/>
        <w:rPr>
          <w:rFonts w:ascii="仿宋_GB2312" w:hAnsi="Times New Roman" w:eastAsia="仿宋_GB2312" w:cs="Times New Roman"/>
          <w:kern w:val="2"/>
          <w:sz w:val="32"/>
          <w:szCs w:val="32"/>
          <w:highlight w:val="none"/>
          <w:lang w:val="en-US" w:eastAsia="zh-CN" w:bidi="ar-SA"/>
        </w:rPr>
      </w:pPr>
      <w:r>
        <w:rPr>
          <w:rFonts w:hint="eastAsia" w:ascii="楷体_GB2312" w:hAnsi="楷体_GB2312" w:eastAsia="楷体_GB2312" w:cs="楷体_GB2312"/>
          <w:b/>
          <w:bCs/>
          <w:kern w:val="2"/>
          <w:sz w:val="32"/>
          <w:szCs w:val="32"/>
          <w:highlight w:val="none"/>
          <w:lang w:val="en-US" w:eastAsia="zh-CN" w:bidi="ar-SA"/>
        </w:rPr>
        <w:t>（二）政府性基金</w:t>
      </w:r>
    </w:p>
    <w:p>
      <w:pPr>
        <w:keepNext w:val="0"/>
        <w:keepLines w:val="0"/>
        <w:pageBreakBefore w:val="0"/>
        <w:widowControl w:val="0"/>
        <w:kinsoku/>
        <w:wordWrap/>
        <w:overflowPunct/>
        <w:topLinePunct w:val="0"/>
        <w:bidi w:val="0"/>
        <w:snapToGrid/>
        <w:spacing w:line="560" w:lineRule="exact"/>
        <w:ind w:left="13" w:leftChars="6" w:firstLine="640" w:firstLineChars="200"/>
        <w:textAlignment w:val="auto"/>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202</w:t>
      </w:r>
      <w:r>
        <w:rPr>
          <w:rFonts w:hint="eastAsia" w:ascii="仿宋_GB2312" w:hAnsi="Times New Roman" w:eastAsia="仿宋_GB2312" w:cs="Times New Roman"/>
          <w:sz w:val="32"/>
          <w:szCs w:val="32"/>
          <w:highlight w:val="none"/>
          <w:lang w:val="en-US" w:eastAsia="zh-CN"/>
        </w:rPr>
        <w:t>4</w:t>
      </w:r>
      <w:r>
        <w:rPr>
          <w:rFonts w:hint="eastAsia" w:ascii="仿宋_GB2312" w:hAnsi="Times New Roman" w:eastAsia="仿宋_GB2312" w:cs="Times New Roman"/>
          <w:sz w:val="32"/>
          <w:szCs w:val="32"/>
          <w:highlight w:val="none"/>
        </w:rPr>
        <w:t>年全区完成政府性基金收入总计</w:t>
      </w:r>
      <w:r>
        <w:rPr>
          <w:rFonts w:hint="eastAsia" w:ascii="仿宋_GB2312" w:hAnsi="Times New Roman" w:eastAsia="仿宋_GB2312" w:cs="Times New Roman"/>
          <w:sz w:val="32"/>
          <w:szCs w:val="32"/>
          <w:highlight w:val="none"/>
          <w:lang w:val="en-US" w:eastAsia="zh-CN"/>
        </w:rPr>
        <w:t>174593</w:t>
      </w:r>
      <w:r>
        <w:rPr>
          <w:rFonts w:hint="eastAsia" w:ascii="仿宋_GB2312" w:hAnsi="Times New Roman" w:eastAsia="仿宋_GB2312" w:cs="Times New Roman"/>
          <w:sz w:val="32"/>
          <w:szCs w:val="32"/>
          <w:highlight w:val="none"/>
        </w:rPr>
        <w:t>万元。</w:t>
      </w:r>
      <w:r>
        <w:rPr>
          <w:rFonts w:hint="eastAsia" w:ascii="仿宋_GB2312" w:hAnsi="Times New Roman" w:eastAsia="仿宋_GB2312" w:cs="Times New Roman"/>
          <w:sz w:val="32"/>
          <w:szCs w:val="32"/>
          <w:highlight w:val="none"/>
          <w:lang w:eastAsia="zh-CN"/>
        </w:rPr>
        <w:t>地方</w:t>
      </w:r>
      <w:r>
        <w:rPr>
          <w:rFonts w:hint="eastAsia" w:ascii="仿宋_GB2312" w:hAnsi="Times New Roman" w:eastAsia="仿宋_GB2312" w:cs="Times New Roman"/>
          <w:sz w:val="32"/>
          <w:szCs w:val="32"/>
          <w:highlight w:val="none"/>
        </w:rPr>
        <w:t>政府性基金收入预计完成</w:t>
      </w:r>
      <w:r>
        <w:rPr>
          <w:rFonts w:hint="eastAsia" w:ascii="仿宋_GB2312" w:hAnsi="Times New Roman" w:eastAsia="仿宋_GB2312" w:cs="Times New Roman"/>
          <w:sz w:val="32"/>
          <w:szCs w:val="32"/>
          <w:highlight w:val="none"/>
          <w:lang w:val="en-US" w:eastAsia="zh-CN"/>
        </w:rPr>
        <w:t>16348</w:t>
      </w:r>
      <w:r>
        <w:rPr>
          <w:rFonts w:hint="eastAsia" w:ascii="仿宋_GB2312" w:hAnsi="Times New Roman" w:eastAsia="仿宋_GB2312" w:cs="Times New Roman"/>
          <w:sz w:val="32"/>
          <w:szCs w:val="32"/>
          <w:highlight w:val="none"/>
        </w:rPr>
        <w:t>万元；上级补助收入（含市级返还国有土地使用权出让收入）</w:t>
      </w:r>
      <w:r>
        <w:rPr>
          <w:rFonts w:hint="eastAsia" w:ascii="仿宋_GB2312" w:hAnsi="Times New Roman" w:eastAsia="仿宋_GB2312" w:cs="Times New Roman"/>
          <w:sz w:val="32"/>
          <w:szCs w:val="32"/>
          <w:highlight w:val="none"/>
          <w:lang w:val="en-US" w:eastAsia="zh-CN"/>
        </w:rPr>
        <w:t>35269</w:t>
      </w:r>
      <w:r>
        <w:rPr>
          <w:rFonts w:hint="eastAsia" w:ascii="仿宋_GB2312" w:hAnsi="Times New Roman" w:eastAsia="仿宋_GB2312" w:cs="Times New Roman"/>
          <w:sz w:val="32"/>
          <w:szCs w:val="32"/>
          <w:highlight w:val="none"/>
        </w:rPr>
        <w:t>万元；地方政府专项债务转贷收入</w:t>
      </w:r>
      <w:r>
        <w:rPr>
          <w:rFonts w:hint="eastAsia" w:ascii="仿宋_GB2312" w:hAnsi="Times New Roman" w:eastAsia="仿宋_GB2312" w:cs="Times New Roman"/>
          <w:sz w:val="32"/>
          <w:szCs w:val="32"/>
          <w:highlight w:val="none"/>
          <w:lang w:eastAsia="zh-CN"/>
        </w:rPr>
        <w:t>（新增债券）</w:t>
      </w:r>
      <w:r>
        <w:rPr>
          <w:rFonts w:hint="eastAsia" w:ascii="仿宋_GB2312" w:hAnsi="Times New Roman" w:eastAsia="仿宋_GB2312" w:cs="Times New Roman"/>
          <w:sz w:val="32"/>
          <w:szCs w:val="32"/>
          <w:highlight w:val="none"/>
          <w:lang w:val="en-US" w:eastAsia="zh-CN"/>
        </w:rPr>
        <w:t>94500</w:t>
      </w:r>
      <w:r>
        <w:rPr>
          <w:rFonts w:hint="eastAsia" w:ascii="仿宋_GB2312" w:hAnsi="Times New Roman" w:eastAsia="仿宋_GB2312" w:cs="Times New Roman"/>
          <w:sz w:val="32"/>
          <w:szCs w:val="32"/>
          <w:highlight w:val="none"/>
        </w:rPr>
        <w:t>万元；地方政府专项债务转贷收入（再融资债券）13390万元，上年结转15086万元。202</w:t>
      </w:r>
      <w:r>
        <w:rPr>
          <w:rFonts w:hint="eastAsia" w:ascii="仿宋_GB2312" w:hAnsi="Times New Roman" w:eastAsia="仿宋_GB2312" w:cs="Times New Roman"/>
          <w:sz w:val="32"/>
          <w:szCs w:val="32"/>
          <w:highlight w:val="none"/>
          <w:lang w:val="en-US" w:eastAsia="zh-CN"/>
        </w:rPr>
        <w:t>4</w:t>
      </w:r>
      <w:r>
        <w:rPr>
          <w:rFonts w:hint="eastAsia" w:ascii="仿宋_GB2312" w:hAnsi="Times New Roman" w:eastAsia="仿宋_GB2312" w:cs="Times New Roman"/>
          <w:sz w:val="32"/>
          <w:szCs w:val="32"/>
          <w:highlight w:val="none"/>
        </w:rPr>
        <w:t>年预计完成政府性基金支出总计</w:t>
      </w:r>
      <w:r>
        <w:rPr>
          <w:rFonts w:hint="eastAsia" w:ascii="仿宋_GB2312" w:hAnsi="Times New Roman" w:eastAsia="仿宋_GB2312" w:cs="Times New Roman"/>
          <w:sz w:val="32"/>
          <w:szCs w:val="32"/>
          <w:highlight w:val="none"/>
          <w:lang w:val="en-US" w:eastAsia="zh-CN"/>
        </w:rPr>
        <w:t>174593</w:t>
      </w:r>
      <w:r>
        <w:rPr>
          <w:rFonts w:hint="eastAsia" w:ascii="仿宋_GB2312" w:hAnsi="Times New Roman" w:eastAsia="仿宋_GB2312" w:cs="Times New Roman"/>
          <w:sz w:val="32"/>
          <w:szCs w:val="32"/>
          <w:highlight w:val="none"/>
        </w:rPr>
        <w:t>万元，其中：政府性基金支出</w:t>
      </w:r>
      <w:r>
        <w:rPr>
          <w:rFonts w:hint="eastAsia" w:ascii="仿宋_GB2312" w:hAnsi="Times New Roman" w:eastAsia="仿宋_GB2312" w:cs="Times New Roman"/>
          <w:sz w:val="32"/>
          <w:szCs w:val="32"/>
          <w:highlight w:val="none"/>
          <w:lang w:val="en-US" w:eastAsia="zh-CN"/>
        </w:rPr>
        <w:t>135991</w:t>
      </w:r>
      <w:r>
        <w:rPr>
          <w:rFonts w:hint="eastAsia" w:ascii="仿宋_GB2312" w:hAnsi="Times New Roman" w:eastAsia="仿宋_GB2312" w:cs="Times New Roman"/>
          <w:sz w:val="32"/>
          <w:szCs w:val="32"/>
          <w:highlight w:val="none"/>
        </w:rPr>
        <w:t>万元（含专项债券付息支出7403万元）；地方政府专项债务还本支出17100万元；调出资金9320万元；结转下年支出12182万元。当年收支平衡。</w:t>
      </w:r>
    </w:p>
    <w:p>
      <w:pPr>
        <w:keepNext w:val="0"/>
        <w:keepLines w:val="0"/>
        <w:pageBreakBefore w:val="0"/>
        <w:widowControl w:val="0"/>
        <w:kinsoku/>
        <w:wordWrap/>
        <w:overflowPunct/>
        <w:topLinePunct w:val="0"/>
        <w:bidi w:val="0"/>
        <w:snapToGrid/>
        <w:spacing w:line="560" w:lineRule="exact"/>
        <w:ind w:left="13" w:leftChars="6" w:firstLine="643" w:firstLineChars="200"/>
        <w:textAlignment w:val="auto"/>
        <w:rPr>
          <w:rFonts w:ascii="仿宋_GB2312" w:hAnsi="宋体" w:eastAsia="仿宋_GB2312" w:cs="Times New Roman"/>
          <w:sz w:val="32"/>
          <w:szCs w:val="32"/>
          <w:highlight w:val="none"/>
        </w:rPr>
      </w:pPr>
      <w:r>
        <w:rPr>
          <w:rFonts w:hint="eastAsia" w:ascii="楷体_GB2312" w:hAnsi="Times New Roman" w:eastAsia="楷体_GB2312" w:cs="Times New Roman"/>
          <w:b/>
          <w:sz w:val="32"/>
          <w:szCs w:val="32"/>
          <w:highlight w:val="none"/>
        </w:rPr>
        <w:t>（三）社会保险基金</w:t>
      </w:r>
    </w:p>
    <w:p>
      <w:pPr>
        <w:keepNext w:val="0"/>
        <w:keepLines w:val="0"/>
        <w:pageBreakBefore w:val="0"/>
        <w:widowControl w:val="0"/>
        <w:kinsoku/>
        <w:wordWrap/>
        <w:overflowPunct/>
        <w:topLinePunct w:val="0"/>
        <w:bidi w:val="0"/>
        <w:snapToGrid/>
        <w:spacing w:line="560" w:lineRule="exact"/>
        <w:ind w:left="13" w:leftChars="6" w:firstLine="640" w:firstLineChars="200"/>
        <w:textAlignment w:val="auto"/>
        <w:rPr>
          <w:rFonts w:hint="eastAsia"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rPr>
        <w:t>2024年社会保险基金收入61892万元，其中：城乡居民基本养老保险基金收入21916万元，机关事业单位养老保险基金收入39976万元。</w:t>
      </w:r>
    </w:p>
    <w:p>
      <w:pPr>
        <w:keepNext w:val="0"/>
        <w:keepLines w:val="0"/>
        <w:pageBreakBefore w:val="0"/>
        <w:widowControl w:val="0"/>
        <w:kinsoku/>
        <w:wordWrap/>
        <w:overflowPunct/>
        <w:topLinePunct w:val="0"/>
        <w:bidi w:val="0"/>
        <w:snapToGrid/>
        <w:spacing w:line="560" w:lineRule="exact"/>
        <w:ind w:left="13" w:leftChars="6" w:firstLine="640" w:firstLineChars="200"/>
        <w:textAlignment w:val="auto"/>
        <w:rPr>
          <w:rFonts w:hint="eastAsia"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rPr>
        <w:t>2024年社会保险基金支出51602万元。其中：城乡居民基本养老保险基金支出12741万元；机关事业单位养老保险基金支出38861万元。</w:t>
      </w:r>
    </w:p>
    <w:p>
      <w:pPr>
        <w:keepNext w:val="0"/>
        <w:keepLines w:val="0"/>
        <w:pageBreakBefore w:val="0"/>
        <w:widowControl w:val="0"/>
        <w:kinsoku/>
        <w:wordWrap/>
        <w:overflowPunct/>
        <w:topLinePunct w:val="0"/>
        <w:bidi w:val="0"/>
        <w:snapToGrid/>
        <w:spacing w:line="560" w:lineRule="exact"/>
        <w:ind w:left="13" w:leftChars="6" w:firstLine="640" w:firstLineChars="200"/>
        <w:textAlignment w:val="auto"/>
        <w:rPr>
          <w:rFonts w:hint="eastAsia" w:ascii="仿宋_GB2312" w:hAnsi="宋体" w:eastAsia="仿宋_GB2312" w:cs="Times New Roman"/>
          <w:sz w:val="32"/>
          <w:szCs w:val="32"/>
          <w:highlight w:val="none"/>
          <w:lang w:val="en-US" w:eastAsia="zh-CN"/>
        </w:rPr>
      </w:pPr>
      <w:r>
        <w:rPr>
          <w:rFonts w:hint="eastAsia" w:ascii="仿宋_GB2312" w:hAnsi="宋体" w:eastAsia="仿宋_GB2312" w:cs="Times New Roman"/>
          <w:sz w:val="32"/>
          <w:szCs w:val="32"/>
          <w:highlight w:val="none"/>
        </w:rPr>
        <w:t>收支相抵，社保基金本年收支结余10290万元</w:t>
      </w:r>
      <w:r>
        <w:rPr>
          <w:rFonts w:hint="eastAsia" w:ascii="仿宋_GB2312" w:hAnsi="宋体" w:eastAsia="仿宋_GB2312" w:cs="Times New Roman"/>
          <w:sz w:val="32"/>
          <w:szCs w:val="32"/>
          <w:highlight w:val="none"/>
          <w:lang w:eastAsia="zh-CN"/>
        </w:rPr>
        <w:t>。</w:t>
      </w:r>
    </w:p>
    <w:p>
      <w:pPr>
        <w:keepNext w:val="0"/>
        <w:keepLines w:val="0"/>
        <w:pageBreakBefore w:val="0"/>
        <w:widowControl w:val="0"/>
        <w:numPr>
          <w:ilvl w:val="0"/>
          <w:numId w:val="0"/>
        </w:numPr>
        <w:kinsoku/>
        <w:wordWrap/>
        <w:overflowPunct/>
        <w:topLinePunct w:val="0"/>
        <w:bidi w:val="0"/>
        <w:snapToGrid/>
        <w:spacing w:line="560" w:lineRule="exact"/>
        <w:ind w:left="13" w:leftChars="6" w:firstLine="643" w:firstLineChars="200"/>
        <w:textAlignment w:val="auto"/>
        <w:rPr>
          <w:rFonts w:hint="eastAsia" w:ascii="楷体_GB2312" w:hAnsi="楷体_GB2312" w:eastAsia="楷体_GB2312" w:cs="楷体_GB2312"/>
          <w:b/>
          <w:bCs/>
          <w:sz w:val="32"/>
          <w:szCs w:val="32"/>
          <w:highlight w:val="none"/>
          <w:lang w:eastAsia="zh-CN"/>
        </w:rPr>
      </w:pPr>
      <w:r>
        <w:rPr>
          <w:rFonts w:hint="eastAsia" w:ascii="楷体_GB2312" w:hAnsi="楷体_GB2312" w:eastAsia="楷体_GB2312" w:cs="楷体_GB2312"/>
          <w:b/>
          <w:bCs/>
          <w:kern w:val="2"/>
          <w:sz w:val="32"/>
          <w:szCs w:val="32"/>
          <w:lang w:val="en-US" w:eastAsia="zh-CN" w:bidi="ar-SA"/>
        </w:rPr>
        <w:t>（四）</w:t>
      </w:r>
      <w:r>
        <w:rPr>
          <w:rFonts w:hint="eastAsia" w:ascii="楷体_GB2312" w:hAnsi="楷体_GB2312" w:eastAsia="楷体_GB2312" w:cs="楷体_GB2312"/>
          <w:b/>
          <w:bCs/>
          <w:sz w:val="32"/>
          <w:szCs w:val="32"/>
          <w:highlight w:val="none"/>
          <w:lang w:eastAsia="zh-CN"/>
        </w:rPr>
        <w:t>国有资本经营预算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sz w:val="32"/>
          <w:szCs w:val="32"/>
          <w:highlight w:val="none"/>
          <w:lang w:eastAsia="zh-CN"/>
        </w:rPr>
      </w:pPr>
      <w:r>
        <w:rPr>
          <w:rFonts w:hint="eastAsia" w:ascii="仿宋_GB2312" w:hAnsi="宋体" w:eastAsia="仿宋_GB2312" w:cs="Times New Roman"/>
          <w:sz w:val="32"/>
          <w:szCs w:val="32"/>
          <w:highlight w:val="none"/>
          <w:lang w:eastAsia="zh-CN"/>
        </w:rPr>
        <w:t>2024年国有资本经营收入136万元，安排其他支出136万元，收支平衡。</w:t>
      </w:r>
    </w:p>
    <w:p>
      <w:pPr>
        <w:keepNext w:val="0"/>
        <w:keepLines w:val="0"/>
        <w:pageBreakBefore w:val="0"/>
        <w:widowControl w:val="0"/>
        <w:kinsoku/>
        <w:wordWrap/>
        <w:overflowPunct/>
        <w:topLinePunct w:val="0"/>
        <w:bidi w:val="0"/>
        <w:snapToGrid/>
        <w:spacing w:line="560" w:lineRule="exact"/>
        <w:ind w:firstLine="643" w:firstLineChars="200"/>
        <w:textAlignment w:val="auto"/>
        <w:rPr>
          <w:rFonts w:ascii="楷体_GB2312" w:hAnsi="Times New Roman" w:eastAsia="楷体_GB2312" w:cs="Times New Roman"/>
          <w:b/>
          <w:sz w:val="32"/>
          <w:szCs w:val="32"/>
          <w:highlight w:val="none"/>
        </w:rPr>
      </w:pPr>
      <w:r>
        <w:rPr>
          <w:rFonts w:hint="eastAsia" w:ascii="楷体_GB2312" w:hAnsi="Times New Roman" w:eastAsia="楷体_GB2312" w:cs="Times New Roman"/>
          <w:b/>
          <w:sz w:val="32"/>
          <w:szCs w:val="32"/>
          <w:highlight w:val="none"/>
          <w:lang w:eastAsia="zh-CN"/>
        </w:rPr>
        <w:t>（五）</w:t>
      </w:r>
      <w:r>
        <w:rPr>
          <w:rFonts w:hint="eastAsia" w:ascii="楷体_GB2312" w:hAnsi="Times New Roman" w:eastAsia="楷体_GB2312" w:cs="Times New Roman"/>
          <w:b/>
          <w:sz w:val="32"/>
          <w:szCs w:val="32"/>
          <w:highlight w:val="none"/>
        </w:rPr>
        <w:t>全区政府债务情况</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宋体" w:cs="Times New Roman"/>
          <w:highlight w:val="none"/>
        </w:rPr>
      </w:pPr>
      <w:r>
        <w:rPr>
          <w:rFonts w:hint="eastAsia" w:ascii="仿宋_GB2312" w:hAnsi="仿宋_GB2312" w:eastAsia="仿宋_GB2312" w:cs="仿宋_GB2312"/>
          <w:sz w:val="32"/>
          <w:szCs w:val="32"/>
          <w:highlight w:val="none"/>
        </w:rPr>
        <w:t>至2024年年末，全区地方政府债务余额</w:t>
      </w:r>
      <w:r>
        <w:rPr>
          <w:rFonts w:hint="eastAsia" w:ascii="仿宋_GB2312" w:hAnsi="仿宋_GB2312" w:eastAsia="仿宋_GB2312" w:cs="仿宋_GB2312"/>
          <w:sz w:val="32"/>
          <w:szCs w:val="32"/>
          <w:highlight w:val="none"/>
          <w:lang w:val="en-US" w:eastAsia="zh-CN"/>
        </w:rPr>
        <w:t>58.21</w:t>
      </w:r>
      <w:r>
        <w:rPr>
          <w:rFonts w:hint="eastAsia" w:ascii="仿宋_GB2312" w:hAnsi="仿宋_GB2312" w:eastAsia="仿宋_GB2312" w:cs="仿宋_GB2312"/>
          <w:sz w:val="32"/>
          <w:szCs w:val="32"/>
          <w:highlight w:val="none"/>
        </w:rPr>
        <w:t>亿元，控制在债务限额以内</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全年</w:t>
      </w:r>
      <w:r>
        <w:rPr>
          <w:rFonts w:hint="eastAsia" w:ascii="仿宋_GB2312" w:hAnsi="仿宋_GB2312" w:eastAsia="仿宋_GB2312" w:cs="仿宋_GB2312"/>
          <w:sz w:val="32"/>
          <w:szCs w:val="32"/>
          <w:highlight w:val="none"/>
          <w:lang w:eastAsia="zh-CN"/>
        </w:rPr>
        <w:t>政府</w:t>
      </w:r>
      <w:r>
        <w:rPr>
          <w:rFonts w:hint="eastAsia" w:ascii="仿宋_GB2312" w:hAnsi="仿宋_GB2312" w:eastAsia="仿宋_GB2312" w:cs="仿宋_GB2312"/>
          <w:sz w:val="32"/>
          <w:szCs w:val="32"/>
          <w:highlight w:val="none"/>
        </w:rPr>
        <w:t>债务还本支出合计0.37亿元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全年</w:t>
      </w:r>
      <w:r>
        <w:rPr>
          <w:rFonts w:hint="eastAsia" w:ascii="仿宋_GB2312" w:hAnsi="仿宋_GB2312" w:eastAsia="仿宋_GB2312" w:cs="仿宋_GB2312"/>
          <w:sz w:val="32"/>
          <w:szCs w:val="32"/>
          <w:highlight w:val="none"/>
          <w:lang w:eastAsia="zh-CN"/>
        </w:rPr>
        <w:t>政府</w:t>
      </w:r>
      <w:r>
        <w:rPr>
          <w:rFonts w:hint="eastAsia" w:ascii="仿宋_GB2312" w:hAnsi="仿宋_GB2312" w:eastAsia="仿宋_GB2312" w:cs="仿宋_GB2312"/>
          <w:sz w:val="32"/>
          <w:szCs w:val="32"/>
          <w:highlight w:val="none"/>
        </w:rPr>
        <w:t>债务付息支出合计1.38亿元，其中一般债券付息0.64亿元，专项债券付息0.74亿元</w:t>
      </w:r>
      <w:r>
        <w:rPr>
          <w:rFonts w:hint="eastAsia" w:ascii="仿宋_GB2312" w:hAnsi="仿宋_GB2312" w:eastAsia="仿宋_GB2312" w:cs="仿宋_GB2312"/>
          <w:sz w:val="32"/>
          <w:szCs w:val="32"/>
          <w:highlight w:val="none"/>
          <w:lang w:eastAsia="zh-CN"/>
        </w:rPr>
        <w:t>；顺利</w:t>
      </w:r>
      <w:r>
        <w:rPr>
          <w:rFonts w:hint="eastAsia" w:ascii="仿宋_GB2312" w:hAnsi="仿宋_GB2312" w:eastAsia="仿宋_GB2312" w:cs="仿宋_GB2312"/>
          <w:sz w:val="32"/>
          <w:szCs w:val="32"/>
          <w:highlight w:val="none"/>
        </w:rPr>
        <w:t>完成上报中央化债任务</w:t>
      </w:r>
      <w:r>
        <w:rPr>
          <w:rFonts w:hint="eastAsia" w:ascii="仿宋_GB2312" w:hAnsi="仿宋_GB2312" w:eastAsia="仿宋_GB2312" w:cs="仿宋_GB2312"/>
          <w:sz w:val="32"/>
          <w:szCs w:val="32"/>
          <w:highlight w:val="none"/>
          <w:lang w:eastAsia="zh-CN"/>
        </w:rPr>
        <w:t>，</w:t>
      </w:r>
      <w:r>
        <w:rPr>
          <w:rFonts w:hint="eastAsia" w:ascii="仿宋_GB2312" w:hAnsi="宋体" w:eastAsia="仿宋_GB2312" w:cs="仿宋_GB2312"/>
          <w:bCs/>
          <w:color w:val="000000"/>
          <w:sz w:val="32"/>
          <w:szCs w:val="32"/>
          <w:highlight w:val="none"/>
        </w:rPr>
        <w:t>全年无逾期债务，未发生债务风险事件。</w:t>
      </w:r>
    </w:p>
    <w:p>
      <w:pPr>
        <w:keepNext w:val="0"/>
        <w:keepLines w:val="0"/>
        <w:pageBreakBefore w:val="0"/>
        <w:widowControl w:val="0"/>
        <w:kinsoku/>
        <w:wordWrap/>
        <w:overflowPunct/>
        <w:topLinePunct w:val="0"/>
        <w:bidi w:val="0"/>
        <w:snapToGrid/>
        <w:spacing w:line="560" w:lineRule="exact"/>
        <w:ind w:firstLine="643" w:firstLineChars="200"/>
        <w:textAlignment w:val="auto"/>
        <w:rPr>
          <w:rFonts w:ascii="楷体_GB2312" w:hAnsi="Times New Roman" w:eastAsia="楷体_GB2312" w:cs="Times New Roman"/>
          <w:b/>
          <w:bCs/>
          <w:sz w:val="32"/>
          <w:szCs w:val="32"/>
          <w:highlight w:val="none"/>
        </w:rPr>
      </w:pPr>
      <w:r>
        <w:rPr>
          <w:rFonts w:hint="eastAsia" w:ascii="楷体_GB2312" w:hAnsi="Times New Roman" w:eastAsia="楷体_GB2312" w:cs="Times New Roman"/>
          <w:b/>
          <w:bCs/>
          <w:sz w:val="32"/>
          <w:szCs w:val="32"/>
          <w:highlight w:val="none"/>
        </w:rPr>
        <w:t>（</w:t>
      </w:r>
      <w:r>
        <w:rPr>
          <w:rFonts w:hint="eastAsia" w:ascii="楷体_GB2312" w:hAnsi="Times New Roman" w:eastAsia="楷体_GB2312" w:cs="Times New Roman"/>
          <w:b/>
          <w:bCs/>
          <w:sz w:val="32"/>
          <w:szCs w:val="32"/>
          <w:highlight w:val="none"/>
          <w:lang w:eastAsia="zh-CN"/>
        </w:rPr>
        <w:t>六</w:t>
      </w:r>
      <w:r>
        <w:rPr>
          <w:rFonts w:hint="eastAsia" w:ascii="楷体_GB2312" w:hAnsi="Times New Roman" w:eastAsia="楷体_GB2312" w:cs="Times New Roman"/>
          <w:b/>
          <w:bCs/>
          <w:sz w:val="32"/>
          <w:szCs w:val="32"/>
          <w:highlight w:val="none"/>
        </w:rPr>
        <w:t>）202</w:t>
      </w:r>
      <w:r>
        <w:rPr>
          <w:rFonts w:hint="eastAsia" w:ascii="楷体_GB2312" w:hAnsi="Times New Roman" w:eastAsia="楷体_GB2312" w:cs="Times New Roman"/>
          <w:b/>
          <w:bCs/>
          <w:sz w:val="32"/>
          <w:szCs w:val="32"/>
          <w:highlight w:val="none"/>
          <w:lang w:val="en-US" w:eastAsia="zh-CN"/>
        </w:rPr>
        <w:t>4</w:t>
      </w:r>
      <w:r>
        <w:rPr>
          <w:rFonts w:hint="eastAsia" w:ascii="楷体_GB2312" w:hAnsi="Times New Roman" w:eastAsia="楷体_GB2312" w:cs="Times New Roman"/>
          <w:b/>
          <w:bCs/>
          <w:sz w:val="32"/>
          <w:szCs w:val="32"/>
          <w:highlight w:val="none"/>
        </w:rPr>
        <w:t>年财政工作特点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val="0"/>
          <w:sz w:val="32"/>
          <w:szCs w:val="32"/>
          <w:highlight w:val="none"/>
        </w:rPr>
      </w:pPr>
      <w:r>
        <w:rPr>
          <w:rFonts w:hint="eastAsia" w:ascii="仿宋_GB2312" w:hAnsi="仿宋_GB2312" w:eastAsia="仿宋_GB2312" w:cs="仿宋_GB2312"/>
          <w:b/>
          <w:bCs w:val="0"/>
          <w:sz w:val="32"/>
          <w:szCs w:val="32"/>
          <w:highlight w:val="none"/>
          <w:lang w:val="en-US" w:eastAsia="zh-CN"/>
        </w:rPr>
        <w:t>1.</w:t>
      </w:r>
      <w:r>
        <w:rPr>
          <w:rFonts w:hint="eastAsia" w:ascii="仿宋_GB2312" w:hAnsi="仿宋_GB2312" w:eastAsia="仿宋_GB2312" w:cs="仿宋_GB2312"/>
          <w:b/>
          <w:bCs w:val="0"/>
          <w:sz w:val="32"/>
          <w:szCs w:val="32"/>
          <w:highlight w:val="none"/>
        </w:rPr>
        <w:t>稳财源</w:t>
      </w:r>
      <w:r>
        <w:rPr>
          <w:rFonts w:hint="eastAsia" w:ascii="仿宋_GB2312" w:hAnsi="仿宋_GB2312" w:eastAsia="仿宋_GB2312" w:cs="仿宋_GB2312"/>
          <w:b/>
          <w:bCs w:val="0"/>
          <w:sz w:val="32"/>
          <w:szCs w:val="32"/>
          <w:highlight w:val="none"/>
          <w:lang w:eastAsia="zh-CN"/>
        </w:rPr>
        <w:t>，</w:t>
      </w:r>
      <w:r>
        <w:rPr>
          <w:rFonts w:hint="eastAsia" w:ascii="仿宋_GB2312" w:hAnsi="仿宋_GB2312" w:eastAsia="仿宋_GB2312" w:cs="仿宋_GB2312"/>
          <w:b/>
          <w:bCs w:val="0"/>
          <w:sz w:val="32"/>
          <w:szCs w:val="32"/>
          <w:highlight w:val="none"/>
        </w:rPr>
        <w:t>着力挖潜增收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bCs w:val="0"/>
          <w:sz w:val="32"/>
          <w:szCs w:val="32"/>
          <w:highlight w:val="none"/>
        </w:rPr>
        <w:t>一是多位一体强征管。</w:t>
      </w:r>
      <w:r>
        <w:rPr>
          <w:rFonts w:hint="eastAsia" w:ascii="仿宋_GB2312" w:hAnsi="仿宋_GB2312" w:eastAsia="仿宋_GB2312" w:cs="仿宋_GB2312"/>
          <w:bCs/>
          <w:sz w:val="32"/>
          <w:szCs w:val="32"/>
          <w:highlight w:val="none"/>
        </w:rPr>
        <w:t>加强财政、税务、自然资源、住建、工信等部门协作联动，全面摸清税源家底，对重点行业、重大企业、重要税种、新增税源实行动态监控，统筹协调抓好综合治税，夯实税收征管基础，确保收入及时、足额征收入库，挖掘税收潜力，稳住收入总量。</w:t>
      </w:r>
      <w:r>
        <w:rPr>
          <w:rFonts w:hint="eastAsia" w:ascii="仿宋_GB2312" w:hAnsi="仿宋_GB2312" w:eastAsia="仿宋_GB2312" w:cs="仿宋_GB2312"/>
          <w:b/>
          <w:bCs w:val="0"/>
          <w:sz w:val="32"/>
          <w:szCs w:val="32"/>
          <w:highlight w:val="none"/>
        </w:rPr>
        <w:t>二是纾困解难培育市场。</w:t>
      </w:r>
      <w:r>
        <w:rPr>
          <w:rFonts w:hint="eastAsia" w:ascii="仿宋_GB2312" w:hAnsi="仿宋_GB2312" w:eastAsia="仿宋_GB2312" w:cs="仿宋_GB2312"/>
          <w:bCs/>
          <w:sz w:val="32"/>
          <w:szCs w:val="32"/>
          <w:highlight w:val="none"/>
        </w:rPr>
        <w:t>结合国家、省、</w:t>
      </w:r>
      <w:r>
        <w:rPr>
          <w:rFonts w:hint="eastAsia" w:ascii="仿宋_GB2312" w:hAnsi="仿宋_GB2312" w:eastAsia="仿宋_GB2312" w:cs="仿宋_GB2312"/>
          <w:bCs/>
          <w:sz w:val="32"/>
          <w:szCs w:val="32"/>
          <w:highlight w:val="none"/>
          <w:lang w:eastAsia="zh-CN"/>
        </w:rPr>
        <w:t>市</w:t>
      </w:r>
      <w:r>
        <w:rPr>
          <w:rFonts w:hint="eastAsia" w:ascii="仿宋_GB2312" w:hAnsi="仿宋_GB2312" w:eastAsia="仿宋_GB2312" w:cs="仿宋_GB2312"/>
          <w:bCs/>
          <w:sz w:val="32"/>
          <w:szCs w:val="32"/>
          <w:highlight w:val="none"/>
        </w:rPr>
        <w:t>一揽子政策措施，继续打好减税降费及扶持补助“组合拳”，加大财政资金统筹整合力度，202</w:t>
      </w:r>
      <w:r>
        <w:rPr>
          <w:rFonts w:hint="eastAsia" w:ascii="仿宋_GB2312" w:hAnsi="仿宋_GB2312" w:eastAsia="仿宋_GB2312" w:cs="仿宋_GB2312"/>
          <w:bCs/>
          <w:sz w:val="32"/>
          <w:szCs w:val="32"/>
          <w:highlight w:val="none"/>
          <w:lang w:val="en-US" w:eastAsia="zh-CN"/>
        </w:rPr>
        <w:t>4</w:t>
      </w:r>
      <w:r>
        <w:rPr>
          <w:rFonts w:hint="eastAsia" w:ascii="仿宋_GB2312" w:hAnsi="仿宋_GB2312" w:eastAsia="仿宋_GB2312" w:cs="仿宋_GB2312"/>
          <w:bCs/>
          <w:sz w:val="32"/>
          <w:szCs w:val="32"/>
          <w:highlight w:val="none"/>
        </w:rPr>
        <w:t>年共</w:t>
      </w:r>
      <w:r>
        <w:rPr>
          <w:rFonts w:hint="eastAsia" w:ascii="仿宋_GB2312" w:hAnsi="仿宋_GB2312" w:eastAsia="仿宋_GB2312" w:cs="仿宋_GB2312"/>
          <w:bCs/>
          <w:sz w:val="32"/>
          <w:szCs w:val="32"/>
          <w:highlight w:val="none"/>
          <w:lang w:eastAsia="zh-CN"/>
        </w:rPr>
        <w:t>拨付</w:t>
      </w:r>
      <w:r>
        <w:rPr>
          <w:rFonts w:hint="eastAsia" w:ascii="仿宋_GB2312" w:hAnsi="仿宋_GB2312" w:eastAsia="仿宋_GB2312" w:cs="仿宋_GB2312"/>
          <w:bCs/>
          <w:sz w:val="32"/>
          <w:szCs w:val="32"/>
          <w:highlight w:val="none"/>
        </w:rPr>
        <w:t>各类</w:t>
      </w:r>
      <w:r>
        <w:rPr>
          <w:rFonts w:hint="eastAsia" w:ascii="仿宋_GB2312" w:hAnsi="仿宋_GB2312" w:eastAsia="仿宋_GB2312" w:cs="仿宋_GB2312"/>
          <w:bCs/>
          <w:sz w:val="32"/>
          <w:szCs w:val="32"/>
          <w:highlight w:val="none"/>
          <w:lang w:eastAsia="zh-CN"/>
        </w:rPr>
        <w:t>涉企</w:t>
      </w:r>
      <w:r>
        <w:rPr>
          <w:rFonts w:hint="eastAsia" w:ascii="仿宋_GB2312" w:hAnsi="仿宋_GB2312" w:eastAsia="仿宋_GB2312" w:cs="仿宋_GB2312"/>
          <w:bCs/>
          <w:sz w:val="32"/>
          <w:szCs w:val="32"/>
          <w:highlight w:val="none"/>
        </w:rPr>
        <w:t>资金</w:t>
      </w:r>
      <w:r>
        <w:rPr>
          <w:rFonts w:hint="eastAsia" w:ascii="仿宋_GB2312" w:hAnsi="仿宋_GB2312" w:eastAsia="仿宋_GB2312" w:cs="仿宋_GB2312"/>
          <w:bCs/>
          <w:sz w:val="32"/>
          <w:szCs w:val="32"/>
          <w:highlight w:val="none"/>
          <w:lang w:val="en-US" w:eastAsia="zh-CN"/>
        </w:rPr>
        <w:t>4632万</w:t>
      </w:r>
      <w:r>
        <w:rPr>
          <w:rFonts w:hint="eastAsia" w:ascii="仿宋_GB2312" w:hAnsi="仿宋_GB2312" w:eastAsia="仿宋_GB2312" w:cs="仿宋_GB2312"/>
          <w:bCs/>
          <w:sz w:val="32"/>
          <w:szCs w:val="32"/>
          <w:highlight w:val="none"/>
        </w:rPr>
        <w:t>元，助企纾困，化解历史遗留问题，推动产业振兴，助推实体经济恢复发展。</w:t>
      </w:r>
      <w:r>
        <w:rPr>
          <w:rFonts w:hint="eastAsia" w:ascii="仿宋_GB2312" w:hAnsi="仿宋_GB2312" w:eastAsia="仿宋_GB2312" w:cs="仿宋_GB2312"/>
          <w:b/>
          <w:bCs w:val="0"/>
          <w:sz w:val="32"/>
          <w:szCs w:val="32"/>
          <w:highlight w:val="none"/>
        </w:rPr>
        <w:t>三是精准施策争资金。</w:t>
      </w:r>
      <w:r>
        <w:rPr>
          <w:rFonts w:hint="eastAsia" w:ascii="仿宋_GB2312" w:hAnsi="仿宋_GB2312" w:eastAsia="仿宋_GB2312" w:cs="仿宋_GB2312"/>
          <w:bCs/>
          <w:sz w:val="32"/>
          <w:szCs w:val="32"/>
          <w:highlight w:val="none"/>
        </w:rPr>
        <w:t>以</w:t>
      </w:r>
      <w:r>
        <w:rPr>
          <w:rFonts w:hint="eastAsia" w:ascii="仿宋_GB2312" w:hAnsi="仿宋_GB2312" w:eastAsia="仿宋_GB2312" w:cs="仿宋_GB2312"/>
          <w:bCs/>
          <w:sz w:val="32"/>
          <w:szCs w:val="32"/>
          <w:highlight w:val="none"/>
          <w:lang w:eastAsia="zh-CN"/>
        </w:rPr>
        <w:t>上级</w:t>
      </w:r>
      <w:r>
        <w:rPr>
          <w:rFonts w:hint="eastAsia" w:ascii="仿宋_GB2312" w:hAnsi="仿宋_GB2312" w:eastAsia="仿宋_GB2312" w:cs="仿宋_GB2312"/>
          <w:bCs/>
          <w:sz w:val="32"/>
          <w:szCs w:val="32"/>
          <w:highlight w:val="none"/>
        </w:rPr>
        <w:t>政策</w:t>
      </w:r>
      <w:r>
        <w:rPr>
          <w:rFonts w:hint="eastAsia" w:ascii="仿宋_GB2312" w:hAnsi="仿宋_GB2312" w:eastAsia="仿宋_GB2312" w:cs="仿宋_GB2312"/>
          <w:bCs/>
          <w:sz w:val="32"/>
          <w:szCs w:val="32"/>
          <w:highlight w:val="none"/>
          <w:lang w:eastAsia="zh-CN"/>
        </w:rPr>
        <w:t>发布</w:t>
      </w:r>
      <w:r>
        <w:rPr>
          <w:rFonts w:hint="eastAsia" w:ascii="仿宋_GB2312" w:hAnsi="仿宋_GB2312" w:eastAsia="仿宋_GB2312" w:cs="仿宋_GB2312"/>
          <w:bCs/>
          <w:sz w:val="32"/>
          <w:szCs w:val="32"/>
          <w:highlight w:val="none"/>
        </w:rPr>
        <w:t>为契机，深入思考谋划，找准切入点突破</w:t>
      </w:r>
      <w:r>
        <w:rPr>
          <w:rFonts w:hint="eastAsia" w:ascii="仿宋_GB2312" w:hAnsi="仿宋_GB2312" w:eastAsia="仿宋_GB2312" w:cs="仿宋_GB2312"/>
          <w:bCs/>
          <w:sz w:val="32"/>
          <w:szCs w:val="32"/>
          <w:highlight w:val="none"/>
          <w:lang w:eastAsia="zh-CN"/>
        </w:rPr>
        <w:t>口</w:t>
      </w:r>
      <w:r>
        <w:rPr>
          <w:rFonts w:hint="eastAsia" w:ascii="仿宋_GB2312" w:hAnsi="仿宋_GB2312" w:eastAsia="仿宋_GB2312" w:cs="仿宋_GB2312"/>
          <w:bCs/>
          <w:sz w:val="32"/>
          <w:szCs w:val="32"/>
          <w:highlight w:val="none"/>
        </w:rPr>
        <w:t>，极力争取各级各部门对</w:t>
      </w:r>
      <w:r>
        <w:rPr>
          <w:rFonts w:hint="eastAsia" w:ascii="仿宋_GB2312" w:hAnsi="仿宋_GB2312" w:eastAsia="仿宋_GB2312" w:cs="仿宋_GB2312"/>
          <w:bCs/>
          <w:sz w:val="32"/>
          <w:szCs w:val="32"/>
          <w:highlight w:val="none"/>
          <w:lang w:eastAsia="zh-CN"/>
        </w:rPr>
        <w:t>资阳</w:t>
      </w:r>
      <w:r>
        <w:rPr>
          <w:rFonts w:hint="eastAsia" w:ascii="仿宋_GB2312" w:hAnsi="仿宋_GB2312" w:eastAsia="仿宋_GB2312" w:cs="仿宋_GB2312"/>
          <w:bCs/>
          <w:sz w:val="32"/>
          <w:szCs w:val="32"/>
          <w:highlight w:val="none"/>
        </w:rPr>
        <w:t>的政策倾斜，特别对上级转移支付、中央预算内投资、特别国债、</w:t>
      </w:r>
      <w:r>
        <w:rPr>
          <w:rFonts w:hint="eastAsia" w:ascii="仿宋_GB2312" w:hAnsi="仿宋_GB2312" w:eastAsia="仿宋_GB2312" w:cs="仿宋_GB2312"/>
          <w:bCs/>
          <w:sz w:val="32"/>
          <w:szCs w:val="32"/>
          <w:highlight w:val="none"/>
          <w:lang w:eastAsia="zh-CN"/>
        </w:rPr>
        <w:t>政府</w:t>
      </w:r>
      <w:r>
        <w:rPr>
          <w:rFonts w:hint="eastAsia" w:ascii="仿宋_GB2312" w:hAnsi="仿宋_GB2312" w:eastAsia="仿宋_GB2312" w:cs="仿宋_GB2312"/>
          <w:bCs/>
          <w:sz w:val="32"/>
          <w:szCs w:val="32"/>
          <w:highlight w:val="none"/>
        </w:rPr>
        <w:t>债券等资金项目争取。202</w:t>
      </w:r>
      <w:r>
        <w:rPr>
          <w:rFonts w:hint="eastAsia" w:ascii="仿宋_GB2312" w:hAnsi="仿宋_GB2312" w:eastAsia="仿宋_GB2312" w:cs="仿宋_GB2312"/>
          <w:bCs/>
          <w:sz w:val="32"/>
          <w:szCs w:val="32"/>
          <w:highlight w:val="none"/>
          <w:lang w:val="en-US" w:eastAsia="zh-CN"/>
        </w:rPr>
        <w:t>4</w:t>
      </w:r>
      <w:r>
        <w:rPr>
          <w:rFonts w:hint="eastAsia" w:ascii="仿宋_GB2312" w:hAnsi="仿宋_GB2312" w:eastAsia="仿宋_GB2312" w:cs="仿宋_GB2312"/>
          <w:bCs/>
          <w:sz w:val="32"/>
          <w:szCs w:val="32"/>
          <w:highlight w:val="none"/>
        </w:rPr>
        <w:t>年，全</w:t>
      </w:r>
      <w:r>
        <w:rPr>
          <w:rFonts w:hint="eastAsia" w:ascii="仿宋_GB2312" w:hAnsi="仿宋_GB2312" w:eastAsia="仿宋_GB2312" w:cs="仿宋_GB2312"/>
          <w:bCs/>
          <w:sz w:val="32"/>
          <w:szCs w:val="32"/>
          <w:highlight w:val="none"/>
          <w:lang w:eastAsia="zh-CN"/>
        </w:rPr>
        <w:t>区预计</w:t>
      </w:r>
      <w:r>
        <w:rPr>
          <w:rFonts w:hint="eastAsia" w:ascii="仿宋_GB2312" w:hAnsi="仿宋_GB2312" w:eastAsia="仿宋_GB2312" w:cs="仿宋_GB2312"/>
          <w:bCs/>
          <w:sz w:val="32"/>
          <w:szCs w:val="32"/>
          <w:highlight w:val="none"/>
        </w:rPr>
        <w:t>争取</w:t>
      </w:r>
      <w:r>
        <w:rPr>
          <w:rFonts w:hint="eastAsia" w:ascii="仿宋_GB2312" w:hAnsi="仿宋_GB2312" w:eastAsia="仿宋_GB2312" w:cs="仿宋_GB2312"/>
          <w:bCs/>
          <w:sz w:val="32"/>
          <w:szCs w:val="32"/>
          <w:highlight w:val="none"/>
          <w:lang w:eastAsia="zh-CN"/>
        </w:rPr>
        <w:t>各类</w:t>
      </w:r>
      <w:r>
        <w:rPr>
          <w:rFonts w:hint="eastAsia" w:ascii="仿宋_GB2312" w:hAnsi="仿宋_GB2312" w:eastAsia="仿宋_GB2312" w:cs="仿宋_GB2312"/>
          <w:bCs/>
          <w:sz w:val="32"/>
          <w:szCs w:val="32"/>
          <w:highlight w:val="none"/>
        </w:rPr>
        <w:t>资金</w:t>
      </w:r>
      <w:r>
        <w:rPr>
          <w:rFonts w:hint="eastAsia" w:ascii="仿宋_GB2312" w:hAnsi="仿宋_GB2312" w:eastAsia="仿宋_GB2312" w:cs="仿宋_GB2312"/>
          <w:bCs/>
          <w:sz w:val="32"/>
          <w:szCs w:val="32"/>
          <w:highlight w:val="none"/>
          <w:lang w:val="en-US" w:eastAsia="zh-CN"/>
        </w:rPr>
        <w:t>27.2</w:t>
      </w:r>
      <w:r>
        <w:rPr>
          <w:rFonts w:hint="eastAsia" w:ascii="仿宋_GB2312" w:hAnsi="仿宋_GB2312" w:eastAsia="仿宋_GB2312" w:cs="仿宋_GB2312"/>
          <w:bCs/>
          <w:sz w:val="32"/>
          <w:szCs w:val="32"/>
          <w:highlight w:val="none"/>
        </w:rPr>
        <w:t>亿元，增收</w:t>
      </w:r>
      <w:r>
        <w:rPr>
          <w:rFonts w:hint="eastAsia" w:ascii="仿宋_GB2312" w:hAnsi="仿宋_GB2312" w:eastAsia="仿宋_GB2312" w:cs="仿宋_GB2312"/>
          <w:bCs/>
          <w:sz w:val="32"/>
          <w:szCs w:val="32"/>
          <w:highlight w:val="none"/>
          <w:lang w:val="en-US" w:eastAsia="zh-CN"/>
        </w:rPr>
        <w:t>1.4</w:t>
      </w:r>
      <w:r>
        <w:rPr>
          <w:rFonts w:hint="eastAsia" w:ascii="仿宋_GB2312" w:hAnsi="仿宋_GB2312" w:eastAsia="仿宋_GB2312" w:cs="仿宋_GB2312"/>
          <w:bCs/>
          <w:sz w:val="32"/>
          <w:szCs w:val="32"/>
          <w:highlight w:val="none"/>
        </w:rPr>
        <w:t>亿元，同比增长</w:t>
      </w:r>
      <w:r>
        <w:rPr>
          <w:rFonts w:hint="eastAsia" w:ascii="仿宋_GB2312" w:hAnsi="仿宋_GB2312" w:eastAsia="仿宋_GB2312" w:cs="仿宋_GB2312"/>
          <w:bCs/>
          <w:sz w:val="32"/>
          <w:szCs w:val="32"/>
          <w:highlight w:val="none"/>
          <w:lang w:val="en-US" w:eastAsia="zh-CN"/>
        </w:rPr>
        <w:t>5.34</w:t>
      </w: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b/>
          <w:bCs w:val="0"/>
          <w:sz w:val="32"/>
          <w:szCs w:val="32"/>
          <w:highlight w:val="none"/>
          <w:lang w:eastAsia="zh-CN"/>
        </w:rPr>
        <w:t>四是齐抓共管盘“三资”。</w:t>
      </w:r>
      <w:r>
        <w:rPr>
          <w:rFonts w:hint="eastAsia" w:ascii="仿宋_GB2312" w:hAnsi="仿宋_GB2312" w:eastAsia="仿宋_GB2312" w:cs="仿宋_GB2312"/>
          <w:b w:val="0"/>
          <w:bCs/>
          <w:sz w:val="32"/>
          <w:szCs w:val="32"/>
          <w:highlight w:val="none"/>
          <w:lang w:eastAsia="zh-CN"/>
        </w:rPr>
        <w:t>扎实推进“三资”清查，有效盘活闲置资产和低效资产，提高国有资产、资源财税贡献率，提升资金使用效率。</w:t>
      </w:r>
      <w:r>
        <w:rPr>
          <w:rFonts w:hint="eastAsia" w:ascii="仿宋_GB2312" w:hAnsi="仿宋_GB2312" w:eastAsia="仿宋_GB2312" w:cs="仿宋_GB2312"/>
          <w:b w:val="0"/>
          <w:bCs/>
          <w:sz w:val="32"/>
          <w:szCs w:val="32"/>
          <w:highlight w:val="none"/>
          <w:lang w:val="en-US" w:eastAsia="zh-CN"/>
        </w:rPr>
        <w:t>截至目前实现资源类入库收益29886万元、资产类入库收益13373万元、收回存量资金8090万元。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2.优结构，着力保障民生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highlight w:val="yellow"/>
        </w:rPr>
      </w:pPr>
      <w:r>
        <w:rPr>
          <w:rFonts w:hint="eastAsia" w:ascii="仿宋_GB2312" w:hAnsi="仿宋_GB2312" w:eastAsia="仿宋_GB2312" w:cs="仿宋_GB2312"/>
          <w:bCs/>
          <w:sz w:val="32"/>
          <w:szCs w:val="32"/>
          <w:highlight w:val="none"/>
        </w:rPr>
        <w:t>优化财政支出结构，加大重点民生支出力度</w:t>
      </w:r>
      <w:r>
        <w:rPr>
          <w:rFonts w:hint="eastAsia" w:ascii="仿宋_GB2312" w:hAnsi="仿宋_GB2312" w:eastAsia="仿宋_GB2312" w:cs="仿宋_GB2312"/>
          <w:bCs/>
          <w:sz w:val="32"/>
          <w:szCs w:val="32"/>
          <w:highlight w:val="none"/>
          <w:lang w:eastAsia="zh-CN"/>
        </w:rPr>
        <w:t>，截至</w:t>
      </w:r>
      <w:r>
        <w:rPr>
          <w:rFonts w:hint="eastAsia" w:ascii="仿宋_GB2312" w:hAnsi="仿宋_GB2312" w:eastAsia="仿宋_GB2312" w:cs="仿宋_GB2312"/>
          <w:bCs/>
          <w:sz w:val="32"/>
          <w:szCs w:val="32"/>
          <w:highlight w:val="none"/>
          <w:lang w:val="en-US" w:eastAsia="zh-CN"/>
        </w:rPr>
        <w:t>11月末</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全区重点民生支出完成</w:t>
      </w:r>
      <w:r>
        <w:rPr>
          <w:rFonts w:hint="eastAsia" w:ascii="仿宋_GB2312" w:hAnsi="仿宋_GB2312" w:eastAsia="仿宋_GB2312" w:cs="仿宋_GB2312"/>
          <w:bCs/>
          <w:sz w:val="32"/>
          <w:szCs w:val="32"/>
          <w:highlight w:val="none"/>
          <w:lang w:val="en-US" w:eastAsia="zh-CN"/>
        </w:rPr>
        <w:t>20.51</w:t>
      </w:r>
      <w:r>
        <w:rPr>
          <w:rFonts w:hint="eastAsia" w:ascii="仿宋_GB2312" w:hAnsi="仿宋_GB2312" w:eastAsia="仿宋_GB2312" w:cs="仿宋_GB2312"/>
          <w:bCs/>
          <w:sz w:val="32"/>
          <w:szCs w:val="32"/>
          <w:highlight w:val="none"/>
        </w:rPr>
        <w:t>亿元，</w:t>
      </w:r>
      <w:r>
        <w:rPr>
          <w:rFonts w:hint="eastAsia" w:ascii="仿宋_GB2312" w:hAnsi="仿宋_GB2312" w:eastAsia="仿宋_GB2312" w:cs="仿宋_GB2312"/>
          <w:bCs/>
          <w:sz w:val="32"/>
          <w:szCs w:val="32"/>
          <w:highlight w:val="none"/>
          <w:lang w:eastAsia="zh-CN"/>
        </w:rPr>
        <w:t>预计全年完成民生支出</w:t>
      </w:r>
      <w:r>
        <w:rPr>
          <w:rFonts w:hint="eastAsia" w:ascii="仿宋_GB2312" w:hAnsi="仿宋_GB2312" w:eastAsia="仿宋_GB2312" w:cs="仿宋_GB2312"/>
          <w:bCs/>
          <w:sz w:val="32"/>
          <w:szCs w:val="32"/>
          <w:highlight w:val="none"/>
          <w:lang w:val="en-US" w:eastAsia="zh-CN"/>
        </w:rPr>
        <w:t>23.96亿元，占</w:t>
      </w:r>
      <w:r>
        <w:rPr>
          <w:rFonts w:hint="eastAsia" w:ascii="仿宋_GB2312" w:hAnsi="仿宋_GB2312" w:eastAsia="仿宋_GB2312" w:cs="仿宋_GB2312"/>
          <w:bCs/>
          <w:sz w:val="32"/>
          <w:szCs w:val="32"/>
          <w:highlight w:val="none"/>
        </w:rPr>
        <w:t>一般公共预算支出比重</w:t>
      </w:r>
      <w:r>
        <w:rPr>
          <w:rFonts w:hint="eastAsia" w:ascii="仿宋_GB2312" w:hAnsi="仿宋_GB2312" w:eastAsia="仿宋_GB2312" w:cs="仿宋_GB2312"/>
          <w:bCs/>
          <w:sz w:val="32"/>
          <w:szCs w:val="32"/>
          <w:highlight w:val="none"/>
          <w:lang w:eastAsia="zh-CN"/>
        </w:rPr>
        <w:t>超过</w:t>
      </w:r>
      <w:r>
        <w:rPr>
          <w:rFonts w:hint="eastAsia" w:ascii="仿宋_GB2312" w:hAnsi="仿宋_GB2312" w:eastAsia="仿宋_GB2312" w:cs="仿宋_GB2312"/>
          <w:bCs/>
          <w:sz w:val="32"/>
          <w:szCs w:val="32"/>
          <w:highlight w:val="none"/>
          <w:lang w:val="en-US" w:eastAsia="zh-CN"/>
        </w:rPr>
        <w:t>73</w:t>
      </w: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
          <w:bCs w:val="0"/>
          <w:sz w:val="32"/>
          <w:szCs w:val="32"/>
          <w:highlight w:val="none"/>
          <w:lang w:eastAsia="zh-CN"/>
        </w:rPr>
        <w:t>一</w:t>
      </w:r>
      <w:r>
        <w:rPr>
          <w:rFonts w:hint="eastAsia" w:ascii="仿宋_GB2312" w:hAnsi="仿宋_GB2312" w:eastAsia="仿宋_GB2312" w:cs="仿宋_GB2312"/>
          <w:b/>
          <w:bCs w:val="0"/>
          <w:sz w:val="32"/>
          <w:szCs w:val="32"/>
          <w:highlight w:val="none"/>
        </w:rPr>
        <w:t>是</w:t>
      </w:r>
      <w:r>
        <w:rPr>
          <w:rFonts w:hint="eastAsia" w:ascii="仿宋_GB2312" w:hAnsi="仿宋_GB2312" w:eastAsia="仿宋_GB2312" w:cs="仿宋_GB2312"/>
          <w:b w:val="0"/>
          <w:bCs/>
          <w:sz w:val="32"/>
          <w:szCs w:val="32"/>
          <w:highlight w:val="none"/>
        </w:rPr>
        <w:t>以教为先，</w:t>
      </w:r>
      <w:r>
        <w:rPr>
          <w:rFonts w:hint="eastAsia" w:ascii="仿宋_GB2312" w:hAnsi="仿宋_GB2312" w:eastAsia="仿宋_GB2312" w:cs="仿宋_GB2312"/>
          <w:b w:val="0"/>
          <w:bCs/>
          <w:sz w:val="32"/>
          <w:szCs w:val="32"/>
          <w:highlight w:val="none"/>
          <w:lang w:eastAsia="zh-CN"/>
        </w:rPr>
        <w:t>落实教育投入“两个只增不减”</w:t>
      </w:r>
      <w:r>
        <w:rPr>
          <w:rFonts w:hint="eastAsia" w:ascii="仿宋_GB2312" w:hAnsi="仿宋_GB2312" w:eastAsia="仿宋_GB2312" w:cs="仿宋_GB2312"/>
          <w:b w:val="0"/>
          <w:bCs/>
          <w:sz w:val="32"/>
          <w:szCs w:val="32"/>
          <w:highlight w:val="none"/>
        </w:rPr>
        <w:t>。</w:t>
      </w:r>
      <w:r>
        <w:rPr>
          <w:rFonts w:hint="eastAsia" w:ascii="仿宋_GB2312" w:hAnsi="仿宋_GB2312" w:eastAsia="仿宋_GB2312" w:cs="仿宋_GB2312"/>
          <w:b w:val="0"/>
          <w:bCs/>
          <w:sz w:val="32"/>
          <w:szCs w:val="32"/>
          <w:highlight w:val="none"/>
          <w:lang w:eastAsia="zh-CN"/>
        </w:rPr>
        <w:t>保障教师工资待遇、支持教育基础设施建设，筹措资金支持文昌中学、六中高中部、实验小学等项目建设。截至目前</w:t>
      </w:r>
      <w:r>
        <w:rPr>
          <w:rFonts w:hint="eastAsia" w:ascii="仿宋_GB2312" w:hAnsi="仿宋_GB2312" w:eastAsia="仿宋_GB2312" w:cs="仿宋_GB2312"/>
          <w:bCs/>
          <w:sz w:val="32"/>
          <w:szCs w:val="32"/>
          <w:highlight w:val="none"/>
        </w:rPr>
        <w:t>教育支出</w:t>
      </w:r>
      <w:r>
        <w:rPr>
          <w:rFonts w:hint="eastAsia" w:ascii="仿宋_GB2312" w:hAnsi="仿宋_GB2312" w:eastAsia="仿宋_GB2312" w:cs="仿宋_GB2312"/>
          <w:bCs/>
          <w:sz w:val="32"/>
          <w:szCs w:val="32"/>
          <w:highlight w:val="none"/>
          <w:lang w:eastAsia="zh-CN"/>
        </w:rPr>
        <w:t>完成</w:t>
      </w:r>
      <w:r>
        <w:rPr>
          <w:rFonts w:hint="eastAsia" w:ascii="仿宋_GB2312" w:hAnsi="仿宋_GB2312" w:eastAsia="仿宋_GB2312" w:cs="仿宋_GB2312"/>
          <w:bCs/>
          <w:sz w:val="32"/>
          <w:szCs w:val="32"/>
          <w:highlight w:val="none"/>
          <w:lang w:val="en-US" w:eastAsia="zh-CN"/>
        </w:rPr>
        <w:t>4.14亿元，</w:t>
      </w:r>
      <w:r>
        <w:rPr>
          <w:rFonts w:hint="eastAsia" w:ascii="仿宋_GB2312" w:hAnsi="仿宋_GB2312" w:eastAsia="仿宋_GB2312" w:cs="仿宋_GB2312"/>
          <w:bCs/>
          <w:sz w:val="32"/>
          <w:szCs w:val="32"/>
          <w:highlight w:val="none"/>
        </w:rPr>
        <w:t>占比达到15.</w:t>
      </w:r>
      <w:r>
        <w:rPr>
          <w:rFonts w:hint="eastAsia" w:ascii="仿宋_GB2312" w:hAnsi="仿宋_GB2312" w:eastAsia="仿宋_GB2312" w:cs="仿宋_GB2312"/>
          <w:bCs/>
          <w:sz w:val="32"/>
          <w:szCs w:val="32"/>
          <w:highlight w:val="none"/>
          <w:lang w:val="en-US" w:eastAsia="zh-CN"/>
        </w:rPr>
        <w:t>77</w:t>
      </w:r>
      <w:r>
        <w:rPr>
          <w:rFonts w:hint="eastAsia" w:ascii="仿宋_GB2312" w:hAnsi="仿宋_GB2312" w:eastAsia="仿宋_GB2312" w:cs="仿宋_GB2312"/>
          <w:bCs/>
          <w:sz w:val="32"/>
          <w:szCs w:val="32"/>
          <w:highlight w:val="none"/>
        </w:rPr>
        <w:t>%，实现教育</w:t>
      </w:r>
      <w:r>
        <w:rPr>
          <w:rFonts w:hint="eastAsia" w:ascii="仿宋_GB2312" w:hAnsi="仿宋_GB2312" w:eastAsia="仿宋_GB2312" w:cs="仿宋_GB2312"/>
          <w:bCs/>
          <w:sz w:val="32"/>
          <w:szCs w:val="32"/>
          <w:highlight w:val="none"/>
          <w:lang w:eastAsia="zh-CN"/>
        </w:rPr>
        <w:t>支出力度不断加大</w:t>
      </w: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b/>
          <w:bCs w:val="0"/>
          <w:sz w:val="32"/>
          <w:szCs w:val="32"/>
          <w:highlight w:val="none"/>
          <w:lang w:eastAsia="zh-CN"/>
        </w:rPr>
        <w:t>二是</w:t>
      </w:r>
      <w:r>
        <w:rPr>
          <w:rFonts w:hint="eastAsia" w:ascii="仿宋_GB2312" w:hAnsi="仿宋_GB2312" w:eastAsia="仿宋_GB2312" w:cs="仿宋_GB2312"/>
          <w:b w:val="0"/>
          <w:bCs/>
          <w:sz w:val="32"/>
          <w:szCs w:val="32"/>
          <w:highlight w:val="none"/>
        </w:rPr>
        <w:t>坚持落实就业优先政策，加大重点群体就业的帮扶力度，激发大学生求职创业活力，助力农村劳动力外出务工。</w:t>
      </w:r>
      <w:r>
        <w:rPr>
          <w:rFonts w:hint="eastAsia" w:ascii="仿宋_GB2312" w:hAnsi="仿宋_GB2312" w:eastAsia="仿宋_GB2312" w:cs="仿宋_GB2312"/>
          <w:b w:val="0"/>
          <w:bCs/>
          <w:sz w:val="32"/>
          <w:szCs w:val="32"/>
          <w:highlight w:val="none"/>
          <w:lang w:eastAsia="zh-CN"/>
        </w:rPr>
        <w:t>截至目前，</w:t>
      </w:r>
      <w:r>
        <w:rPr>
          <w:rFonts w:hint="eastAsia" w:ascii="仿宋_GB2312" w:hAnsi="仿宋_GB2312" w:eastAsia="仿宋_GB2312" w:cs="仿宋_GB2312"/>
          <w:b w:val="0"/>
          <w:bCs/>
          <w:sz w:val="32"/>
          <w:szCs w:val="32"/>
          <w:highlight w:val="none"/>
        </w:rPr>
        <w:t>社会保障和就业支出</w:t>
      </w:r>
      <w:r>
        <w:rPr>
          <w:rFonts w:hint="eastAsia" w:ascii="仿宋_GB2312" w:hAnsi="仿宋_GB2312" w:eastAsia="仿宋_GB2312" w:cs="仿宋_GB2312"/>
          <w:b w:val="0"/>
          <w:bCs/>
          <w:sz w:val="32"/>
          <w:szCs w:val="32"/>
          <w:highlight w:val="none"/>
          <w:lang w:eastAsia="zh-CN"/>
        </w:rPr>
        <w:t>完成</w:t>
      </w:r>
      <w:r>
        <w:rPr>
          <w:rFonts w:hint="eastAsia" w:ascii="仿宋_GB2312" w:hAnsi="仿宋_GB2312" w:eastAsia="仿宋_GB2312" w:cs="仿宋_GB2312"/>
          <w:b w:val="0"/>
          <w:bCs/>
          <w:sz w:val="32"/>
          <w:szCs w:val="32"/>
          <w:highlight w:val="none"/>
          <w:lang w:val="en-US" w:eastAsia="zh-CN"/>
        </w:rPr>
        <w:t>5.12</w:t>
      </w:r>
      <w:r>
        <w:rPr>
          <w:rFonts w:hint="eastAsia" w:ascii="仿宋_GB2312" w:hAnsi="仿宋_GB2312" w:eastAsia="仿宋_GB2312" w:cs="仿宋_GB2312"/>
          <w:b w:val="0"/>
          <w:bCs/>
          <w:sz w:val="32"/>
          <w:szCs w:val="32"/>
          <w:highlight w:val="none"/>
        </w:rPr>
        <w:t>亿元，较上年增长</w:t>
      </w:r>
      <w:r>
        <w:rPr>
          <w:rFonts w:hint="eastAsia" w:ascii="仿宋_GB2312" w:hAnsi="仿宋_GB2312" w:eastAsia="仿宋_GB2312" w:cs="仿宋_GB2312"/>
          <w:b w:val="0"/>
          <w:bCs/>
          <w:sz w:val="32"/>
          <w:szCs w:val="32"/>
          <w:highlight w:val="none"/>
          <w:lang w:val="en-US" w:eastAsia="zh-CN"/>
        </w:rPr>
        <w:t>12.82</w:t>
      </w:r>
      <w:r>
        <w:rPr>
          <w:rFonts w:hint="eastAsia" w:ascii="仿宋_GB2312" w:hAnsi="仿宋_GB2312" w:eastAsia="仿宋_GB2312" w:cs="仿宋_GB2312"/>
          <w:b w:val="0"/>
          <w:bCs/>
          <w:sz w:val="32"/>
          <w:szCs w:val="32"/>
          <w:highlight w:val="none"/>
        </w:rPr>
        <w:t>%。</w:t>
      </w:r>
      <w:r>
        <w:rPr>
          <w:rFonts w:hint="eastAsia" w:ascii="仿宋_GB2312" w:hAnsi="仿宋_GB2312" w:eastAsia="仿宋_GB2312" w:cs="仿宋_GB2312"/>
          <w:b/>
          <w:bCs w:val="0"/>
          <w:sz w:val="32"/>
          <w:szCs w:val="32"/>
          <w:highlight w:val="none"/>
          <w:lang w:eastAsia="zh-CN"/>
        </w:rPr>
        <w:t>三是</w:t>
      </w:r>
      <w:r>
        <w:rPr>
          <w:rFonts w:hint="eastAsia" w:ascii="仿宋_GB2312" w:hAnsi="仿宋_GB2312" w:eastAsia="仿宋_GB2312" w:cs="仿宋_GB2312"/>
          <w:b w:val="0"/>
          <w:bCs/>
          <w:sz w:val="32"/>
          <w:szCs w:val="32"/>
          <w:highlight w:val="none"/>
          <w:lang w:eastAsia="zh-CN"/>
        </w:rPr>
        <w:t>全面落实新生儿疾病筛查与诊断服务工作，做优做实“两癌”综合防控工作，大力发展普惠托育服务工作，截至目前完成卫生健康支出</w:t>
      </w:r>
      <w:r>
        <w:rPr>
          <w:rFonts w:hint="eastAsia" w:ascii="仿宋_GB2312" w:hAnsi="仿宋_GB2312" w:eastAsia="仿宋_GB2312" w:cs="仿宋_GB2312"/>
          <w:b w:val="0"/>
          <w:bCs/>
          <w:sz w:val="32"/>
          <w:szCs w:val="32"/>
          <w:highlight w:val="none"/>
          <w:lang w:val="en-US" w:eastAsia="zh-CN"/>
        </w:rPr>
        <w:t>1.37亿元。</w:t>
      </w:r>
      <w:r>
        <w:rPr>
          <w:rFonts w:hint="eastAsia" w:ascii="仿宋_GB2312" w:hAnsi="仿宋_GB2312" w:eastAsia="仿宋_GB2312" w:cs="仿宋_GB2312"/>
          <w:b/>
          <w:bCs w:val="0"/>
          <w:sz w:val="32"/>
          <w:szCs w:val="32"/>
          <w:highlight w:val="none"/>
          <w:lang w:val="en-US" w:eastAsia="zh-CN"/>
        </w:rPr>
        <w:t>四是</w:t>
      </w:r>
      <w:r>
        <w:rPr>
          <w:rFonts w:hint="eastAsia" w:ascii="仿宋_GB2312" w:hAnsi="仿宋_GB2312" w:eastAsia="仿宋_GB2312" w:cs="仿宋_GB2312"/>
          <w:b w:val="0"/>
          <w:bCs/>
          <w:sz w:val="32"/>
          <w:szCs w:val="32"/>
          <w:highlight w:val="none"/>
          <w:lang w:val="en-US" w:eastAsia="zh-CN"/>
        </w:rPr>
        <w:t>充分考虑中低收入家庭住房问题，2024年新建保障性租赁住房307套，发放住房租赁补贴620户，老旧改造小区14个，截至目前完成住房保障支出6376万元。</w:t>
      </w:r>
      <w:r>
        <w:rPr>
          <w:rFonts w:hint="eastAsia" w:ascii="仿宋_GB2312" w:hAnsi="仿宋_GB2312" w:eastAsia="仿宋_GB2312" w:cs="仿宋_GB2312"/>
          <w:b/>
          <w:bCs w:val="0"/>
          <w:sz w:val="32"/>
          <w:szCs w:val="32"/>
          <w:highlight w:val="none"/>
          <w:lang w:eastAsia="zh-CN"/>
        </w:rPr>
        <w:t>五是</w:t>
      </w:r>
      <w:r>
        <w:rPr>
          <w:rFonts w:hint="eastAsia" w:ascii="仿宋_GB2312" w:hAnsi="仿宋_GB2312" w:eastAsia="仿宋_GB2312" w:cs="仿宋_GB2312"/>
          <w:b w:val="0"/>
          <w:bCs w:val="0"/>
          <w:i w:val="0"/>
          <w:iCs w:val="0"/>
          <w:caps w:val="0"/>
          <w:smallCaps w:val="0"/>
          <w:strike w:val="0"/>
          <w:dstrike w:val="0"/>
          <w:vanish w:val="0"/>
          <w:sz w:val="32"/>
          <w:szCs w:val="32"/>
          <w:rtl w:val="0"/>
        </w:rPr>
        <w:t>着力构建文</w:t>
      </w:r>
      <w:r>
        <w:rPr>
          <w:rFonts w:hint="eastAsia" w:ascii="仿宋_GB2312" w:hAnsi="仿宋_GB2312" w:eastAsia="仿宋_GB2312" w:cs="仿宋_GB2312"/>
          <w:b w:val="0"/>
          <w:bCs w:val="0"/>
          <w:i w:val="0"/>
          <w:iCs w:val="0"/>
          <w:caps w:val="0"/>
          <w:smallCaps w:val="0"/>
          <w:strike w:val="0"/>
          <w:dstrike w:val="0"/>
          <w:vanish w:val="0"/>
          <w:sz w:val="32"/>
          <w:szCs w:val="32"/>
          <w:rtl w:val="0"/>
          <w:lang w:val="en-US" w:eastAsia="zh-CN"/>
        </w:rPr>
        <w:t>旅</w:t>
      </w:r>
      <w:r>
        <w:rPr>
          <w:rFonts w:hint="eastAsia" w:ascii="仿宋_GB2312" w:hAnsi="仿宋_GB2312" w:eastAsia="仿宋_GB2312" w:cs="仿宋_GB2312"/>
          <w:b w:val="0"/>
          <w:bCs w:val="0"/>
          <w:i w:val="0"/>
          <w:iCs w:val="0"/>
          <w:caps w:val="0"/>
          <w:smallCaps w:val="0"/>
          <w:strike w:val="0"/>
          <w:dstrike w:val="0"/>
          <w:vanish w:val="0"/>
          <w:sz w:val="32"/>
          <w:szCs w:val="32"/>
          <w:rtl w:val="0"/>
        </w:rPr>
        <w:t>事业发展财政保障长效机制，</w:t>
      </w:r>
      <w:r>
        <w:rPr>
          <w:rFonts w:hint="eastAsia" w:ascii="仿宋_GB2312" w:hAnsi="仿宋_GB2312" w:eastAsia="仿宋_GB2312" w:cs="仿宋_GB2312"/>
          <w:b w:val="0"/>
          <w:bCs w:val="0"/>
          <w:i w:val="0"/>
          <w:iCs w:val="0"/>
          <w:caps w:val="0"/>
          <w:smallCaps w:val="0"/>
          <w:strike w:val="0"/>
          <w:dstrike w:val="0"/>
          <w:vanish w:val="0"/>
          <w:sz w:val="32"/>
          <w:szCs w:val="32"/>
          <w:rtl w:val="0"/>
          <w:lang w:eastAsia="zh-CN"/>
        </w:rPr>
        <w:t>创造性开展</w:t>
      </w:r>
      <w:r>
        <w:rPr>
          <w:rFonts w:hint="eastAsia" w:ascii="仿宋_GB2312" w:hAnsi="仿宋_GB2312" w:eastAsia="仿宋_GB2312" w:cs="仿宋_GB2312"/>
          <w:color w:val="000000"/>
          <w:kern w:val="0"/>
          <w:sz w:val="32"/>
          <w:szCs w:val="32"/>
          <w:lang w:val="en-US" w:eastAsia="zh-CN" w:bidi="ar"/>
        </w:rPr>
        <w:t>资阳区2024年“百龙巡游 喜乐元宵”、2024“古韵古城 资水资阳”端午龙舟大赛暨地域文化助力乡村振兴等活动，全力支持湖南省第十五届运动会筹办，截至目前完成文化旅游体育与传媒支出2165万元。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val="0"/>
          <w:sz w:val="32"/>
          <w:szCs w:val="32"/>
          <w:highlight w:val="none"/>
          <w:lang w:eastAsia="zh-CN"/>
        </w:rPr>
      </w:pPr>
      <w:r>
        <w:rPr>
          <w:rFonts w:hint="eastAsia" w:ascii="仿宋_GB2312" w:hAnsi="仿宋_GB2312" w:eastAsia="仿宋_GB2312" w:cs="仿宋_GB2312"/>
          <w:b/>
          <w:bCs w:val="0"/>
          <w:sz w:val="32"/>
          <w:szCs w:val="32"/>
          <w:highlight w:val="none"/>
          <w:lang w:val="en-US" w:eastAsia="zh-CN"/>
        </w:rPr>
        <w:t>3.强保障，着力乡村振兴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
          <w:bCs w:val="0"/>
          <w:sz w:val="32"/>
          <w:szCs w:val="32"/>
          <w:highlight w:val="none"/>
        </w:rPr>
        <w:t>一是坚持农业农村优先发展。</w:t>
      </w:r>
      <w:r>
        <w:rPr>
          <w:rFonts w:hint="eastAsia" w:ascii="仿宋_GB2312" w:hAnsi="仿宋_GB2312" w:eastAsia="仿宋_GB2312" w:cs="仿宋_GB2312"/>
          <w:bCs/>
          <w:sz w:val="32"/>
          <w:szCs w:val="32"/>
          <w:highlight w:val="none"/>
        </w:rPr>
        <w:t>充分发挥财政职能作用，切实强化投入保障、优化政策供给，统筹推进“三农”领域重点任务。</w:t>
      </w:r>
      <w:r>
        <w:rPr>
          <w:rFonts w:hint="eastAsia" w:ascii="仿宋_GB2312" w:hAnsi="仿宋_GB2312" w:eastAsia="仿宋_GB2312" w:cs="仿宋_GB2312"/>
          <w:bCs/>
          <w:sz w:val="32"/>
          <w:szCs w:val="32"/>
          <w:highlight w:val="none"/>
          <w:lang w:eastAsia="zh-CN"/>
        </w:rPr>
        <w:t>预计</w:t>
      </w:r>
      <w:r>
        <w:rPr>
          <w:rFonts w:hint="eastAsia" w:ascii="仿宋_GB2312" w:hAnsi="仿宋_GB2312" w:eastAsia="仿宋_GB2312" w:cs="仿宋_GB2312"/>
          <w:bCs/>
          <w:sz w:val="32"/>
          <w:szCs w:val="32"/>
          <w:highlight w:val="none"/>
        </w:rPr>
        <w:t>202</w:t>
      </w:r>
      <w:r>
        <w:rPr>
          <w:rFonts w:hint="eastAsia" w:ascii="仿宋_GB2312" w:hAnsi="仿宋_GB2312" w:eastAsia="仿宋_GB2312" w:cs="仿宋_GB2312"/>
          <w:bCs/>
          <w:sz w:val="32"/>
          <w:szCs w:val="32"/>
          <w:highlight w:val="none"/>
          <w:lang w:val="en-US" w:eastAsia="zh-CN"/>
        </w:rPr>
        <w:t>4</w:t>
      </w:r>
      <w:r>
        <w:rPr>
          <w:rFonts w:hint="eastAsia" w:ascii="仿宋_GB2312" w:hAnsi="仿宋_GB2312" w:eastAsia="仿宋_GB2312" w:cs="仿宋_GB2312"/>
          <w:bCs/>
          <w:sz w:val="32"/>
          <w:szCs w:val="32"/>
          <w:highlight w:val="none"/>
        </w:rPr>
        <w:t>年农林水支出</w:t>
      </w:r>
      <w:r>
        <w:rPr>
          <w:rFonts w:hint="eastAsia" w:ascii="仿宋_GB2312" w:hAnsi="仿宋_GB2312" w:eastAsia="仿宋_GB2312" w:cs="仿宋_GB2312"/>
          <w:bCs/>
          <w:sz w:val="32"/>
          <w:szCs w:val="32"/>
          <w:highlight w:val="none"/>
          <w:lang w:val="en-US" w:eastAsia="zh-CN"/>
        </w:rPr>
        <w:t>68245</w:t>
      </w:r>
      <w:r>
        <w:rPr>
          <w:rFonts w:hint="eastAsia" w:ascii="仿宋_GB2312" w:hAnsi="仿宋_GB2312" w:eastAsia="仿宋_GB2312" w:cs="仿宋_GB2312"/>
          <w:bCs/>
          <w:sz w:val="32"/>
          <w:szCs w:val="32"/>
          <w:highlight w:val="none"/>
        </w:rPr>
        <w:t>万元。</w:t>
      </w:r>
      <w:r>
        <w:rPr>
          <w:rFonts w:hint="eastAsia" w:ascii="仿宋_GB2312" w:hAnsi="仿宋_GB2312" w:eastAsia="仿宋_GB2312" w:cs="仿宋_GB2312"/>
          <w:b/>
          <w:bCs w:val="0"/>
          <w:sz w:val="32"/>
          <w:szCs w:val="32"/>
          <w:highlight w:val="none"/>
        </w:rPr>
        <w:t>二是巩固拓展脱贫攻坚成果。</w:t>
      </w:r>
      <w:r>
        <w:rPr>
          <w:rFonts w:hint="eastAsia" w:ascii="仿宋_GB2312" w:hAnsi="仿宋_GB2312" w:eastAsia="仿宋_GB2312" w:cs="仿宋_GB2312"/>
          <w:bCs/>
          <w:sz w:val="32"/>
          <w:szCs w:val="32"/>
          <w:highlight w:val="none"/>
        </w:rPr>
        <w:t>有序推进乡村建设，支持加强农村基础设施建设，推动乡村产业融合发展。202</w:t>
      </w:r>
      <w:r>
        <w:rPr>
          <w:rFonts w:hint="eastAsia" w:ascii="仿宋_GB2312" w:hAnsi="仿宋_GB2312" w:eastAsia="仿宋_GB2312" w:cs="仿宋_GB2312"/>
          <w:bCs/>
          <w:sz w:val="32"/>
          <w:szCs w:val="32"/>
          <w:highlight w:val="none"/>
          <w:lang w:val="en-US" w:eastAsia="zh-CN"/>
        </w:rPr>
        <w:t>4</w:t>
      </w:r>
      <w:r>
        <w:rPr>
          <w:rFonts w:hint="eastAsia" w:ascii="仿宋_GB2312" w:hAnsi="仿宋_GB2312" w:eastAsia="仿宋_GB2312" w:cs="仿宋_GB2312"/>
          <w:bCs/>
          <w:sz w:val="32"/>
          <w:szCs w:val="32"/>
          <w:highlight w:val="none"/>
        </w:rPr>
        <w:t>年财政拨付</w:t>
      </w:r>
      <w:r>
        <w:rPr>
          <w:rFonts w:hint="eastAsia" w:ascii="仿宋_GB2312" w:hAnsi="仿宋_GB2312" w:eastAsia="仿宋_GB2312" w:cs="仿宋_GB2312"/>
          <w:bCs/>
          <w:sz w:val="32"/>
          <w:szCs w:val="32"/>
          <w:highlight w:val="none"/>
          <w:lang w:eastAsia="zh-CN"/>
        </w:rPr>
        <w:t>乡村振兴</w:t>
      </w:r>
      <w:r>
        <w:rPr>
          <w:rFonts w:hint="eastAsia" w:ascii="仿宋_GB2312" w:hAnsi="仿宋_GB2312" w:eastAsia="仿宋_GB2312" w:cs="仿宋_GB2312"/>
          <w:bCs/>
          <w:sz w:val="32"/>
          <w:szCs w:val="32"/>
          <w:highlight w:val="none"/>
        </w:rPr>
        <w:t>衔接资金</w:t>
      </w:r>
      <w:r>
        <w:rPr>
          <w:rFonts w:hint="eastAsia" w:ascii="仿宋_GB2312" w:hAnsi="仿宋_GB2312" w:eastAsia="仿宋_GB2312" w:cs="仿宋_GB2312"/>
          <w:bCs/>
          <w:sz w:val="32"/>
          <w:szCs w:val="32"/>
          <w:highlight w:val="none"/>
          <w:lang w:val="en-US" w:eastAsia="zh-CN"/>
        </w:rPr>
        <w:t>7748</w:t>
      </w:r>
      <w:r>
        <w:rPr>
          <w:rFonts w:hint="eastAsia" w:ascii="仿宋_GB2312" w:hAnsi="仿宋_GB2312" w:eastAsia="仿宋_GB2312" w:cs="仿宋_GB2312"/>
          <w:bCs/>
          <w:sz w:val="32"/>
          <w:szCs w:val="32"/>
          <w:highlight w:val="none"/>
        </w:rPr>
        <w:t>万元</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惠民资金“一卡通”兑现</w:t>
      </w:r>
      <w:r>
        <w:rPr>
          <w:rFonts w:hint="eastAsia" w:ascii="仿宋_GB2312" w:hAnsi="仿宋_GB2312" w:eastAsia="仿宋_GB2312" w:cs="仿宋_GB2312"/>
          <w:bCs/>
          <w:sz w:val="32"/>
          <w:szCs w:val="32"/>
          <w:highlight w:val="none"/>
          <w:lang w:val="en-US" w:eastAsia="zh-CN"/>
        </w:rPr>
        <w:t>92项</w:t>
      </w:r>
      <w:r>
        <w:rPr>
          <w:rFonts w:hint="eastAsia" w:ascii="仿宋_GB2312" w:hAnsi="仿宋_GB2312" w:eastAsia="仿宋_GB2312" w:cs="仿宋_GB2312"/>
          <w:bCs/>
          <w:sz w:val="32"/>
          <w:szCs w:val="32"/>
          <w:highlight w:val="none"/>
        </w:rPr>
        <w:t>补贴</w:t>
      </w:r>
      <w:r>
        <w:rPr>
          <w:rFonts w:hint="eastAsia" w:ascii="仿宋_GB2312" w:hAnsi="仿宋_GB2312" w:eastAsia="仿宋_GB2312" w:cs="仿宋_GB2312"/>
          <w:bCs/>
          <w:sz w:val="32"/>
          <w:szCs w:val="32"/>
          <w:highlight w:val="none"/>
          <w:lang w:eastAsia="zh-CN"/>
        </w:rPr>
        <w:t>共计</w:t>
      </w:r>
      <w:r>
        <w:rPr>
          <w:rFonts w:hint="eastAsia" w:ascii="仿宋_GB2312" w:hAnsi="仿宋_GB2312" w:eastAsia="仿宋_GB2312" w:cs="仿宋_GB2312"/>
          <w:bCs/>
          <w:sz w:val="32"/>
          <w:szCs w:val="32"/>
          <w:highlight w:val="none"/>
          <w:lang w:val="en-US" w:eastAsia="zh-CN"/>
        </w:rPr>
        <w:t>18985</w:t>
      </w:r>
      <w:r>
        <w:rPr>
          <w:rFonts w:hint="eastAsia" w:ascii="仿宋_GB2312" w:hAnsi="仿宋_GB2312" w:eastAsia="仿宋_GB2312" w:cs="仿宋_GB2312"/>
          <w:bCs/>
          <w:sz w:val="32"/>
          <w:szCs w:val="32"/>
          <w:highlight w:val="none"/>
        </w:rPr>
        <w:t>万元</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较上年增加777万元，同比增长4.26%。</w:t>
      </w:r>
      <w:r>
        <w:rPr>
          <w:rFonts w:hint="eastAsia" w:ascii="仿宋_GB2312" w:hAnsi="仿宋_GB2312" w:eastAsia="仿宋_GB2312" w:cs="仿宋_GB2312"/>
          <w:b/>
          <w:bCs w:val="0"/>
          <w:sz w:val="32"/>
          <w:szCs w:val="32"/>
          <w:highlight w:val="none"/>
        </w:rPr>
        <w:t>三是抓牢粮食安全生产。</w:t>
      </w:r>
      <w:r>
        <w:rPr>
          <w:rFonts w:hint="eastAsia" w:ascii="仿宋_GB2312" w:hAnsi="仿宋_GB2312" w:eastAsia="仿宋_GB2312" w:cs="仿宋_GB2312"/>
          <w:bCs/>
          <w:sz w:val="32"/>
          <w:szCs w:val="32"/>
          <w:highlight w:val="none"/>
        </w:rPr>
        <w:t>针对农业生产关键环节共计投入资金</w:t>
      </w:r>
      <w:r>
        <w:rPr>
          <w:rFonts w:hint="eastAsia" w:ascii="仿宋_GB2312" w:hAnsi="仿宋_GB2312" w:eastAsia="仿宋_GB2312" w:cs="仿宋_GB2312"/>
          <w:bCs/>
          <w:sz w:val="32"/>
          <w:szCs w:val="32"/>
          <w:highlight w:val="none"/>
          <w:lang w:val="en-US" w:eastAsia="zh-CN"/>
        </w:rPr>
        <w:t>4105</w:t>
      </w:r>
      <w:r>
        <w:rPr>
          <w:rFonts w:hint="eastAsia" w:ascii="仿宋_GB2312" w:hAnsi="仿宋_GB2312" w:eastAsia="仿宋_GB2312" w:cs="仿宋_GB2312"/>
          <w:bCs/>
          <w:sz w:val="32"/>
          <w:szCs w:val="32"/>
          <w:highlight w:val="none"/>
        </w:rPr>
        <w:t>万元，并获得特别国债</w:t>
      </w:r>
      <w:r>
        <w:rPr>
          <w:rFonts w:hint="eastAsia" w:ascii="仿宋_GB2312" w:hAnsi="仿宋_GB2312" w:eastAsia="仿宋_GB2312" w:cs="仿宋_GB2312"/>
          <w:bCs/>
          <w:sz w:val="32"/>
          <w:szCs w:val="32"/>
          <w:highlight w:val="none"/>
          <w:lang w:val="en-US" w:eastAsia="zh-CN"/>
        </w:rPr>
        <w:t>2104万元</w:t>
      </w:r>
      <w:r>
        <w:rPr>
          <w:rFonts w:hint="eastAsia" w:ascii="仿宋_GB2312" w:hAnsi="仿宋_GB2312" w:eastAsia="仿宋_GB2312" w:cs="仿宋_GB2312"/>
          <w:bCs/>
          <w:sz w:val="32"/>
          <w:szCs w:val="32"/>
          <w:highlight w:val="none"/>
        </w:rPr>
        <w:t>支持高标准农田建设，</w:t>
      </w:r>
      <w:r>
        <w:rPr>
          <w:rFonts w:hint="eastAsia" w:ascii="仿宋_GB2312" w:hAnsi="仿宋_GB2312" w:eastAsia="仿宋_GB2312" w:cs="仿宋_GB2312"/>
          <w:bCs/>
          <w:sz w:val="32"/>
          <w:szCs w:val="32"/>
          <w:highlight w:val="none"/>
          <w:lang w:eastAsia="zh-CN"/>
        </w:rPr>
        <w:t>助力</w:t>
      </w:r>
      <w:r>
        <w:rPr>
          <w:rFonts w:hint="eastAsia" w:ascii="仿宋_GB2312" w:hAnsi="仿宋_GB2312" w:eastAsia="仿宋_GB2312" w:cs="仿宋_GB2312"/>
          <w:bCs/>
          <w:sz w:val="32"/>
          <w:szCs w:val="32"/>
          <w:highlight w:val="none"/>
        </w:rPr>
        <w:t>提升粮食综合生产能力。</w:t>
      </w:r>
      <w:r>
        <w:rPr>
          <w:rFonts w:hint="eastAsia" w:ascii="仿宋_GB2312" w:hAnsi="仿宋_GB2312" w:eastAsia="仿宋_GB2312" w:cs="仿宋_GB2312"/>
          <w:b/>
          <w:bCs w:val="0"/>
          <w:sz w:val="32"/>
          <w:szCs w:val="32"/>
          <w:highlight w:val="none"/>
          <w:lang w:val="en-US" w:eastAsia="zh-CN"/>
        </w:rPr>
        <w:t>四是加强农村水利基础设施建设。</w:t>
      </w:r>
      <w:r>
        <w:rPr>
          <w:rFonts w:hint="eastAsia" w:ascii="仿宋_GB2312" w:hAnsi="仿宋_GB2312" w:eastAsia="仿宋_GB2312" w:cs="仿宋_GB2312"/>
          <w:kern w:val="2"/>
          <w:sz w:val="32"/>
          <w:szCs w:val="32"/>
          <w:highlight w:val="none"/>
          <w:lang w:val="en-US" w:eastAsia="zh-CN" w:bidi="ar-SA"/>
        </w:rPr>
        <w:t>投入国</w:t>
      </w:r>
      <w:r>
        <w:rPr>
          <w:rFonts w:hint="eastAsia" w:ascii="仿宋_GB2312" w:hAnsi="仿宋_GB2312" w:eastAsia="仿宋_GB2312" w:cs="仿宋_GB2312"/>
          <w:bCs/>
          <w:sz w:val="32"/>
          <w:szCs w:val="32"/>
          <w:highlight w:val="none"/>
          <w:lang w:val="en-US" w:eastAsia="zh-CN"/>
        </w:rPr>
        <w:t>债水利项目11650万元</w:t>
      </w:r>
      <w:r>
        <w:rPr>
          <w:rFonts w:hint="eastAsia" w:ascii="仿宋_GB2312" w:hAnsi="仿宋_GB2312" w:eastAsia="仿宋_GB2312" w:cs="仿宋_GB2312"/>
          <w:kern w:val="2"/>
          <w:sz w:val="32"/>
          <w:szCs w:val="32"/>
          <w:highlight w:val="none"/>
          <w:lang w:val="en-US" w:eastAsia="zh-CN" w:bidi="ar-SA"/>
        </w:rPr>
        <w:t>用于其他重点防洪工程以及迎丰灌区续建配套与节水改造项目。投入水利建</w:t>
      </w:r>
      <w:r>
        <w:rPr>
          <w:rFonts w:hint="eastAsia" w:ascii="仿宋_GB2312" w:hAnsi="仿宋_GB2312" w:eastAsia="仿宋_GB2312" w:cs="仿宋_GB2312"/>
          <w:bCs/>
          <w:sz w:val="32"/>
          <w:szCs w:val="32"/>
          <w:highlight w:val="none"/>
          <w:lang w:val="en-US" w:eastAsia="zh-CN"/>
        </w:rPr>
        <w:t>设资金2498万元</w:t>
      </w:r>
      <w:r>
        <w:rPr>
          <w:rFonts w:hint="eastAsia" w:ascii="仿宋_GB2312" w:hAnsi="仿宋_GB2312" w:eastAsia="仿宋_GB2312" w:cs="仿宋_GB2312"/>
          <w:kern w:val="2"/>
          <w:sz w:val="32"/>
          <w:szCs w:val="32"/>
          <w:highlight w:val="none"/>
          <w:lang w:val="en-US" w:eastAsia="zh-CN" w:bidi="ar-SA"/>
        </w:rPr>
        <w:t>实施堤防加固、水库除险加固、水系连通及水美乡村建设、农村饮水工程维修养护等与防汛、民生紧密相关的水利工程项目建设，大幅提升防洪抗旱能力。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4.严监督，着力绩效管理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
          <w:bCs w:val="0"/>
          <w:sz w:val="32"/>
          <w:szCs w:val="32"/>
          <w:highlight w:val="none"/>
        </w:rPr>
        <w:t>一是</w:t>
      </w:r>
      <w:r>
        <w:rPr>
          <w:rFonts w:hint="eastAsia" w:ascii="仿宋_GB2312" w:hAnsi="仿宋_GB2312" w:eastAsia="仿宋_GB2312" w:cs="仿宋_GB2312"/>
          <w:b/>
          <w:bCs w:val="0"/>
          <w:sz w:val="32"/>
          <w:szCs w:val="32"/>
          <w:highlight w:val="none"/>
          <w:lang w:eastAsia="zh-CN"/>
        </w:rPr>
        <w:t>项目</w:t>
      </w:r>
      <w:r>
        <w:rPr>
          <w:rFonts w:hint="eastAsia" w:ascii="仿宋_GB2312" w:hAnsi="仿宋_GB2312" w:eastAsia="仿宋_GB2312" w:cs="仿宋_GB2312"/>
          <w:b/>
          <w:bCs w:val="0"/>
          <w:sz w:val="32"/>
          <w:szCs w:val="32"/>
          <w:highlight w:val="none"/>
        </w:rPr>
        <w:t>管理精准化。</w:t>
      </w:r>
      <w:r>
        <w:rPr>
          <w:rFonts w:hint="eastAsia" w:ascii="仿宋_GB2312" w:hAnsi="仿宋_GB2312" w:eastAsia="仿宋_GB2312" w:cs="仿宋_GB2312"/>
          <w:bCs/>
          <w:sz w:val="32"/>
          <w:szCs w:val="32"/>
          <w:highlight w:val="none"/>
        </w:rPr>
        <w:t>通过规范政府投资项目预算评审</w:t>
      </w:r>
      <w:r>
        <w:rPr>
          <w:rFonts w:hint="eastAsia" w:ascii="仿宋_GB2312" w:hAnsi="仿宋_GB2312" w:eastAsia="仿宋_GB2312" w:cs="仿宋_GB2312"/>
          <w:bCs/>
          <w:sz w:val="32"/>
          <w:szCs w:val="32"/>
          <w:highlight w:val="none"/>
          <w:lang w:eastAsia="zh-CN"/>
        </w:rPr>
        <w:t>和政府采购</w:t>
      </w:r>
      <w:r>
        <w:rPr>
          <w:rFonts w:hint="eastAsia" w:ascii="仿宋_GB2312" w:hAnsi="仿宋_GB2312" w:eastAsia="仿宋_GB2312" w:cs="仿宋_GB2312"/>
          <w:bCs/>
          <w:sz w:val="32"/>
          <w:szCs w:val="32"/>
          <w:highlight w:val="none"/>
        </w:rPr>
        <w:t>，促进各单位提高项目管理水平。202</w:t>
      </w:r>
      <w:r>
        <w:rPr>
          <w:rFonts w:hint="eastAsia" w:ascii="仿宋_GB2312" w:hAnsi="仿宋_GB2312" w:eastAsia="仿宋_GB2312" w:cs="仿宋_GB2312"/>
          <w:bCs/>
          <w:sz w:val="32"/>
          <w:szCs w:val="32"/>
          <w:highlight w:val="none"/>
          <w:lang w:val="en-US" w:eastAsia="zh-CN"/>
        </w:rPr>
        <w:t>4</w:t>
      </w:r>
      <w:r>
        <w:rPr>
          <w:rFonts w:hint="eastAsia" w:ascii="仿宋_GB2312" w:hAnsi="仿宋_GB2312" w:eastAsia="仿宋_GB2312" w:cs="仿宋_GB2312"/>
          <w:bCs/>
          <w:sz w:val="32"/>
          <w:szCs w:val="32"/>
          <w:highlight w:val="none"/>
        </w:rPr>
        <w:t>年，对全区115个项目开展预算评审，送审金额19.71亿元，审定金额17.14亿元，核减金额2.57亿元，核减率13.04%，有效解决项目高估冒算、浪费低效等问题。2024年度政府采购限额标准以上的招投标项目5</w:t>
      </w:r>
      <w:r>
        <w:rPr>
          <w:rFonts w:hint="eastAsia" w:ascii="仿宋_GB2312" w:hAnsi="仿宋_GB2312" w:eastAsia="仿宋_GB2312" w:cs="仿宋_GB2312"/>
          <w:bCs/>
          <w:sz w:val="32"/>
          <w:szCs w:val="32"/>
          <w:highlight w:val="none"/>
          <w:lang w:val="en-US" w:eastAsia="zh-CN"/>
        </w:rPr>
        <w:t>4</w:t>
      </w:r>
      <w:r>
        <w:rPr>
          <w:rFonts w:hint="eastAsia" w:ascii="仿宋_GB2312" w:hAnsi="仿宋_GB2312" w:eastAsia="仿宋_GB2312" w:cs="仿宋_GB2312"/>
          <w:bCs/>
          <w:sz w:val="32"/>
          <w:szCs w:val="32"/>
          <w:highlight w:val="none"/>
        </w:rPr>
        <w:t>个，预算金额</w:t>
      </w:r>
      <w:r>
        <w:rPr>
          <w:rFonts w:hint="eastAsia" w:ascii="仿宋_GB2312" w:hAnsi="仿宋_GB2312" w:eastAsia="仿宋_GB2312" w:cs="仿宋_GB2312"/>
          <w:bCs/>
          <w:sz w:val="32"/>
          <w:szCs w:val="32"/>
          <w:highlight w:val="none"/>
          <w:lang w:val="en-US" w:eastAsia="zh-CN"/>
        </w:rPr>
        <w:t>17472</w:t>
      </w:r>
      <w:r>
        <w:rPr>
          <w:rFonts w:hint="eastAsia" w:ascii="仿宋_GB2312" w:hAnsi="仿宋_GB2312" w:eastAsia="仿宋_GB2312" w:cs="仿宋_GB2312"/>
          <w:bCs/>
          <w:sz w:val="32"/>
          <w:szCs w:val="32"/>
          <w:highlight w:val="none"/>
        </w:rPr>
        <w:t>万元，实际采购金额</w:t>
      </w:r>
      <w:r>
        <w:rPr>
          <w:rFonts w:hint="eastAsia" w:ascii="仿宋_GB2312" w:hAnsi="仿宋_GB2312" w:eastAsia="仿宋_GB2312" w:cs="仿宋_GB2312"/>
          <w:bCs/>
          <w:sz w:val="32"/>
          <w:szCs w:val="32"/>
          <w:highlight w:val="none"/>
          <w:lang w:val="en-US" w:eastAsia="zh-CN"/>
        </w:rPr>
        <w:t>16740</w:t>
      </w:r>
      <w:r>
        <w:rPr>
          <w:rFonts w:hint="eastAsia" w:ascii="仿宋_GB2312" w:hAnsi="仿宋_GB2312" w:eastAsia="仿宋_GB2312" w:cs="仿宋_GB2312"/>
          <w:bCs/>
          <w:sz w:val="32"/>
          <w:szCs w:val="32"/>
          <w:highlight w:val="none"/>
        </w:rPr>
        <w:t>万元。2024年度限额标准以下的采购项目交易订单数1</w:t>
      </w:r>
      <w:r>
        <w:rPr>
          <w:rFonts w:hint="eastAsia" w:ascii="仿宋_GB2312" w:hAnsi="仿宋_GB2312" w:eastAsia="仿宋_GB2312" w:cs="仿宋_GB2312"/>
          <w:bCs/>
          <w:sz w:val="32"/>
          <w:szCs w:val="32"/>
          <w:highlight w:val="none"/>
          <w:lang w:val="en-US" w:eastAsia="zh-CN"/>
        </w:rPr>
        <w:t>3560</w:t>
      </w:r>
      <w:r>
        <w:rPr>
          <w:rFonts w:hint="eastAsia" w:ascii="仿宋_GB2312" w:hAnsi="仿宋_GB2312" w:eastAsia="仿宋_GB2312" w:cs="仿宋_GB2312"/>
          <w:bCs/>
          <w:sz w:val="32"/>
          <w:szCs w:val="32"/>
          <w:highlight w:val="none"/>
        </w:rPr>
        <w:t>笔，交易额</w:t>
      </w:r>
      <w:r>
        <w:rPr>
          <w:rFonts w:hint="eastAsia" w:ascii="仿宋_GB2312" w:hAnsi="仿宋_GB2312" w:eastAsia="仿宋_GB2312" w:cs="仿宋_GB2312"/>
          <w:bCs/>
          <w:sz w:val="32"/>
          <w:szCs w:val="32"/>
          <w:highlight w:val="none"/>
          <w:lang w:val="en-US" w:eastAsia="zh-CN"/>
        </w:rPr>
        <w:t>34476</w:t>
      </w:r>
      <w:r>
        <w:rPr>
          <w:rFonts w:hint="eastAsia" w:ascii="仿宋_GB2312" w:hAnsi="仿宋_GB2312" w:eastAsia="仿宋_GB2312" w:cs="仿宋_GB2312"/>
          <w:bCs/>
          <w:sz w:val="32"/>
          <w:szCs w:val="32"/>
          <w:highlight w:val="none"/>
        </w:rPr>
        <w:t>万元。</w:t>
      </w:r>
      <w:r>
        <w:rPr>
          <w:rFonts w:hint="eastAsia" w:ascii="仿宋_GB2312" w:hAnsi="仿宋_GB2312" w:eastAsia="仿宋_GB2312" w:cs="仿宋_GB2312"/>
          <w:b/>
          <w:bCs w:val="0"/>
          <w:sz w:val="32"/>
          <w:szCs w:val="32"/>
          <w:highlight w:val="none"/>
        </w:rPr>
        <w:t>二是政府投资规范化。</w:t>
      </w:r>
      <w:r>
        <w:rPr>
          <w:rFonts w:hint="eastAsia" w:ascii="仿宋_GB2312" w:hAnsi="仿宋_GB2312" w:eastAsia="仿宋_GB2312" w:cs="仿宋_GB2312"/>
          <w:bCs/>
          <w:sz w:val="32"/>
          <w:szCs w:val="32"/>
          <w:highlight w:val="none"/>
        </w:rPr>
        <w:t>发展改革、财政部门会同相关行业主管部门做好政府投资项目的评估论证工作，重点论证项目实施的必要性、可行性、公益性、收益性、资金来源可靠性，对财政承受能力、资金平衡方案、能耗、对可能形成的重大风险隐患以及重大项目社会稳定风险隐患等进行评估。</w:t>
      </w:r>
      <w:r>
        <w:rPr>
          <w:rFonts w:hint="eastAsia" w:ascii="仿宋_GB2312" w:hAnsi="仿宋_GB2312" w:eastAsia="仿宋_GB2312" w:cs="仿宋_GB2312"/>
          <w:b/>
          <w:bCs w:val="0"/>
          <w:sz w:val="32"/>
          <w:szCs w:val="32"/>
          <w:highlight w:val="none"/>
        </w:rPr>
        <w:t>三是绩效评价系统化。</w:t>
      </w:r>
      <w:r>
        <w:rPr>
          <w:rFonts w:hint="eastAsia" w:ascii="仿宋_GB2312" w:hAnsi="仿宋_GB2312" w:eastAsia="仿宋_GB2312" w:cs="仿宋_GB2312"/>
          <w:bCs/>
          <w:sz w:val="32"/>
          <w:szCs w:val="32"/>
          <w:highlight w:val="none"/>
        </w:rPr>
        <w:t>聘请第三方中介机构开展2021</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2024年上级重点建设项目资金的绩效评价工作，进一步加强专项资金管理，形成财政资金监管合力</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扎实开展202</w:t>
      </w:r>
      <w:r>
        <w:rPr>
          <w:rFonts w:hint="eastAsia" w:ascii="仿宋_GB2312" w:hAnsi="仿宋_GB2312" w:eastAsia="仿宋_GB2312" w:cs="仿宋_GB2312"/>
          <w:bCs/>
          <w:sz w:val="32"/>
          <w:szCs w:val="32"/>
          <w:highlight w:val="none"/>
          <w:lang w:val="en-US" w:eastAsia="zh-CN"/>
        </w:rPr>
        <w:t>4</w:t>
      </w:r>
      <w:r>
        <w:rPr>
          <w:rFonts w:hint="eastAsia" w:ascii="仿宋_GB2312" w:hAnsi="仿宋_GB2312" w:eastAsia="仿宋_GB2312" w:cs="仿宋_GB2312"/>
          <w:bCs/>
          <w:sz w:val="32"/>
          <w:szCs w:val="32"/>
          <w:highlight w:val="none"/>
        </w:rPr>
        <w:t>年财政重点绩效评价工作，完成</w:t>
      </w:r>
      <w:r>
        <w:rPr>
          <w:rFonts w:hint="eastAsia" w:ascii="仿宋_GB2312" w:hAnsi="仿宋_GB2312" w:eastAsia="仿宋_GB2312" w:cs="仿宋_GB2312"/>
          <w:bCs/>
          <w:sz w:val="32"/>
          <w:szCs w:val="32"/>
          <w:highlight w:val="none"/>
          <w:lang w:val="en-US" w:eastAsia="zh-CN"/>
        </w:rPr>
        <w:t>14</w:t>
      </w:r>
      <w:r>
        <w:rPr>
          <w:rFonts w:hint="eastAsia" w:ascii="仿宋_GB2312" w:hAnsi="仿宋_GB2312" w:eastAsia="仿宋_GB2312" w:cs="仿宋_GB2312"/>
          <w:bCs/>
          <w:sz w:val="32"/>
          <w:szCs w:val="32"/>
          <w:highlight w:val="none"/>
        </w:rPr>
        <w:t>个项目重点绩效评价</w:t>
      </w:r>
      <w:r>
        <w:rPr>
          <w:rFonts w:hint="eastAsia" w:ascii="仿宋_GB2312" w:hAnsi="仿宋_GB2312" w:eastAsia="仿宋_GB2312" w:cs="仿宋_GB2312"/>
          <w:bCs/>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准确掌握</w:t>
      </w:r>
      <w:r>
        <w:rPr>
          <w:rFonts w:hint="default" w:ascii="Times New Roman" w:hAnsi="Times New Roman" w:eastAsia="仿宋_GB2312" w:cs="Times New Roman"/>
          <w:color w:val="auto"/>
          <w:sz w:val="32"/>
          <w:szCs w:val="32"/>
          <w:highlight w:val="none"/>
          <w:lang w:val="en-US" w:eastAsia="zh-CN"/>
        </w:rPr>
        <w:t>财政政策效能</w:t>
      </w:r>
      <w:r>
        <w:rPr>
          <w:rFonts w:hint="eastAsia" w:ascii="Times New Roman" w:hAnsi="Times New Roman" w:eastAsia="仿宋_GB2312" w:cs="Times New Roman"/>
          <w:color w:val="auto"/>
          <w:sz w:val="32"/>
          <w:szCs w:val="32"/>
          <w:highlight w:val="none"/>
          <w:lang w:val="en-US" w:eastAsia="zh-CN"/>
        </w:rPr>
        <w:t>发挥及</w:t>
      </w:r>
      <w:r>
        <w:rPr>
          <w:rFonts w:hint="default" w:ascii="Times New Roman" w:hAnsi="Times New Roman" w:eastAsia="仿宋_GB2312" w:cs="Times New Roman"/>
          <w:color w:val="auto"/>
          <w:sz w:val="32"/>
          <w:szCs w:val="32"/>
          <w:highlight w:val="none"/>
          <w:lang w:val="en-US" w:eastAsia="zh-CN"/>
        </w:rPr>
        <w:t>资金使用效益</w:t>
      </w:r>
      <w:r>
        <w:rPr>
          <w:rFonts w:hint="eastAsia" w:ascii="Times New Roman" w:hAnsi="Times New Roman" w:eastAsia="仿宋_GB2312" w:cs="Times New Roman"/>
          <w:color w:val="auto"/>
          <w:sz w:val="32"/>
          <w:szCs w:val="32"/>
          <w:highlight w:val="none"/>
          <w:lang w:val="en-US" w:eastAsia="zh-CN"/>
        </w:rPr>
        <w:t>情况</w:t>
      </w: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b/>
          <w:bCs w:val="0"/>
          <w:sz w:val="32"/>
          <w:szCs w:val="32"/>
          <w:highlight w:val="none"/>
        </w:rPr>
        <w:t>四是财会监督常态化。</w:t>
      </w:r>
      <w:r>
        <w:rPr>
          <w:rFonts w:hint="eastAsia" w:ascii="仿宋_GB2312" w:hAnsi="仿宋_GB2312" w:eastAsia="仿宋_GB2312" w:cs="仿宋_GB2312"/>
          <w:bCs/>
          <w:sz w:val="32"/>
          <w:szCs w:val="32"/>
          <w:highlight w:val="none"/>
        </w:rPr>
        <w:t>扎实开展财会监督专项整治，组织全</w:t>
      </w:r>
      <w:r>
        <w:rPr>
          <w:rFonts w:hint="eastAsia" w:ascii="仿宋_GB2312" w:hAnsi="仿宋_GB2312" w:eastAsia="仿宋_GB2312" w:cs="仿宋_GB2312"/>
          <w:bCs/>
          <w:sz w:val="32"/>
          <w:szCs w:val="32"/>
          <w:highlight w:val="none"/>
          <w:lang w:eastAsia="zh-CN"/>
        </w:rPr>
        <w:t>区惠民惠农补贴资金发放、专项资金领域</w:t>
      </w:r>
      <w:r>
        <w:rPr>
          <w:rFonts w:hint="eastAsia" w:ascii="仿宋_GB2312" w:hAnsi="仿宋_GB2312" w:eastAsia="仿宋_GB2312" w:cs="仿宋_GB2312"/>
          <w:bCs/>
          <w:sz w:val="32"/>
          <w:szCs w:val="32"/>
          <w:highlight w:val="none"/>
          <w:lang w:val="en-US" w:eastAsia="zh-CN"/>
        </w:rPr>
        <w:t>11</w:t>
      </w:r>
      <w:r>
        <w:rPr>
          <w:rFonts w:hint="eastAsia" w:ascii="仿宋_GB2312" w:hAnsi="仿宋_GB2312" w:eastAsia="仿宋_GB2312" w:cs="仿宋_GB2312"/>
          <w:bCs/>
          <w:sz w:val="32"/>
          <w:szCs w:val="32"/>
          <w:highlight w:val="none"/>
          <w:lang w:eastAsia="zh-CN"/>
        </w:rPr>
        <w:t>项重点资金、违规出台财税优惠政策招商引资问题、高标准农田建设资金使用管理问题、保障性安居工程资金使用管理问题</w:t>
      </w:r>
      <w:r>
        <w:rPr>
          <w:rFonts w:hint="eastAsia" w:ascii="仿宋_GB2312" w:hAnsi="仿宋_GB2312" w:eastAsia="仿宋_GB2312" w:cs="仿宋_GB2312"/>
          <w:bCs/>
          <w:sz w:val="32"/>
          <w:szCs w:val="32"/>
          <w:highlight w:val="none"/>
          <w:lang w:val="en-US" w:eastAsia="zh-CN"/>
        </w:rPr>
        <w:t>3</w:t>
      </w:r>
      <w:r>
        <w:rPr>
          <w:rFonts w:hint="eastAsia" w:ascii="仿宋_GB2312" w:hAnsi="仿宋_GB2312" w:eastAsia="仿宋_GB2312" w:cs="仿宋_GB2312"/>
          <w:bCs/>
          <w:sz w:val="32"/>
          <w:szCs w:val="32"/>
          <w:highlight w:val="none"/>
          <w:lang w:eastAsia="zh-CN"/>
        </w:rPr>
        <w:t>个重点资金</w:t>
      </w:r>
      <w:r>
        <w:rPr>
          <w:rFonts w:hint="eastAsia" w:ascii="仿宋_GB2312" w:hAnsi="仿宋_GB2312" w:eastAsia="仿宋_GB2312" w:cs="仿宋_GB2312"/>
          <w:bCs/>
          <w:sz w:val="32"/>
          <w:szCs w:val="32"/>
          <w:highlight w:val="none"/>
        </w:rPr>
        <w:t>等</w:t>
      </w:r>
      <w:r>
        <w:rPr>
          <w:rFonts w:hint="eastAsia" w:ascii="仿宋_GB2312" w:hAnsi="仿宋_GB2312" w:eastAsia="仿宋_GB2312" w:cs="仿宋_GB2312"/>
          <w:bCs/>
          <w:sz w:val="32"/>
          <w:szCs w:val="32"/>
          <w:highlight w:val="none"/>
          <w:lang w:eastAsia="zh-CN"/>
        </w:rPr>
        <w:t>多</w:t>
      </w:r>
      <w:r>
        <w:rPr>
          <w:rFonts w:hint="eastAsia" w:ascii="仿宋_GB2312" w:hAnsi="仿宋_GB2312" w:eastAsia="仿宋_GB2312" w:cs="仿宋_GB2312"/>
          <w:bCs/>
          <w:sz w:val="32"/>
          <w:szCs w:val="32"/>
          <w:highlight w:val="none"/>
        </w:rPr>
        <w:t>个方面财经纪律重点问题全面开展自查和复查，不断提高财政资金使用质效。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5.防风险，着力化解债务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sz w:val="32"/>
          <w:szCs w:val="32"/>
          <w:highlight w:val="none"/>
          <w:lang w:eastAsia="zh-CN"/>
        </w:rPr>
      </w:pPr>
      <w:r>
        <w:rPr>
          <w:rFonts w:hint="eastAsia" w:ascii="仿宋_GB2312" w:hAnsi="仿宋_GB2312" w:eastAsia="仿宋_GB2312" w:cs="仿宋_GB2312"/>
          <w:b/>
          <w:bCs w:val="0"/>
          <w:sz w:val="32"/>
          <w:szCs w:val="32"/>
          <w:highlight w:val="none"/>
        </w:rPr>
        <w:t>一是</w:t>
      </w:r>
      <w:r>
        <w:rPr>
          <w:rFonts w:hint="eastAsia" w:ascii="仿宋_GB2312" w:hAnsi="仿宋_GB2312" w:eastAsia="仿宋_GB2312" w:cs="仿宋_GB2312"/>
          <w:bCs/>
          <w:sz w:val="32"/>
          <w:szCs w:val="32"/>
          <w:highlight w:val="none"/>
        </w:rPr>
        <w:t>理性把握地方政府债务的特性，科学合理匹配地方政府债务期限结构，并完善地方政府债务管理体制，多措并举化解地方政府债务风险</w:t>
      </w:r>
      <w:r>
        <w:rPr>
          <w:rFonts w:hint="eastAsia" w:ascii="仿宋_GB2312" w:hAnsi="仿宋_GB2312" w:eastAsia="仿宋_GB2312" w:cs="仿宋_GB2312"/>
          <w:bCs/>
          <w:sz w:val="32"/>
          <w:szCs w:val="32"/>
          <w:highlight w:val="none"/>
          <w:lang w:eastAsia="zh-CN"/>
        </w:rPr>
        <w:t>，顺利完成债券本息兑付</w:t>
      </w: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b/>
          <w:bCs w:val="0"/>
          <w:sz w:val="32"/>
          <w:szCs w:val="32"/>
          <w:highlight w:val="none"/>
        </w:rPr>
        <w:t>二是</w:t>
      </w:r>
      <w:r>
        <w:rPr>
          <w:rFonts w:hint="eastAsia" w:ascii="仿宋_GB2312" w:hAnsi="仿宋_GB2312" w:eastAsia="仿宋_GB2312" w:cs="仿宋_GB2312"/>
          <w:bCs/>
          <w:sz w:val="32"/>
          <w:szCs w:val="32"/>
          <w:highlight w:val="none"/>
        </w:rPr>
        <w:t>树立理性的地方政府债务理念，适度运用政府债务以促进经济发展和民生改善，同时注意债务规模与地方经济实力相匹配，避免盲目举债。</w:t>
      </w:r>
      <w:r>
        <w:rPr>
          <w:rFonts w:hint="eastAsia" w:ascii="仿宋_GB2312" w:hAnsi="仿宋_GB2312" w:eastAsia="仿宋_GB2312" w:cs="仿宋_GB2312"/>
          <w:b/>
          <w:bCs w:val="0"/>
          <w:sz w:val="32"/>
          <w:szCs w:val="32"/>
          <w:highlight w:val="none"/>
        </w:rPr>
        <w:t>三是</w:t>
      </w:r>
      <w:r>
        <w:rPr>
          <w:rFonts w:hint="eastAsia" w:ascii="仿宋_GB2312" w:hAnsi="仿宋_GB2312" w:eastAsia="仿宋_GB2312" w:cs="仿宋_GB2312"/>
          <w:bCs/>
          <w:sz w:val="32"/>
          <w:szCs w:val="32"/>
          <w:highlight w:val="none"/>
        </w:rPr>
        <w:t>持续做好地方债务风险管控，落实地方政府性债务风险预警，估算本地区政府债务风险状况，进行风险分析和展望。</w:t>
      </w:r>
      <w:r>
        <w:rPr>
          <w:rFonts w:hint="eastAsia" w:ascii="仿宋_GB2312" w:hAnsi="仿宋_GB2312" w:eastAsia="仿宋_GB2312" w:cs="仿宋_GB2312"/>
          <w:b/>
          <w:bCs w:val="0"/>
          <w:sz w:val="32"/>
          <w:szCs w:val="32"/>
          <w:highlight w:val="none"/>
          <w:lang w:eastAsia="zh-CN"/>
        </w:rPr>
        <w:t>四是</w:t>
      </w:r>
      <w:r>
        <w:rPr>
          <w:rFonts w:hint="eastAsia" w:ascii="仿宋_GB2312" w:hAnsi="仿宋_GB2312" w:eastAsia="仿宋_GB2312" w:cs="仿宋_GB2312"/>
          <w:b w:val="0"/>
          <w:bCs/>
          <w:sz w:val="32"/>
          <w:szCs w:val="32"/>
          <w:highlight w:val="none"/>
          <w:lang w:eastAsia="zh-CN"/>
        </w:rPr>
        <w:t>做好地方政府债务限额置换存量隐性债务工作，按照上级政策，全面摸底存量隐性债务规模，做好还款计划，顺利完成全年隐性债务化解和平台压降任务。</w:t>
      </w:r>
    </w:p>
    <w:p>
      <w:pPr>
        <w:keepNext w:val="0"/>
        <w:keepLines w:val="0"/>
        <w:pageBreakBefore w:val="0"/>
        <w:widowControl w:val="0"/>
        <w:kinsoku/>
        <w:wordWrap/>
        <w:overflowPunct/>
        <w:topLinePunct w:val="0"/>
        <w:bidi w:val="0"/>
        <w:snapToGrid/>
        <w:spacing w:line="560" w:lineRule="exact"/>
        <w:ind w:firstLine="640" w:firstLineChars="200"/>
        <w:jc w:val="left"/>
        <w:textAlignment w:val="auto"/>
        <w:rPr>
          <w:rFonts w:ascii="仿宋_GB2312" w:hAnsi="仿宋_GB2312" w:eastAsia="仿宋_GB2312" w:cs="仿宋_GB2312"/>
          <w:bCs/>
          <w:sz w:val="32"/>
          <w:szCs w:val="32"/>
          <w:highlight w:val="none"/>
        </w:rPr>
      </w:pPr>
      <w:r>
        <w:rPr>
          <w:rFonts w:hint="eastAsia" w:ascii="仿宋_GB2312" w:hAnsi="Times New Roman" w:eastAsia="仿宋_GB2312" w:cs="Times New Roman"/>
          <w:sz w:val="32"/>
          <w:szCs w:val="32"/>
          <w:highlight w:val="none"/>
          <w:lang w:eastAsia="zh-CN"/>
        </w:rPr>
        <w:t>各位代表</w:t>
      </w:r>
      <w:r>
        <w:rPr>
          <w:rFonts w:hint="eastAsia" w:ascii="仿宋_GB2312" w:hAnsi="Times New Roman" w:eastAsia="仿宋_GB2312" w:cs="Times New Roman"/>
          <w:sz w:val="32"/>
          <w:szCs w:val="32"/>
          <w:highlight w:val="none"/>
        </w:rPr>
        <w:t>，</w:t>
      </w:r>
      <w:r>
        <w:rPr>
          <w:rFonts w:hint="eastAsia" w:ascii="仿宋_GB2312" w:hAnsi="仿宋_GB2312" w:eastAsia="仿宋_GB2312" w:cs="仿宋_GB2312"/>
          <w:bCs/>
          <w:sz w:val="32"/>
          <w:szCs w:val="32"/>
          <w:highlight w:val="none"/>
          <w:lang w:eastAsia="zh-CN"/>
        </w:rPr>
        <w:t>今</w:t>
      </w:r>
      <w:r>
        <w:rPr>
          <w:rFonts w:hint="eastAsia" w:ascii="仿宋_GB2312" w:hAnsi="仿宋_GB2312" w:eastAsia="仿宋_GB2312" w:cs="仿宋_GB2312"/>
          <w:bCs/>
          <w:sz w:val="32"/>
          <w:szCs w:val="32"/>
          <w:highlight w:val="none"/>
        </w:rPr>
        <w:t>年</w:t>
      </w:r>
      <w:r>
        <w:rPr>
          <w:rFonts w:hint="eastAsia" w:ascii="仿宋_GB2312" w:hAnsi="仿宋_GB2312" w:eastAsia="仿宋_GB2312" w:cs="仿宋_GB2312"/>
          <w:bCs/>
          <w:sz w:val="32"/>
          <w:szCs w:val="32"/>
          <w:highlight w:val="none"/>
          <w:lang w:eastAsia="zh-CN"/>
        </w:rPr>
        <w:t>以</w:t>
      </w:r>
      <w:r>
        <w:rPr>
          <w:rFonts w:hint="eastAsia" w:ascii="仿宋_GB2312" w:hAnsi="仿宋_GB2312" w:eastAsia="仿宋_GB2312" w:cs="仿宋_GB2312"/>
          <w:bCs/>
          <w:sz w:val="32"/>
          <w:szCs w:val="32"/>
          <w:highlight w:val="none"/>
        </w:rPr>
        <w:t>来，虽然我们取得了一定的成绩，但也清醒地认识到财政运行和财政管理中还存在一些亟须解决的问题</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主要有：</w:t>
      </w:r>
      <w:r>
        <w:rPr>
          <w:rFonts w:hint="eastAsia" w:ascii="仿宋_GB2312" w:hAnsi="仿宋_GB2312" w:eastAsia="仿宋_GB2312" w:cs="仿宋_GB2312"/>
          <w:b/>
          <w:bCs w:val="0"/>
          <w:sz w:val="32"/>
          <w:szCs w:val="32"/>
          <w:highlight w:val="none"/>
        </w:rPr>
        <w:t>一是</w:t>
      </w:r>
      <w:r>
        <w:rPr>
          <w:rFonts w:hint="eastAsia" w:ascii="仿宋_GB2312" w:hAnsi="仿宋_GB2312" w:eastAsia="仿宋_GB2312" w:cs="仿宋_GB2312"/>
          <w:bCs/>
          <w:sz w:val="32"/>
          <w:szCs w:val="32"/>
          <w:highlight w:val="none"/>
        </w:rPr>
        <w:t>受外部经济环境影响波动较大，企业抗风险能力较弱，经营困难凸显，食品制造业、金融业入库税收降幅明显</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房地产市场低迷，</w:t>
      </w:r>
      <w:r>
        <w:rPr>
          <w:rFonts w:hint="eastAsia" w:ascii="仿宋_GB2312" w:hAnsi="仿宋_GB2312" w:eastAsia="仿宋_GB2312" w:cs="仿宋_GB2312"/>
          <w:bCs/>
          <w:sz w:val="32"/>
          <w:szCs w:val="32"/>
          <w:highlight w:val="none"/>
          <w:lang w:eastAsia="zh-CN"/>
        </w:rPr>
        <w:t>商品房</w:t>
      </w:r>
      <w:r>
        <w:rPr>
          <w:rFonts w:hint="eastAsia" w:ascii="仿宋_GB2312" w:hAnsi="仿宋_GB2312" w:eastAsia="仿宋_GB2312" w:cs="仿宋_GB2312"/>
          <w:bCs/>
          <w:sz w:val="32"/>
          <w:szCs w:val="32"/>
          <w:highlight w:val="none"/>
        </w:rPr>
        <w:t>交易数量</w:t>
      </w:r>
      <w:r>
        <w:rPr>
          <w:rFonts w:hint="eastAsia" w:ascii="仿宋_GB2312" w:hAnsi="仿宋_GB2312" w:eastAsia="仿宋_GB2312" w:cs="仿宋_GB2312"/>
          <w:bCs/>
          <w:sz w:val="32"/>
          <w:szCs w:val="32"/>
          <w:highlight w:val="none"/>
          <w:lang w:eastAsia="zh-CN"/>
        </w:rPr>
        <w:t>持续下滑</w:t>
      </w:r>
      <w:r>
        <w:rPr>
          <w:rFonts w:hint="eastAsia" w:ascii="仿宋_GB2312" w:hAnsi="仿宋_GB2312" w:eastAsia="仿宋_GB2312" w:cs="仿宋_GB2312"/>
          <w:bCs/>
          <w:sz w:val="32"/>
          <w:szCs w:val="32"/>
          <w:highlight w:val="none"/>
        </w:rPr>
        <w:t>，税收贡献</w:t>
      </w:r>
      <w:r>
        <w:rPr>
          <w:rFonts w:hint="eastAsia" w:ascii="仿宋_GB2312" w:hAnsi="仿宋_GB2312" w:eastAsia="仿宋_GB2312" w:cs="仿宋_GB2312"/>
          <w:bCs/>
          <w:sz w:val="32"/>
          <w:szCs w:val="32"/>
          <w:highlight w:val="none"/>
          <w:lang w:eastAsia="zh-CN"/>
        </w:rPr>
        <w:t>大幅度下降</w:t>
      </w:r>
      <w:r>
        <w:rPr>
          <w:rFonts w:hint="eastAsia" w:ascii="仿宋_GB2312" w:hAnsi="仿宋_GB2312" w:eastAsia="仿宋_GB2312" w:cs="仿宋_GB2312"/>
          <w:bCs/>
          <w:sz w:val="32"/>
          <w:szCs w:val="32"/>
          <w:highlight w:val="none"/>
        </w:rPr>
        <w:t>，财政增收面临较大挑战；</w:t>
      </w:r>
      <w:r>
        <w:rPr>
          <w:rFonts w:hint="eastAsia" w:ascii="仿宋_GB2312" w:hAnsi="仿宋_GB2312" w:eastAsia="仿宋_GB2312" w:cs="仿宋_GB2312"/>
          <w:b/>
          <w:bCs w:val="0"/>
          <w:sz w:val="32"/>
          <w:szCs w:val="32"/>
          <w:highlight w:val="none"/>
        </w:rPr>
        <w:t>二是</w:t>
      </w:r>
      <w:r>
        <w:rPr>
          <w:rFonts w:hint="eastAsia" w:ascii="仿宋_GB2312" w:hAnsi="仿宋_GB2312" w:eastAsia="仿宋_GB2312" w:cs="仿宋_GB2312"/>
          <w:bCs/>
          <w:sz w:val="32"/>
          <w:szCs w:val="32"/>
          <w:highlight w:val="none"/>
        </w:rPr>
        <w:t>全</w:t>
      </w:r>
      <w:r>
        <w:rPr>
          <w:rFonts w:hint="eastAsia" w:ascii="仿宋_GB2312" w:hAnsi="仿宋_GB2312" w:eastAsia="仿宋_GB2312" w:cs="仿宋_GB2312"/>
          <w:bCs/>
          <w:sz w:val="32"/>
          <w:szCs w:val="32"/>
          <w:highlight w:val="none"/>
          <w:lang w:eastAsia="zh-CN"/>
        </w:rPr>
        <w:t>区</w:t>
      </w:r>
      <w:r>
        <w:rPr>
          <w:rFonts w:hint="eastAsia" w:ascii="仿宋_GB2312" w:hAnsi="仿宋_GB2312" w:eastAsia="仿宋_GB2312" w:cs="仿宋_GB2312"/>
          <w:bCs/>
          <w:sz w:val="32"/>
          <w:szCs w:val="32"/>
          <w:highlight w:val="none"/>
        </w:rPr>
        <w:t>财政“紧、平、弱”状态持续，历史遗留问题多，财政收支矛盾突出，经济发展中统筹可用财力不足，</w:t>
      </w:r>
      <w:r>
        <w:rPr>
          <w:rFonts w:hint="eastAsia" w:ascii="仿宋_GB2312" w:hAnsi="仿宋_GB2312" w:eastAsia="仿宋_GB2312" w:cs="仿宋_GB2312"/>
          <w:bCs/>
          <w:sz w:val="32"/>
          <w:szCs w:val="32"/>
          <w:highlight w:val="none"/>
          <w:lang w:eastAsia="zh-CN"/>
        </w:rPr>
        <w:t>财政保障能力较弱</w:t>
      </w: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b/>
          <w:bCs w:val="0"/>
          <w:sz w:val="32"/>
          <w:szCs w:val="32"/>
          <w:highlight w:val="none"/>
        </w:rPr>
        <w:t>三是</w:t>
      </w:r>
      <w:r>
        <w:rPr>
          <w:rFonts w:hint="eastAsia" w:ascii="仿宋_GB2312" w:hAnsi="仿宋_GB2312" w:eastAsia="仿宋_GB2312" w:cs="仿宋_GB2312"/>
          <w:bCs/>
          <w:sz w:val="32"/>
          <w:szCs w:val="32"/>
          <w:highlight w:val="none"/>
        </w:rPr>
        <w:t>政府债务“多、重、急”困局待解，</w:t>
      </w:r>
      <w:r>
        <w:rPr>
          <w:rFonts w:hint="eastAsia" w:ascii="仿宋_GB2312" w:hAnsi="仿宋_GB2312" w:eastAsia="仿宋_GB2312" w:cs="仿宋_GB2312"/>
          <w:bCs/>
          <w:sz w:val="32"/>
          <w:szCs w:val="32"/>
          <w:highlight w:val="none"/>
          <w:lang w:eastAsia="zh-CN"/>
        </w:rPr>
        <w:t>资金来源有限，</w:t>
      </w:r>
      <w:r>
        <w:rPr>
          <w:rFonts w:hint="eastAsia" w:ascii="仿宋_GB2312" w:hAnsi="仿宋_GB2312" w:eastAsia="仿宋_GB2312" w:cs="仿宋_GB2312"/>
          <w:bCs/>
          <w:sz w:val="32"/>
          <w:szCs w:val="32"/>
          <w:highlight w:val="none"/>
        </w:rPr>
        <w:t>偿债压力较大；</w:t>
      </w:r>
      <w:r>
        <w:rPr>
          <w:rFonts w:hint="eastAsia" w:ascii="仿宋_GB2312" w:hAnsi="仿宋_GB2312" w:eastAsia="仿宋_GB2312" w:cs="仿宋_GB2312"/>
          <w:b/>
          <w:bCs w:val="0"/>
          <w:sz w:val="32"/>
          <w:szCs w:val="32"/>
          <w:highlight w:val="none"/>
        </w:rPr>
        <w:t>四是</w:t>
      </w:r>
      <w:r>
        <w:rPr>
          <w:rFonts w:hint="eastAsia" w:ascii="仿宋_GB2312" w:hAnsi="仿宋_GB2312" w:eastAsia="仿宋_GB2312" w:cs="仿宋_GB2312"/>
          <w:bCs/>
          <w:sz w:val="32"/>
          <w:szCs w:val="32"/>
          <w:highlight w:val="none"/>
        </w:rPr>
        <w:t>财会监督“浅、软、慢”局面未破，财会监督力量薄弱，部门内部控制体制机制不够健全，各种监督手段未能形成有效合力，影响监督效率和效果。</w:t>
      </w:r>
    </w:p>
    <w:p>
      <w:pPr>
        <w:keepNext w:val="0"/>
        <w:keepLines w:val="0"/>
        <w:pageBreakBefore w:val="0"/>
        <w:widowControl w:val="0"/>
        <w:kinsoku/>
        <w:wordWrap/>
        <w:overflowPunct/>
        <w:topLinePunct w:val="0"/>
        <w:bidi w:val="0"/>
        <w:snapToGrid/>
        <w:spacing w:line="560" w:lineRule="exact"/>
        <w:ind w:firstLine="630"/>
        <w:textAlignment w:val="auto"/>
        <w:rPr>
          <w:rFonts w:ascii="黑体" w:hAnsi="黑体" w:eastAsia="黑体" w:cs="Times New Roman"/>
          <w:sz w:val="32"/>
          <w:szCs w:val="32"/>
          <w:highlight w:val="none"/>
        </w:rPr>
      </w:pPr>
      <w:r>
        <w:rPr>
          <w:rFonts w:hint="eastAsia" w:ascii="仿宋_GB2312" w:hAnsi="Times New Roman" w:eastAsia="仿宋_GB2312" w:cs="Times New Roman"/>
          <w:sz w:val="32"/>
          <w:szCs w:val="32"/>
          <w:highlight w:val="none"/>
        </w:rPr>
        <w:t>对于这些问题，我们将予以高度重视，广泛听取各界人士的意见和建议，认真研究，采取切实有效的措施，逐步加以解决。</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黑体" w:hAnsi="黑体" w:eastAsia="黑体" w:cs="Times New Roman"/>
          <w:sz w:val="32"/>
          <w:szCs w:val="32"/>
          <w:highlight w:val="none"/>
        </w:rPr>
      </w:pPr>
      <w:r>
        <w:rPr>
          <w:rFonts w:hint="eastAsia" w:ascii="黑体" w:hAnsi="黑体" w:eastAsia="黑体" w:cs="Times New Roman"/>
          <w:sz w:val="32"/>
          <w:szCs w:val="32"/>
          <w:highlight w:val="none"/>
        </w:rPr>
        <w:t>二、202</w:t>
      </w:r>
      <w:r>
        <w:rPr>
          <w:rFonts w:hint="eastAsia" w:ascii="黑体" w:hAnsi="黑体" w:eastAsia="黑体" w:cs="Times New Roman"/>
          <w:sz w:val="32"/>
          <w:szCs w:val="32"/>
          <w:highlight w:val="none"/>
          <w:lang w:val="en-US" w:eastAsia="zh-CN"/>
        </w:rPr>
        <w:t>5</w:t>
      </w:r>
      <w:r>
        <w:rPr>
          <w:rFonts w:hint="eastAsia" w:ascii="黑体" w:hAnsi="黑体" w:eastAsia="黑体" w:cs="Times New Roman"/>
          <w:sz w:val="32"/>
          <w:szCs w:val="32"/>
          <w:highlight w:val="none"/>
        </w:rPr>
        <w:t>年财政收支预算（草案）</w:t>
      </w:r>
    </w:p>
    <w:p>
      <w:pPr>
        <w:keepNext w:val="0"/>
        <w:keepLines w:val="0"/>
        <w:pageBreakBefore w:val="0"/>
        <w:widowControl w:val="0"/>
        <w:kinsoku/>
        <w:wordWrap/>
        <w:overflowPunct/>
        <w:topLinePunct w:val="0"/>
        <w:bidi w:val="0"/>
        <w:snapToGrid/>
        <w:spacing w:line="560" w:lineRule="exact"/>
        <w:ind w:firstLine="643" w:firstLineChars="200"/>
        <w:textAlignment w:val="auto"/>
        <w:rPr>
          <w:rFonts w:ascii="楷体_GB2312" w:hAnsi="Times New Roman" w:eastAsia="楷体_GB2312" w:cs="Times New Roman"/>
          <w:b/>
          <w:bCs/>
          <w:sz w:val="32"/>
          <w:szCs w:val="32"/>
          <w:highlight w:val="none"/>
        </w:rPr>
      </w:pPr>
      <w:r>
        <w:rPr>
          <w:rFonts w:hint="eastAsia" w:ascii="楷体_GB2312" w:hAnsi="Times New Roman" w:eastAsia="楷体_GB2312" w:cs="Times New Roman"/>
          <w:b/>
          <w:bCs/>
          <w:sz w:val="32"/>
          <w:szCs w:val="32"/>
          <w:highlight w:val="none"/>
        </w:rPr>
        <w:t>（一）202</w:t>
      </w:r>
      <w:r>
        <w:rPr>
          <w:rFonts w:hint="eastAsia" w:ascii="楷体_GB2312" w:hAnsi="Times New Roman" w:eastAsia="楷体_GB2312" w:cs="Times New Roman"/>
          <w:b/>
          <w:bCs/>
          <w:sz w:val="32"/>
          <w:szCs w:val="32"/>
          <w:highlight w:val="none"/>
          <w:lang w:val="en-US" w:eastAsia="zh-CN"/>
        </w:rPr>
        <w:t>5</w:t>
      </w:r>
      <w:r>
        <w:rPr>
          <w:rFonts w:hint="eastAsia" w:ascii="楷体_GB2312" w:hAnsi="Times New Roman" w:eastAsia="楷体_GB2312" w:cs="Times New Roman"/>
          <w:b/>
          <w:bCs/>
          <w:sz w:val="32"/>
          <w:szCs w:val="32"/>
          <w:highlight w:val="none"/>
        </w:rPr>
        <w:t>年财政收支预算（草案）情况</w:t>
      </w:r>
    </w:p>
    <w:p>
      <w:pPr>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b/>
          <w:bCs/>
          <w:sz w:val="32"/>
          <w:szCs w:val="32"/>
          <w:highlight w:val="none"/>
        </w:rPr>
        <w:t>202</w:t>
      </w:r>
      <w:r>
        <w:rPr>
          <w:rFonts w:hint="eastAsia" w:ascii="仿宋_GB2312" w:hAnsi="Times New Roman" w:eastAsia="仿宋_GB2312" w:cs="Times New Roman"/>
          <w:b/>
          <w:bCs/>
          <w:sz w:val="32"/>
          <w:szCs w:val="32"/>
          <w:highlight w:val="none"/>
          <w:lang w:val="en-US" w:eastAsia="zh-CN"/>
        </w:rPr>
        <w:t>5</w:t>
      </w:r>
      <w:r>
        <w:rPr>
          <w:rFonts w:hint="eastAsia" w:ascii="仿宋_GB2312" w:hAnsi="Times New Roman" w:eastAsia="仿宋_GB2312" w:cs="Times New Roman"/>
          <w:b/>
          <w:bCs/>
          <w:sz w:val="32"/>
          <w:szCs w:val="32"/>
          <w:highlight w:val="none"/>
        </w:rPr>
        <w:t>年财政工作的指导思想：</w:t>
      </w:r>
      <w:r>
        <w:rPr>
          <w:rFonts w:hint="eastAsia" w:ascii="仿宋_GB2312" w:hAnsi="Times New Roman" w:eastAsia="仿宋_GB2312" w:cs="Times New Roman"/>
          <w:sz w:val="32"/>
          <w:szCs w:val="32"/>
          <w:highlight w:val="none"/>
        </w:rPr>
        <w:t>以习近平新时代中国特色社会主义思想为指导，深入贯彻党的二十大和二十届二中、三中全会精神，落实中央、省、市、区各级党委、政府决策部署，践行以人民为中心</w:t>
      </w:r>
      <w:r>
        <w:rPr>
          <w:rFonts w:hint="eastAsia" w:ascii="仿宋_GB2312" w:hAnsi="Times New Roman" w:eastAsia="仿宋_GB2312" w:cs="Times New Roman"/>
          <w:sz w:val="32"/>
          <w:szCs w:val="32"/>
          <w:highlight w:val="none"/>
          <w:lang w:eastAsia="zh-CN"/>
        </w:rPr>
        <w:t>的</w:t>
      </w:r>
      <w:r>
        <w:rPr>
          <w:rFonts w:hint="eastAsia" w:ascii="仿宋_GB2312" w:hAnsi="Times New Roman" w:eastAsia="仿宋_GB2312" w:cs="Times New Roman"/>
          <w:sz w:val="32"/>
          <w:szCs w:val="32"/>
          <w:highlight w:val="none"/>
        </w:rPr>
        <w:t>发展理念</w:t>
      </w:r>
      <w:r>
        <w:rPr>
          <w:rFonts w:hint="eastAsia" w:ascii="仿宋_GB2312" w:eastAsia="仿宋_GB2312" w:cs="Times New Roman"/>
          <w:sz w:val="32"/>
          <w:szCs w:val="32"/>
          <w:highlight w:val="none"/>
          <w:lang w:eastAsia="zh-CN"/>
        </w:rPr>
        <w:t>，</w:t>
      </w:r>
      <w:r>
        <w:rPr>
          <w:rFonts w:hint="eastAsia" w:ascii="仿宋_GB2312" w:hAnsi="Times New Roman" w:eastAsia="仿宋_GB2312" w:cs="Times New Roman"/>
          <w:sz w:val="32"/>
          <w:szCs w:val="32"/>
          <w:highlight w:val="none"/>
        </w:rPr>
        <w:t>立足新发展阶段推动全区高质量发展，扛牢“三保”责任，</w:t>
      </w:r>
      <w:r>
        <w:rPr>
          <w:rFonts w:hint="eastAsia" w:ascii="仿宋_GB2312" w:eastAsia="仿宋_GB2312" w:cs="Times New Roman"/>
          <w:sz w:val="32"/>
          <w:szCs w:val="32"/>
          <w:highlight w:val="none"/>
          <w:lang w:val="en-US" w:eastAsia="zh-CN"/>
        </w:rPr>
        <w:t>增强预算对落实各项重大战略的财政保障能力。进一步健全预算管理制度，深化零基预算改革，</w:t>
      </w:r>
      <w:r>
        <w:rPr>
          <w:rFonts w:hint="eastAsia" w:ascii="仿宋_GB2312" w:hAnsi="Times New Roman" w:eastAsia="仿宋_GB2312" w:cs="Times New Roman"/>
          <w:sz w:val="32"/>
          <w:szCs w:val="32"/>
          <w:highlight w:val="none"/>
        </w:rPr>
        <w:t>为建设更高水平幸福新资阳提供坚实的财力保障。</w:t>
      </w:r>
    </w:p>
    <w:p>
      <w:pPr>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Times New Roman" w:eastAsia="仿宋_GB2312" w:cs="Times New Roman"/>
          <w:b/>
          <w:bCs/>
          <w:sz w:val="32"/>
          <w:szCs w:val="32"/>
          <w:highlight w:val="none"/>
        </w:rPr>
        <w:t>202</w:t>
      </w:r>
      <w:r>
        <w:rPr>
          <w:rFonts w:hint="eastAsia" w:ascii="仿宋_GB2312" w:hAnsi="Times New Roman" w:eastAsia="仿宋_GB2312" w:cs="Times New Roman"/>
          <w:b/>
          <w:bCs/>
          <w:sz w:val="32"/>
          <w:szCs w:val="32"/>
          <w:highlight w:val="none"/>
          <w:lang w:val="en-US" w:eastAsia="zh-CN"/>
        </w:rPr>
        <w:t>5</w:t>
      </w:r>
      <w:r>
        <w:rPr>
          <w:rFonts w:hint="eastAsia" w:ascii="仿宋_GB2312" w:hAnsi="Times New Roman" w:eastAsia="仿宋_GB2312" w:cs="Times New Roman"/>
          <w:b/>
          <w:bCs/>
          <w:sz w:val="32"/>
          <w:szCs w:val="32"/>
          <w:highlight w:val="none"/>
        </w:rPr>
        <w:t>年财政预算编制的基本原则：</w:t>
      </w:r>
      <w:r>
        <w:rPr>
          <w:rFonts w:hint="eastAsia" w:ascii="仿宋_GB2312" w:hAnsi="仿宋_GB2312" w:eastAsia="仿宋_GB2312" w:cs="仿宋_GB2312"/>
          <w:b/>
          <w:bCs/>
          <w:sz w:val="32"/>
          <w:szCs w:val="32"/>
          <w:highlight w:val="none"/>
          <w:lang w:val="en-US" w:eastAsia="zh-CN"/>
        </w:rPr>
        <w:t>一</w:t>
      </w:r>
      <w:r>
        <w:rPr>
          <w:rFonts w:hint="eastAsia" w:ascii="仿宋_GB2312" w:hAnsi="仿宋_GB2312" w:eastAsia="仿宋_GB2312" w:cs="仿宋_GB2312"/>
          <w:b/>
          <w:bCs/>
          <w:sz w:val="32"/>
          <w:szCs w:val="32"/>
          <w:lang w:val="en-US" w:eastAsia="zh-CN"/>
        </w:rPr>
        <w:t>是收支平衡原则。</w:t>
      </w:r>
      <w:r>
        <w:rPr>
          <w:rFonts w:hint="eastAsia" w:ascii="仿宋_GB2312" w:hAnsi="宋体" w:eastAsia="仿宋_GB2312"/>
          <w:color w:val="000000"/>
          <w:sz w:val="32"/>
          <w:szCs w:val="32"/>
          <w:u w:val="none" w:color="auto"/>
          <w:lang w:eastAsia="zh-CN"/>
        </w:rPr>
        <w:t>深化零基预算改革，加强政府预算收入管理，强化部门预算收入统筹，盘活存量资金，增强财政保障能力，坚持收支平衡。</w:t>
      </w:r>
      <w:r>
        <w:rPr>
          <w:rFonts w:hint="eastAsia" w:ascii="仿宋_GB2312" w:hAnsi="仿宋_GB2312" w:eastAsia="仿宋_GB2312" w:cs="仿宋_GB2312"/>
          <w:b/>
          <w:bCs/>
          <w:sz w:val="32"/>
          <w:szCs w:val="32"/>
          <w:lang w:val="en-US" w:eastAsia="zh-CN"/>
        </w:rPr>
        <w:t>二是“三保”优先原则。</w:t>
      </w:r>
      <w:r>
        <w:rPr>
          <w:rFonts w:hint="eastAsia" w:ascii="仿宋_GB2312" w:hAnsi="仿宋_GB2312" w:eastAsia="仿宋_GB2312" w:cs="仿宋_GB2312"/>
          <w:b w:val="0"/>
          <w:bCs w:val="0"/>
          <w:sz w:val="32"/>
          <w:szCs w:val="32"/>
          <w:lang w:val="en-US" w:eastAsia="zh-CN"/>
        </w:rPr>
        <w:t>严格按中央、省定标准落实民生支出。按照“三保”支出、还本付息支出、区委区政府重点项目的顺序安排本级预算，其他项目视财力安排。</w:t>
      </w:r>
      <w:r>
        <w:rPr>
          <w:rFonts w:hint="eastAsia" w:ascii="仿宋_GB2312" w:hAnsi="仿宋_GB2312" w:eastAsia="仿宋_GB2312" w:cs="仿宋_GB2312"/>
          <w:b/>
          <w:bCs/>
          <w:sz w:val="32"/>
          <w:szCs w:val="32"/>
          <w:lang w:val="en-US" w:eastAsia="zh-CN"/>
        </w:rPr>
        <w:t>三是厉行节约原则。</w:t>
      </w:r>
      <w:r>
        <w:rPr>
          <w:rFonts w:hint="eastAsia" w:ascii="仿宋_GB2312" w:hAnsi="仿宋_GB2312" w:eastAsia="仿宋_GB2312" w:cs="仿宋_GB2312"/>
          <w:b w:val="0"/>
          <w:bCs w:val="0"/>
          <w:sz w:val="32"/>
          <w:szCs w:val="32"/>
          <w:lang w:val="en-US" w:eastAsia="zh-CN"/>
        </w:rPr>
        <w:t>落实政府部门习惯过“紧日子”要求，2025年预算对行政运行类专项继续压减，共压减415万元。无政策依据和非必要、非必须的事项原则上不新增安排预算。</w:t>
      </w:r>
      <w:r>
        <w:rPr>
          <w:rFonts w:hint="eastAsia" w:ascii="仿宋_GB2312" w:hAnsi="仿宋_GB2312" w:eastAsia="仿宋_GB2312" w:cs="仿宋_GB2312"/>
          <w:b/>
          <w:bCs/>
          <w:sz w:val="32"/>
          <w:szCs w:val="32"/>
          <w:lang w:val="en-US" w:eastAsia="zh-CN"/>
        </w:rPr>
        <w:t>四是预算法定原则。</w:t>
      </w:r>
      <w:r>
        <w:rPr>
          <w:rFonts w:hint="eastAsia" w:ascii="仿宋_GB2312" w:hAnsi="仿宋_GB2312" w:eastAsia="仿宋_GB2312" w:cs="仿宋_GB2312"/>
          <w:b w:val="0"/>
          <w:bCs w:val="0"/>
          <w:sz w:val="32"/>
          <w:szCs w:val="32"/>
          <w:lang w:val="en-US" w:eastAsia="zh-CN"/>
        </w:rPr>
        <w:t>强化预算约束，按照预算法及其实施条例要求编制、执行、公开预算，未经法定程序不得改变预算资金用途。</w:t>
      </w:r>
    </w:p>
    <w:p>
      <w:pPr>
        <w:keepNext w:val="0"/>
        <w:keepLines w:val="0"/>
        <w:pageBreakBefore w:val="0"/>
        <w:widowControl w:val="0"/>
        <w:kinsoku/>
        <w:wordWrap/>
        <w:overflowPunct/>
        <w:topLinePunct w:val="0"/>
        <w:bidi w:val="0"/>
        <w:snapToGrid/>
        <w:spacing w:before="0" w:beforeAutospacing="0" w:after="0" w:afterAutospacing="0" w:line="560" w:lineRule="exact"/>
        <w:ind w:firstLine="645"/>
        <w:jc w:val="both"/>
        <w:textAlignment w:val="auto"/>
        <w:rPr>
          <w:rFonts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根据上述指导思想和基本原则，综合考虑各方面因素，2025年财政收支预算初步安排如下：</w:t>
      </w:r>
    </w:p>
    <w:p>
      <w:pPr>
        <w:keepNext w:val="0"/>
        <w:keepLines w:val="0"/>
        <w:pageBreakBefore w:val="0"/>
        <w:widowControl w:val="0"/>
        <w:kinsoku/>
        <w:wordWrap/>
        <w:overflowPunct/>
        <w:topLinePunct w:val="0"/>
        <w:bidi w:val="0"/>
        <w:snapToGrid/>
        <w:spacing w:line="560" w:lineRule="exact"/>
        <w:ind w:firstLine="643" w:firstLineChars="200"/>
        <w:textAlignment w:val="auto"/>
        <w:rPr>
          <w:rFonts w:ascii="仿宋_GB2312" w:hAnsi="Times New Roman" w:eastAsia="仿宋_GB2312" w:cs="Times New Roman"/>
          <w:b/>
          <w:sz w:val="32"/>
          <w:szCs w:val="32"/>
          <w:highlight w:val="none"/>
        </w:rPr>
      </w:pPr>
      <w:r>
        <w:rPr>
          <w:rFonts w:hint="eastAsia" w:ascii="仿宋_GB2312" w:hAnsi="Times New Roman" w:eastAsia="仿宋_GB2312" w:cs="Times New Roman"/>
          <w:b/>
          <w:sz w:val="32"/>
          <w:szCs w:val="32"/>
          <w:highlight w:val="none"/>
        </w:rPr>
        <w:t>1.一般公共预算</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宋体" w:eastAsia="仿宋_GB2312" w:cs="仿宋_GB2312"/>
          <w:color w:val="000000"/>
          <w:sz w:val="32"/>
          <w:szCs w:val="32"/>
          <w:highlight w:val="none"/>
        </w:rPr>
      </w:pPr>
      <w:r>
        <w:rPr>
          <w:rFonts w:hint="eastAsia" w:ascii="仿宋_GB2312" w:hAnsi="Times New Roman" w:eastAsia="仿宋_GB2312" w:cs="仿宋_GB2312"/>
          <w:sz w:val="32"/>
          <w:szCs w:val="32"/>
          <w:highlight w:val="none"/>
        </w:rPr>
        <w:t>2025年全区地方一般公共预算收入103169万元（含上划市级），比2024年目标数增长5%</w:t>
      </w:r>
      <w:r>
        <w:rPr>
          <w:rFonts w:hint="eastAsia" w:ascii="仿宋_GB2312" w:hAnsi="Times New Roman" w:eastAsia="仿宋_GB2312" w:cs="仿宋_GB2312"/>
          <w:sz w:val="32"/>
          <w:szCs w:val="32"/>
          <w:highlight w:val="none"/>
          <w:lang w:eastAsia="zh-CN"/>
        </w:rPr>
        <w:t>，其中：税收收入70123万元，增长</w:t>
      </w:r>
      <w:r>
        <w:rPr>
          <w:rFonts w:hint="eastAsia" w:ascii="仿宋_GB2312" w:hAnsi="Times New Roman" w:eastAsia="仿宋_GB2312" w:cs="仿宋_GB2312"/>
          <w:sz w:val="32"/>
          <w:szCs w:val="32"/>
          <w:highlight w:val="none"/>
          <w:lang w:val="en-US" w:eastAsia="zh-CN"/>
        </w:rPr>
        <w:t>5.12%，非税收入33046万元，增长4.75%</w:t>
      </w:r>
      <w:r>
        <w:rPr>
          <w:rFonts w:hint="eastAsia" w:ascii="仿宋_GB2312" w:hAnsi="Times New Roman" w:eastAsia="仿宋_GB2312" w:cs="仿宋_GB2312"/>
          <w:sz w:val="32"/>
          <w:szCs w:val="32"/>
          <w:highlight w:val="none"/>
        </w:rPr>
        <w:t>。2025年全区本级财政收入61430万元</w:t>
      </w:r>
      <w:r>
        <w:rPr>
          <w:rFonts w:hint="eastAsia" w:ascii="仿宋_GB2312" w:hAnsi="Times New Roman" w:eastAsia="仿宋_GB2312" w:cs="仿宋_GB2312"/>
          <w:sz w:val="32"/>
          <w:szCs w:val="32"/>
          <w:highlight w:val="none"/>
          <w:lang w:eastAsia="zh-CN"/>
        </w:rPr>
        <w:t>，</w:t>
      </w:r>
      <w:r>
        <w:rPr>
          <w:rFonts w:hint="eastAsia" w:ascii="仿宋_GB2312" w:hAnsi="Times New Roman" w:eastAsia="仿宋_GB2312" w:cs="仿宋_GB2312"/>
          <w:sz w:val="32"/>
          <w:szCs w:val="32"/>
          <w:highlight w:val="none"/>
        </w:rPr>
        <w:t>税收返还收入4693万元</w:t>
      </w:r>
      <w:r>
        <w:rPr>
          <w:rFonts w:hint="eastAsia" w:ascii="仿宋_GB2312" w:hAnsi="宋体" w:eastAsia="仿宋_GB2312" w:cs="仿宋_GB2312"/>
          <w:color w:val="000000"/>
          <w:sz w:val="32"/>
          <w:szCs w:val="32"/>
          <w:highlight w:val="none"/>
        </w:rPr>
        <w:t>，财力性一般转移支付收入</w:t>
      </w:r>
      <w:r>
        <w:rPr>
          <w:rFonts w:hint="eastAsia" w:ascii="仿宋_GB2312" w:hAnsi="宋体" w:eastAsia="仿宋_GB2312" w:cs="仿宋_GB2312"/>
          <w:color w:val="000000"/>
          <w:sz w:val="32"/>
          <w:szCs w:val="32"/>
          <w:highlight w:val="none"/>
          <w:lang w:val="en-US" w:eastAsia="zh-CN"/>
        </w:rPr>
        <w:t>119237</w:t>
      </w:r>
      <w:r>
        <w:rPr>
          <w:rFonts w:hint="eastAsia" w:ascii="仿宋_GB2312" w:hAnsi="宋体" w:eastAsia="仿宋_GB2312" w:cs="仿宋_GB2312"/>
          <w:color w:val="000000"/>
          <w:sz w:val="32"/>
          <w:szCs w:val="32"/>
          <w:highlight w:val="none"/>
        </w:rPr>
        <w:t>万元，</w:t>
      </w:r>
      <w:r>
        <w:rPr>
          <w:rFonts w:hint="eastAsia" w:ascii="仿宋_GB2312" w:hAnsi="宋体" w:eastAsia="仿宋_GB2312" w:cs="仿宋_GB2312"/>
          <w:color w:val="000000"/>
          <w:sz w:val="32"/>
          <w:szCs w:val="32"/>
          <w:highlight w:val="none"/>
          <w:lang w:eastAsia="zh-CN"/>
        </w:rPr>
        <w:t>区级可用财力</w:t>
      </w:r>
      <w:r>
        <w:rPr>
          <w:rFonts w:hint="eastAsia" w:ascii="仿宋_GB2312" w:hAnsi="宋体" w:eastAsia="仿宋_GB2312" w:cs="仿宋_GB2312"/>
          <w:color w:val="000000"/>
          <w:sz w:val="32"/>
          <w:szCs w:val="32"/>
          <w:highlight w:val="none"/>
          <w:lang w:val="en-US" w:eastAsia="zh-CN"/>
        </w:rPr>
        <w:t>185360万元；</w:t>
      </w:r>
      <w:r>
        <w:rPr>
          <w:rFonts w:hint="eastAsia" w:ascii="仿宋_GB2312" w:hAnsi="宋体" w:eastAsia="仿宋_GB2312" w:cs="仿宋_GB2312"/>
          <w:color w:val="000000"/>
          <w:sz w:val="32"/>
          <w:szCs w:val="32"/>
          <w:highlight w:val="none"/>
        </w:rPr>
        <w:t>专项用途一般性转移支付收入</w:t>
      </w:r>
      <w:r>
        <w:rPr>
          <w:rFonts w:hint="eastAsia" w:ascii="仿宋_GB2312" w:hAnsi="宋体" w:eastAsia="仿宋_GB2312" w:cs="仿宋_GB2312"/>
          <w:color w:val="000000"/>
          <w:sz w:val="32"/>
          <w:szCs w:val="32"/>
          <w:highlight w:val="none"/>
          <w:lang w:val="en-US" w:eastAsia="zh-CN"/>
        </w:rPr>
        <w:t>79398</w:t>
      </w:r>
      <w:r>
        <w:rPr>
          <w:rFonts w:hint="eastAsia" w:ascii="仿宋_GB2312" w:hAnsi="宋体" w:eastAsia="仿宋_GB2312" w:cs="仿宋_GB2312"/>
          <w:color w:val="000000"/>
          <w:sz w:val="32"/>
          <w:szCs w:val="32"/>
          <w:highlight w:val="none"/>
        </w:rPr>
        <w:t>万元</w:t>
      </w:r>
      <w:r>
        <w:rPr>
          <w:rFonts w:hint="eastAsia" w:ascii="仿宋_GB2312" w:hAnsi="宋体" w:eastAsia="仿宋_GB2312" w:cs="仿宋_GB2312"/>
          <w:color w:val="000000"/>
          <w:sz w:val="32"/>
          <w:szCs w:val="32"/>
          <w:highlight w:val="none"/>
          <w:lang w:eastAsia="zh-CN"/>
        </w:rPr>
        <w:t>；</w:t>
      </w:r>
      <w:r>
        <w:rPr>
          <w:rFonts w:hint="eastAsia" w:ascii="仿宋_GB2312" w:hAnsi="宋体" w:eastAsia="仿宋_GB2312" w:cs="仿宋_GB2312"/>
          <w:color w:val="000000"/>
          <w:sz w:val="32"/>
          <w:szCs w:val="32"/>
          <w:highlight w:val="none"/>
        </w:rPr>
        <w:t>专项转移支付收入</w:t>
      </w:r>
      <w:r>
        <w:rPr>
          <w:rFonts w:hint="eastAsia" w:ascii="仿宋_GB2312" w:hAnsi="宋体" w:eastAsia="仿宋_GB2312" w:cs="仿宋_GB2312"/>
          <w:color w:val="000000"/>
          <w:sz w:val="32"/>
          <w:szCs w:val="32"/>
          <w:highlight w:val="none"/>
          <w:lang w:val="en-US" w:eastAsia="zh-CN"/>
        </w:rPr>
        <w:t>22308</w:t>
      </w:r>
      <w:r>
        <w:rPr>
          <w:rFonts w:hint="eastAsia" w:ascii="仿宋_GB2312" w:hAnsi="宋体" w:eastAsia="仿宋_GB2312" w:cs="仿宋_GB2312"/>
          <w:color w:val="000000"/>
          <w:sz w:val="32"/>
          <w:szCs w:val="32"/>
          <w:highlight w:val="none"/>
        </w:rPr>
        <w:t>万元</w:t>
      </w:r>
      <w:r>
        <w:rPr>
          <w:rFonts w:hint="eastAsia" w:ascii="仿宋_GB2312" w:hAnsi="宋体" w:eastAsia="仿宋_GB2312" w:cs="仿宋_GB2312"/>
          <w:color w:val="000000"/>
          <w:sz w:val="32"/>
          <w:szCs w:val="32"/>
          <w:highlight w:val="none"/>
          <w:lang w:eastAsia="zh-CN"/>
        </w:rPr>
        <w:t>；</w:t>
      </w:r>
      <w:r>
        <w:rPr>
          <w:rFonts w:hint="default" w:ascii="仿宋_GB2312" w:hAnsi="宋体" w:eastAsia="仿宋_GB2312"/>
          <w:b w:val="0"/>
          <w:bCs w:val="0"/>
          <w:color w:val="000000"/>
          <w:sz w:val="32"/>
          <w:szCs w:val="32"/>
          <w:highlight w:val="none"/>
          <w:u w:val="none" w:color="FFFFFF"/>
          <w:lang w:val="en-US" w:eastAsia="zh-CN"/>
        </w:rPr>
        <w:t>调入资金</w:t>
      </w:r>
      <w:r>
        <w:rPr>
          <w:rFonts w:hint="eastAsia" w:ascii="仿宋_GB2312" w:hAnsi="宋体" w:eastAsia="仿宋_GB2312"/>
          <w:b w:val="0"/>
          <w:bCs w:val="0"/>
          <w:color w:val="000000"/>
          <w:sz w:val="32"/>
          <w:szCs w:val="32"/>
          <w:highlight w:val="none"/>
          <w:u w:val="none" w:color="FFFFFF"/>
          <w:lang w:val="en-US" w:eastAsia="zh-CN"/>
        </w:rPr>
        <w:t>25833</w:t>
      </w:r>
      <w:r>
        <w:rPr>
          <w:rFonts w:hint="default" w:ascii="仿宋_GB2312" w:hAnsi="宋体" w:eastAsia="仿宋_GB2312"/>
          <w:b w:val="0"/>
          <w:bCs w:val="0"/>
          <w:color w:val="000000"/>
          <w:sz w:val="32"/>
          <w:szCs w:val="32"/>
          <w:highlight w:val="none"/>
          <w:u w:val="none" w:color="FFFFFF"/>
          <w:lang w:val="en-US" w:eastAsia="zh-CN"/>
        </w:rPr>
        <w:t>万元</w:t>
      </w:r>
      <w:r>
        <w:rPr>
          <w:rFonts w:hint="eastAsia" w:ascii="仿宋_GB2312" w:hAnsi="宋体" w:eastAsia="仿宋_GB2312" w:cs="仿宋_GB2312"/>
          <w:color w:val="000000"/>
          <w:sz w:val="32"/>
          <w:szCs w:val="32"/>
          <w:highlight w:val="none"/>
          <w:lang w:eastAsia="zh-CN"/>
        </w:rPr>
        <w:t>；收入</w:t>
      </w:r>
      <w:r>
        <w:rPr>
          <w:rFonts w:hint="eastAsia" w:ascii="仿宋_GB2312" w:hAnsi="宋体" w:eastAsia="仿宋_GB2312" w:cs="仿宋_GB2312"/>
          <w:color w:val="000000"/>
          <w:sz w:val="32"/>
          <w:szCs w:val="32"/>
          <w:highlight w:val="none"/>
        </w:rPr>
        <w:t>合计</w:t>
      </w:r>
      <w:r>
        <w:rPr>
          <w:rFonts w:hint="eastAsia" w:ascii="仿宋_GB2312" w:hAnsi="宋体" w:eastAsia="仿宋_GB2312" w:cs="仿宋_GB2312"/>
          <w:color w:val="000000"/>
          <w:sz w:val="32"/>
          <w:szCs w:val="32"/>
          <w:highlight w:val="none"/>
          <w:lang w:val="en-US" w:eastAsia="zh-CN"/>
        </w:rPr>
        <w:t>312899</w:t>
      </w:r>
      <w:r>
        <w:rPr>
          <w:rFonts w:hint="eastAsia" w:ascii="仿宋_GB2312" w:hAnsi="宋体" w:eastAsia="仿宋_GB2312" w:cs="仿宋_GB2312"/>
          <w:color w:val="000000"/>
          <w:sz w:val="32"/>
          <w:szCs w:val="32"/>
          <w:highlight w:val="none"/>
        </w:rPr>
        <w:t>万元。</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宋体" w:eastAsia="仿宋_GB2312" w:cs="仿宋_GB2312"/>
          <w:color w:val="000000"/>
          <w:sz w:val="32"/>
          <w:szCs w:val="32"/>
          <w:highlight w:val="none"/>
          <w:lang w:val="en-US" w:eastAsia="zh-CN"/>
        </w:rPr>
      </w:pPr>
      <w:r>
        <w:rPr>
          <w:rFonts w:hint="eastAsia" w:ascii="仿宋_GB2312" w:hAnsi="宋体" w:eastAsia="仿宋_GB2312" w:cs="仿宋_GB2312"/>
          <w:color w:val="000000"/>
          <w:sz w:val="32"/>
          <w:szCs w:val="32"/>
          <w:highlight w:val="none"/>
          <w:lang w:eastAsia="zh-CN"/>
        </w:rPr>
        <w:t>一般公共预算支出</w:t>
      </w:r>
      <w:r>
        <w:rPr>
          <w:rFonts w:hint="eastAsia" w:ascii="仿宋_GB2312" w:hAnsi="宋体" w:eastAsia="仿宋_GB2312" w:cs="仿宋_GB2312"/>
          <w:color w:val="000000"/>
          <w:sz w:val="32"/>
          <w:szCs w:val="32"/>
          <w:highlight w:val="none"/>
          <w:lang w:val="en-US" w:eastAsia="zh-CN"/>
        </w:rPr>
        <w:t>299901万元（本级安排支出198195万元，</w:t>
      </w:r>
      <w:r>
        <w:rPr>
          <w:rFonts w:hint="eastAsia" w:ascii="仿宋_GB2312" w:hAnsi="宋体" w:eastAsia="仿宋_GB2312" w:cs="仿宋_GB2312"/>
          <w:color w:val="000000"/>
          <w:sz w:val="32"/>
          <w:szCs w:val="32"/>
          <w:highlight w:val="none"/>
        </w:rPr>
        <w:t>专项用途一般转移支付支出</w:t>
      </w:r>
      <w:r>
        <w:rPr>
          <w:rFonts w:hint="eastAsia" w:ascii="仿宋_GB2312" w:hAnsi="宋体" w:eastAsia="仿宋_GB2312" w:cs="仿宋_GB2312"/>
          <w:color w:val="000000"/>
          <w:sz w:val="32"/>
          <w:szCs w:val="32"/>
          <w:highlight w:val="none"/>
          <w:lang w:val="en-US" w:eastAsia="zh-CN"/>
        </w:rPr>
        <w:t>79398</w:t>
      </w:r>
      <w:r>
        <w:rPr>
          <w:rFonts w:hint="eastAsia" w:ascii="仿宋_GB2312" w:hAnsi="宋体" w:eastAsia="仿宋_GB2312" w:cs="仿宋_GB2312"/>
          <w:color w:val="000000"/>
          <w:sz w:val="32"/>
          <w:szCs w:val="32"/>
          <w:highlight w:val="none"/>
        </w:rPr>
        <w:t>万元，专项转移支付支出</w:t>
      </w:r>
      <w:r>
        <w:rPr>
          <w:rFonts w:hint="eastAsia" w:ascii="仿宋_GB2312" w:hAnsi="宋体" w:eastAsia="仿宋_GB2312" w:cs="仿宋_GB2312"/>
          <w:color w:val="000000"/>
          <w:sz w:val="32"/>
          <w:szCs w:val="32"/>
          <w:highlight w:val="none"/>
          <w:lang w:val="en-US" w:eastAsia="zh-CN"/>
        </w:rPr>
        <w:t>22308</w:t>
      </w:r>
      <w:r>
        <w:rPr>
          <w:rFonts w:hint="eastAsia" w:ascii="仿宋_GB2312" w:hAnsi="宋体" w:eastAsia="仿宋_GB2312" w:cs="仿宋_GB2312"/>
          <w:color w:val="000000"/>
          <w:sz w:val="32"/>
          <w:szCs w:val="32"/>
          <w:highlight w:val="none"/>
        </w:rPr>
        <w:t>万元</w:t>
      </w:r>
      <w:r>
        <w:rPr>
          <w:rFonts w:hint="eastAsia" w:ascii="仿宋_GB2312" w:hAnsi="宋体" w:eastAsia="仿宋_GB2312" w:cs="仿宋_GB2312"/>
          <w:color w:val="000000"/>
          <w:sz w:val="32"/>
          <w:szCs w:val="32"/>
          <w:highlight w:val="none"/>
          <w:lang w:val="en-US" w:eastAsia="zh-CN"/>
        </w:rPr>
        <w:t>）</w:t>
      </w:r>
      <w:r>
        <w:rPr>
          <w:rFonts w:hint="eastAsia" w:ascii="仿宋_GB2312" w:hAnsi="宋体" w:eastAsia="仿宋_GB2312" w:cs="仿宋_GB2312"/>
          <w:color w:val="000000"/>
          <w:sz w:val="32"/>
          <w:szCs w:val="32"/>
          <w:highlight w:val="none"/>
          <w:lang w:eastAsia="zh-CN"/>
        </w:rPr>
        <w:t>，</w:t>
      </w:r>
      <w:r>
        <w:rPr>
          <w:rFonts w:hint="eastAsia" w:ascii="仿宋_GB2312" w:hAnsi="宋体" w:eastAsia="仿宋_GB2312" w:cs="仿宋_GB2312"/>
          <w:color w:val="000000"/>
          <w:sz w:val="32"/>
          <w:szCs w:val="32"/>
          <w:highlight w:val="none"/>
        </w:rPr>
        <w:t>上解支出</w:t>
      </w:r>
      <w:r>
        <w:rPr>
          <w:rFonts w:hint="eastAsia" w:ascii="仿宋_GB2312" w:hAnsi="宋体" w:eastAsia="仿宋_GB2312" w:cs="仿宋_GB2312"/>
          <w:color w:val="000000"/>
          <w:sz w:val="32"/>
          <w:szCs w:val="32"/>
          <w:highlight w:val="none"/>
          <w:lang w:val="en-US" w:eastAsia="zh-CN"/>
        </w:rPr>
        <w:t>12998</w:t>
      </w:r>
      <w:r>
        <w:rPr>
          <w:rFonts w:hint="eastAsia" w:ascii="仿宋_GB2312" w:hAnsi="宋体" w:eastAsia="仿宋_GB2312" w:cs="仿宋_GB2312"/>
          <w:color w:val="000000"/>
          <w:sz w:val="32"/>
          <w:szCs w:val="32"/>
          <w:highlight w:val="none"/>
        </w:rPr>
        <w:t>万元，</w:t>
      </w:r>
      <w:r>
        <w:rPr>
          <w:rFonts w:hint="eastAsia" w:ascii="仿宋_GB2312" w:hAnsi="宋体" w:eastAsia="仿宋_GB2312" w:cs="仿宋_GB2312"/>
          <w:color w:val="000000"/>
          <w:sz w:val="32"/>
          <w:szCs w:val="32"/>
          <w:highlight w:val="none"/>
          <w:lang w:eastAsia="zh-CN"/>
        </w:rPr>
        <w:t>支出合计</w:t>
      </w:r>
      <w:r>
        <w:rPr>
          <w:rFonts w:hint="eastAsia" w:ascii="仿宋_GB2312" w:hAnsi="宋体" w:eastAsia="仿宋_GB2312" w:cs="仿宋_GB2312"/>
          <w:color w:val="000000"/>
          <w:sz w:val="32"/>
          <w:szCs w:val="32"/>
          <w:highlight w:val="none"/>
          <w:lang w:val="en-US" w:eastAsia="zh-CN"/>
        </w:rPr>
        <w:t>312899万元，实现收支平衡。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color w:val="000000"/>
          <w:sz w:val="32"/>
          <w:szCs w:val="32"/>
          <w:highlight w:val="none"/>
        </w:rPr>
      </w:pPr>
      <w:r>
        <w:rPr>
          <w:rFonts w:ascii="仿宋_GB2312" w:hAnsi="宋体" w:eastAsia="仿宋_GB2312" w:cs="仿宋_GB2312"/>
          <w:color w:val="000000"/>
          <w:sz w:val="32"/>
          <w:szCs w:val="32"/>
          <w:highlight w:val="none"/>
        </w:rPr>
        <w:t>202</w:t>
      </w:r>
      <w:r>
        <w:rPr>
          <w:rFonts w:hint="eastAsia" w:ascii="仿宋_GB2312" w:hAnsi="宋体" w:eastAsia="仿宋_GB2312" w:cs="仿宋_GB2312"/>
          <w:color w:val="000000"/>
          <w:sz w:val="32"/>
          <w:szCs w:val="32"/>
          <w:highlight w:val="none"/>
          <w:lang w:val="en-US" w:eastAsia="zh-CN"/>
        </w:rPr>
        <w:t>5</w:t>
      </w:r>
      <w:r>
        <w:rPr>
          <w:rFonts w:hint="eastAsia" w:ascii="仿宋_GB2312" w:hAnsi="宋体" w:eastAsia="仿宋_GB2312" w:cs="仿宋_GB2312"/>
          <w:color w:val="000000"/>
          <w:sz w:val="32"/>
          <w:szCs w:val="32"/>
          <w:highlight w:val="none"/>
        </w:rPr>
        <w:t>年一般公共预算支出</w:t>
      </w:r>
      <w:r>
        <w:rPr>
          <w:rFonts w:hint="eastAsia" w:ascii="仿宋_GB2312" w:hAnsi="宋体" w:eastAsia="仿宋_GB2312" w:cs="仿宋_GB2312"/>
          <w:color w:val="000000"/>
          <w:sz w:val="32"/>
          <w:szCs w:val="32"/>
          <w:highlight w:val="none"/>
          <w:lang w:val="en-US" w:eastAsia="zh-CN"/>
        </w:rPr>
        <w:t>299901</w:t>
      </w:r>
      <w:r>
        <w:rPr>
          <w:rFonts w:hint="eastAsia" w:ascii="仿宋_GB2312" w:hAnsi="宋体" w:eastAsia="仿宋_GB2312" w:cs="仿宋_GB2312"/>
          <w:color w:val="000000"/>
          <w:sz w:val="32"/>
          <w:szCs w:val="32"/>
          <w:highlight w:val="none"/>
        </w:rPr>
        <w:t>万元，比</w:t>
      </w:r>
      <w:r>
        <w:rPr>
          <w:rFonts w:ascii="仿宋_GB2312" w:hAnsi="宋体" w:eastAsia="仿宋_GB2312" w:cs="仿宋_GB2312"/>
          <w:color w:val="000000"/>
          <w:sz w:val="32"/>
          <w:szCs w:val="32"/>
          <w:highlight w:val="none"/>
        </w:rPr>
        <w:t>202</w:t>
      </w:r>
      <w:r>
        <w:rPr>
          <w:rFonts w:hint="eastAsia" w:ascii="仿宋_GB2312" w:hAnsi="宋体" w:eastAsia="仿宋_GB2312" w:cs="仿宋_GB2312"/>
          <w:color w:val="000000"/>
          <w:sz w:val="32"/>
          <w:szCs w:val="32"/>
          <w:highlight w:val="none"/>
          <w:lang w:val="en-US" w:eastAsia="zh-CN"/>
        </w:rPr>
        <w:t>4</w:t>
      </w:r>
      <w:r>
        <w:rPr>
          <w:rFonts w:hint="eastAsia" w:ascii="仿宋_GB2312" w:hAnsi="宋体" w:eastAsia="仿宋_GB2312" w:cs="仿宋_GB2312"/>
          <w:color w:val="000000"/>
          <w:sz w:val="32"/>
          <w:szCs w:val="32"/>
          <w:highlight w:val="none"/>
        </w:rPr>
        <w:t>年预算数</w:t>
      </w:r>
      <w:r>
        <w:rPr>
          <w:rFonts w:hint="eastAsia" w:ascii="仿宋_GB2312" w:hAnsi="宋体" w:eastAsia="仿宋_GB2312" w:cs="仿宋_GB2312"/>
          <w:color w:val="000000"/>
          <w:sz w:val="32"/>
          <w:szCs w:val="32"/>
          <w:highlight w:val="none"/>
          <w:lang w:val="en-US" w:eastAsia="zh-CN"/>
        </w:rPr>
        <w:t>297006</w:t>
      </w:r>
      <w:r>
        <w:rPr>
          <w:rFonts w:hint="eastAsia" w:ascii="仿宋_GB2312" w:hAnsi="宋体" w:eastAsia="仿宋_GB2312" w:cs="仿宋_GB2312"/>
          <w:color w:val="000000"/>
          <w:sz w:val="32"/>
          <w:szCs w:val="32"/>
          <w:highlight w:val="none"/>
        </w:rPr>
        <w:t>万元增加</w:t>
      </w:r>
      <w:r>
        <w:rPr>
          <w:rFonts w:hint="eastAsia" w:ascii="仿宋_GB2312" w:hAnsi="宋体" w:eastAsia="仿宋_GB2312" w:cs="仿宋_GB2312"/>
          <w:color w:val="000000"/>
          <w:sz w:val="32"/>
          <w:szCs w:val="32"/>
          <w:highlight w:val="none"/>
          <w:lang w:val="en-US" w:eastAsia="zh-CN"/>
        </w:rPr>
        <w:t>2895</w:t>
      </w:r>
      <w:r>
        <w:rPr>
          <w:rFonts w:hint="eastAsia" w:ascii="仿宋_GB2312" w:hAnsi="宋体" w:eastAsia="仿宋_GB2312" w:cs="仿宋_GB2312"/>
          <w:color w:val="000000"/>
          <w:sz w:val="32"/>
          <w:szCs w:val="32"/>
          <w:highlight w:val="none"/>
        </w:rPr>
        <w:t>万元，增长</w:t>
      </w:r>
      <w:r>
        <w:rPr>
          <w:rFonts w:hint="eastAsia" w:ascii="仿宋_GB2312" w:hAnsi="宋体" w:eastAsia="仿宋_GB2312" w:cs="仿宋_GB2312"/>
          <w:color w:val="000000"/>
          <w:sz w:val="32"/>
          <w:szCs w:val="32"/>
          <w:highlight w:val="none"/>
          <w:lang w:val="en-US" w:eastAsia="zh-CN"/>
        </w:rPr>
        <w:t>0.97</w:t>
      </w:r>
      <w:r>
        <w:rPr>
          <w:rFonts w:ascii="仿宋_GB2312" w:hAnsi="宋体" w:eastAsia="仿宋_GB2312" w:cs="仿宋_GB2312"/>
          <w:color w:val="000000"/>
          <w:sz w:val="32"/>
          <w:szCs w:val="32"/>
          <w:highlight w:val="none"/>
        </w:rPr>
        <w:t>%</w:t>
      </w:r>
      <w:r>
        <w:rPr>
          <w:rFonts w:hint="eastAsia" w:ascii="仿宋_GB2312" w:hAnsi="宋体" w:eastAsia="仿宋_GB2312" w:cs="仿宋_GB2312"/>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cs="仿宋_GB2312"/>
          <w:color w:val="000000"/>
          <w:sz w:val="32"/>
          <w:szCs w:val="32"/>
          <w:highlight w:val="none"/>
          <w:lang w:val="en-US" w:eastAsia="zh-CN"/>
        </w:rPr>
      </w:pPr>
      <w:r>
        <w:rPr>
          <w:rFonts w:hint="eastAsia" w:ascii="仿宋_GB2312" w:hAnsi="宋体" w:eastAsia="仿宋_GB2312" w:cs="仿宋_GB2312"/>
          <w:color w:val="000000"/>
          <w:sz w:val="32"/>
          <w:szCs w:val="32"/>
          <w:highlight w:val="none"/>
          <w:lang w:val="en-US" w:eastAsia="zh-CN"/>
        </w:rPr>
        <w:t>2025年一般公共预算三保支出共计安排136540万元，其中保民生支出78507万元，保工资支出55347</w:t>
      </w:r>
      <w:bookmarkStart w:id="0" w:name="_GoBack"/>
      <w:bookmarkEnd w:id="0"/>
      <w:r>
        <w:rPr>
          <w:rFonts w:hint="eastAsia" w:ascii="仿宋_GB2312" w:hAnsi="宋体" w:eastAsia="仿宋_GB2312" w:cs="仿宋_GB2312"/>
          <w:color w:val="000000"/>
          <w:sz w:val="32"/>
          <w:szCs w:val="32"/>
          <w:highlight w:val="none"/>
          <w:lang w:val="en-US" w:eastAsia="zh-CN"/>
        </w:rPr>
        <w:t>万元，保运转支出2686万元。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Times New Roman" w:eastAsia="仿宋_GB2312" w:cs="Times New Roman"/>
          <w:b/>
          <w:bCs/>
          <w:sz w:val="32"/>
          <w:szCs w:val="32"/>
          <w:highlight w:val="none"/>
        </w:rPr>
      </w:pPr>
      <w:r>
        <w:rPr>
          <w:rFonts w:hint="eastAsia" w:ascii="仿宋_GB2312" w:hAnsi="Times New Roman" w:eastAsia="仿宋_GB2312" w:cs="Times New Roman"/>
          <w:b/>
          <w:bCs/>
          <w:sz w:val="32"/>
          <w:szCs w:val="32"/>
          <w:highlight w:val="none"/>
        </w:rPr>
        <w:t>2.政府性基金预算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sz w:val="32"/>
          <w:szCs w:val="32"/>
          <w:highlight w:val="none"/>
        </w:rPr>
      </w:pPr>
      <w:r>
        <w:rPr>
          <w:rFonts w:ascii="仿宋_GB2312" w:hAnsi="Times New Roman" w:eastAsia="仿宋_GB2312" w:cs="仿宋_GB2312"/>
          <w:sz w:val="32"/>
          <w:szCs w:val="32"/>
          <w:highlight w:val="none"/>
        </w:rPr>
        <w:t>202</w:t>
      </w:r>
      <w:r>
        <w:rPr>
          <w:rFonts w:hint="eastAsia" w:ascii="仿宋_GB2312" w:hAnsi="Times New Roman" w:eastAsia="仿宋_GB2312" w:cs="仿宋_GB2312"/>
          <w:sz w:val="32"/>
          <w:szCs w:val="32"/>
          <w:highlight w:val="none"/>
          <w:lang w:val="en-US" w:eastAsia="zh-CN"/>
        </w:rPr>
        <w:t>5</w:t>
      </w:r>
      <w:r>
        <w:rPr>
          <w:rFonts w:hint="eastAsia" w:ascii="仿宋_GB2312" w:hAnsi="Times New Roman" w:eastAsia="仿宋_GB2312" w:cs="仿宋_GB2312"/>
          <w:sz w:val="32"/>
          <w:szCs w:val="32"/>
          <w:highlight w:val="none"/>
        </w:rPr>
        <w:t>年政府性基金收入</w:t>
      </w:r>
      <w:r>
        <w:rPr>
          <w:rFonts w:hint="eastAsia" w:ascii="仿宋_GB2312" w:hAnsi="Times New Roman" w:eastAsia="仿宋_GB2312" w:cs="仿宋_GB2312"/>
          <w:sz w:val="32"/>
          <w:szCs w:val="32"/>
          <w:highlight w:val="none"/>
          <w:lang w:eastAsia="zh-CN"/>
        </w:rPr>
        <w:t>合计</w:t>
      </w:r>
      <w:r>
        <w:rPr>
          <w:rFonts w:hint="eastAsia" w:ascii="仿宋_GB2312" w:hAnsi="Times New Roman" w:eastAsia="仿宋_GB2312" w:cs="仿宋_GB2312"/>
          <w:sz w:val="32"/>
          <w:szCs w:val="32"/>
          <w:highlight w:val="none"/>
          <w:lang w:val="en-US" w:eastAsia="zh-CN"/>
        </w:rPr>
        <w:t>56571</w:t>
      </w:r>
      <w:r>
        <w:rPr>
          <w:rFonts w:hint="eastAsia" w:ascii="仿宋_GB2312" w:hAnsi="Times New Roman" w:eastAsia="仿宋_GB2312" w:cs="仿宋_GB2312"/>
          <w:sz w:val="32"/>
          <w:szCs w:val="32"/>
          <w:highlight w:val="none"/>
        </w:rPr>
        <w:t>万元，其中：国有土地使用权出让金收入</w:t>
      </w:r>
      <w:r>
        <w:rPr>
          <w:rFonts w:hint="eastAsia" w:ascii="仿宋_GB2312" w:hAnsi="Times New Roman" w:eastAsia="仿宋_GB2312" w:cs="仿宋_GB2312"/>
          <w:sz w:val="32"/>
          <w:szCs w:val="32"/>
          <w:highlight w:val="none"/>
          <w:lang w:val="en-US" w:eastAsia="zh-CN"/>
        </w:rPr>
        <w:t>14319</w:t>
      </w:r>
      <w:r>
        <w:rPr>
          <w:rFonts w:hint="eastAsia" w:ascii="仿宋_GB2312" w:hAnsi="Times New Roman" w:eastAsia="仿宋_GB2312" w:cs="仿宋_GB2312"/>
          <w:sz w:val="32"/>
          <w:szCs w:val="32"/>
          <w:highlight w:val="none"/>
        </w:rPr>
        <w:t>万元，城市基础设施配套费收入</w:t>
      </w:r>
      <w:r>
        <w:rPr>
          <w:rFonts w:hint="eastAsia" w:ascii="仿宋_GB2312" w:hAnsi="Times New Roman" w:eastAsia="仿宋_GB2312" w:cs="仿宋_GB2312"/>
          <w:sz w:val="32"/>
          <w:szCs w:val="32"/>
          <w:highlight w:val="none"/>
          <w:lang w:val="en-US" w:eastAsia="zh-CN"/>
        </w:rPr>
        <w:t>65</w:t>
      </w:r>
      <w:r>
        <w:rPr>
          <w:rFonts w:hint="eastAsia" w:ascii="仿宋_GB2312" w:hAnsi="Times New Roman" w:eastAsia="仿宋_GB2312" w:cs="仿宋_GB2312"/>
          <w:sz w:val="32"/>
          <w:szCs w:val="32"/>
          <w:highlight w:val="none"/>
        </w:rPr>
        <w:t>万元，上级补助收入</w:t>
      </w:r>
      <w:r>
        <w:rPr>
          <w:rFonts w:hint="eastAsia" w:ascii="仿宋_GB2312" w:hAnsi="Times New Roman" w:eastAsia="仿宋_GB2312" w:cs="仿宋_GB2312"/>
          <w:sz w:val="32"/>
          <w:szCs w:val="32"/>
          <w:highlight w:val="none"/>
          <w:lang w:val="en-US" w:eastAsia="zh-CN"/>
        </w:rPr>
        <w:t>32078</w:t>
      </w:r>
      <w:r>
        <w:rPr>
          <w:rFonts w:hint="eastAsia" w:ascii="仿宋_GB2312" w:hAnsi="Times New Roman" w:eastAsia="仿宋_GB2312" w:cs="仿宋_GB2312"/>
          <w:sz w:val="32"/>
          <w:szCs w:val="32"/>
          <w:highlight w:val="none"/>
        </w:rPr>
        <w:t>万元</w:t>
      </w:r>
      <w:r>
        <w:rPr>
          <w:rFonts w:hint="eastAsia" w:ascii="仿宋_GB2312" w:hAnsi="Times New Roman" w:eastAsia="仿宋_GB2312" w:cs="仿宋_GB2312"/>
          <w:sz w:val="32"/>
          <w:szCs w:val="32"/>
          <w:highlight w:val="none"/>
          <w:lang w:eastAsia="zh-CN"/>
        </w:rPr>
        <w:t>，其他政府性基金收入</w:t>
      </w:r>
      <w:r>
        <w:rPr>
          <w:rFonts w:hint="eastAsia" w:ascii="仿宋_GB2312" w:hAnsi="Times New Roman" w:eastAsia="仿宋_GB2312" w:cs="仿宋_GB2312"/>
          <w:sz w:val="32"/>
          <w:szCs w:val="32"/>
          <w:highlight w:val="none"/>
          <w:lang w:val="en-US" w:eastAsia="zh-CN"/>
        </w:rPr>
        <w:t>10109万元</w:t>
      </w:r>
      <w:r>
        <w:rPr>
          <w:rFonts w:hint="eastAsia" w:ascii="仿宋_GB2312" w:hAnsi="Times New Roman"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sz w:val="32"/>
          <w:szCs w:val="32"/>
          <w:highlight w:val="none"/>
        </w:rPr>
      </w:pPr>
      <w:r>
        <w:rPr>
          <w:rFonts w:hint="eastAsia" w:ascii="仿宋_GB2312" w:hAnsi="Times New Roman" w:eastAsia="仿宋_GB2312" w:cs="仿宋_GB2312"/>
          <w:sz w:val="32"/>
          <w:szCs w:val="32"/>
          <w:highlight w:val="none"/>
          <w:lang w:val="en-US" w:eastAsia="zh-CN"/>
        </w:rPr>
        <w:t>2025年</w:t>
      </w:r>
      <w:r>
        <w:rPr>
          <w:rFonts w:hint="eastAsia" w:ascii="仿宋_GB2312" w:hAnsi="Times New Roman" w:eastAsia="仿宋_GB2312" w:cs="仿宋_GB2312"/>
          <w:sz w:val="32"/>
          <w:szCs w:val="32"/>
          <w:highlight w:val="none"/>
        </w:rPr>
        <w:t>政府性基金支出</w:t>
      </w:r>
      <w:r>
        <w:rPr>
          <w:rFonts w:hint="eastAsia" w:ascii="仿宋_GB2312" w:hAnsi="Times New Roman" w:eastAsia="仿宋_GB2312" w:cs="仿宋_GB2312"/>
          <w:sz w:val="32"/>
          <w:szCs w:val="32"/>
          <w:highlight w:val="none"/>
          <w:lang w:eastAsia="zh-CN"/>
        </w:rPr>
        <w:t>合计</w:t>
      </w:r>
      <w:r>
        <w:rPr>
          <w:rFonts w:hint="eastAsia" w:ascii="仿宋_GB2312" w:hAnsi="Times New Roman" w:eastAsia="仿宋_GB2312" w:cs="仿宋_GB2312"/>
          <w:sz w:val="32"/>
          <w:szCs w:val="32"/>
          <w:highlight w:val="none"/>
          <w:lang w:val="en-US" w:eastAsia="zh-CN"/>
        </w:rPr>
        <w:t>56571</w:t>
      </w:r>
      <w:r>
        <w:rPr>
          <w:rFonts w:hint="eastAsia" w:ascii="仿宋_GB2312" w:hAnsi="Times New Roman" w:eastAsia="仿宋_GB2312" w:cs="仿宋_GB2312"/>
          <w:sz w:val="32"/>
          <w:szCs w:val="32"/>
          <w:highlight w:val="none"/>
        </w:rPr>
        <w:t>万元，其中：</w:t>
      </w:r>
      <w:r>
        <w:rPr>
          <w:rFonts w:hint="eastAsia" w:ascii="仿宋_GB2312" w:hAnsi="Times New Roman" w:eastAsia="仿宋_GB2312" w:cs="仿宋_GB2312"/>
          <w:sz w:val="32"/>
          <w:szCs w:val="32"/>
          <w:highlight w:val="none"/>
          <w:lang w:eastAsia="zh-CN"/>
        </w:rPr>
        <w:t>政府性基金支出</w:t>
      </w:r>
      <w:r>
        <w:rPr>
          <w:rFonts w:hint="eastAsia" w:ascii="仿宋_GB2312" w:hAnsi="Times New Roman" w:eastAsia="仿宋_GB2312" w:cs="仿宋_GB2312"/>
          <w:sz w:val="32"/>
          <w:szCs w:val="32"/>
          <w:highlight w:val="none"/>
          <w:lang w:val="en-US" w:eastAsia="zh-CN"/>
        </w:rPr>
        <w:t>51863万元（含债务付息支出9611万元），地方政府专项债务还本支出4708万元</w:t>
      </w:r>
      <w:r>
        <w:rPr>
          <w:rFonts w:hint="eastAsia" w:ascii="仿宋_GB2312" w:hAnsi="Times New Roman" w:eastAsia="仿宋_GB2312" w:cs="仿宋_GB2312"/>
          <w:sz w:val="32"/>
          <w:szCs w:val="32"/>
          <w:highlight w:val="none"/>
        </w:rPr>
        <w:t>。收支相抵，实现收支平衡。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3.社保基金预算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sz w:val="32"/>
          <w:szCs w:val="32"/>
          <w:highlight w:val="none"/>
          <w:lang w:eastAsia="zh-CN"/>
        </w:rPr>
      </w:pPr>
      <w:r>
        <w:rPr>
          <w:rFonts w:ascii="仿宋_GB2312" w:hAnsi="Times New Roman" w:eastAsia="仿宋_GB2312" w:cs="仿宋_GB2312"/>
          <w:sz w:val="32"/>
          <w:szCs w:val="32"/>
          <w:highlight w:val="none"/>
        </w:rPr>
        <w:t>202</w:t>
      </w:r>
      <w:r>
        <w:rPr>
          <w:rFonts w:hint="eastAsia" w:ascii="仿宋_GB2312" w:hAnsi="Times New Roman" w:eastAsia="仿宋_GB2312" w:cs="仿宋_GB2312"/>
          <w:sz w:val="32"/>
          <w:szCs w:val="32"/>
          <w:highlight w:val="none"/>
          <w:lang w:val="en-US" w:eastAsia="zh-CN"/>
        </w:rPr>
        <w:t>5</w:t>
      </w:r>
      <w:r>
        <w:rPr>
          <w:rFonts w:hint="eastAsia" w:ascii="仿宋_GB2312" w:hAnsi="Times New Roman" w:eastAsia="仿宋_GB2312" w:cs="仿宋_GB2312"/>
          <w:sz w:val="32"/>
          <w:szCs w:val="32"/>
          <w:highlight w:val="none"/>
        </w:rPr>
        <w:t>年社会保险基金收入</w:t>
      </w:r>
      <w:r>
        <w:rPr>
          <w:rFonts w:hint="eastAsia" w:ascii="仿宋_GB2312" w:hAnsi="Times New Roman" w:eastAsia="仿宋_GB2312" w:cs="仿宋_GB2312"/>
          <w:sz w:val="32"/>
          <w:szCs w:val="32"/>
          <w:highlight w:val="none"/>
          <w:lang w:val="en-US" w:eastAsia="zh-CN"/>
        </w:rPr>
        <w:t>65416</w:t>
      </w:r>
      <w:r>
        <w:rPr>
          <w:rFonts w:hint="eastAsia" w:ascii="仿宋_GB2312" w:hAnsi="Times New Roman" w:eastAsia="仿宋_GB2312" w:cs="仿宋_GB2312"/>
          <w:sz w:val="32"/>
          <w:szCs w:val="32"/>
          <w:highlight w:val="none"/>
        </w:rPr>
        <w:t>万元，</w:t>
      </w:r>
      <w:r>
        <w:rPr>
          <w:rFonts w:hint="eastAsia" w:ascii="仿宋_GB2312" w:hAnsi="Times New Roman" w:eastAsia="仿宋_GB2312" w:cs="仿宋_GB2312"/>
          <w:sz w:val="32"/>
          <w:szCs w:val="32"/>
          <w:highlight w:val="none"/>
          <w:lang w:eastAsia="zh-CN"/>
        </w:rPr>
        <w:t>其中：</w:t>
      </w:r>
      <w:r>
        <w:rPr>
          <w:rFonts w:hint="eastAsia" w:ascii="仿宋_GB2312" w:hAnsi="Times New Roman" w:eastAsia="仿宋_GB2312" w:cs="仿宋_GB2312"/>
          <w:sz w:val="32"/>
          <w:szCs w:val="32"/>
          <w:highlight w:val="none"/>
        </w:rPr>
        <w:t>城乡居民基本养老保险基金收入</w:t>
      </w:r>
      <w:r>
        <w:rPr>
          <w:rFonts w:hint="eastAsia" w:ascii="仿宋_GB2312" w:hAnsi="Times New Roman" w:eastAsia="仿宋_GB2312" w:cs="仿宋_GB2312"/>
          <w:sz w:val="32"/>
          <w:szCs w:val="32"/>
          <w:highlight w:val="none"/>
          <w:lang w:val="en-US" w:eastAsia="zh-CN"/>
        </w:rPr>
        <w:t>23077</w:t>
      </w:r>
      <w:r>
        <w:rPr>
          <w:rFonts w:hint="eastAsia" w:ascii="仿宋_GB2312" w:hAnsi="Times New Roman" w:eastAsia="仿宋_GB2312" w:cs="仿宋_GB2312"/>
          <w:sz w:val="32"/>
          <w:szCs w:val="32"/>
          <w:highlight w:val="none"/>
        </w:rPr>
        <w:t>万元</w:t>
      </w:r>
      <w:r>
        <w:rPr>
          <w:rFonts w:hint="eastAsia" w:ascii="仿宋_GB2312" w:hAnsi="Times New Roman" w:eastAsia="仿宋_GB2312" w:cs="仿宋_GB2312"/>
          <w:sz w:val="32"/>
          <w:szCs w:val="32"/>
          <w:highlight w:val="none"/>
          <w:lang w:eastAsia="zh-CN"/>
        </w:rPr>
        <w:t>，</w:t>
      </w:r>
      <w:r>
        <w:rPr>
          <w:rFonts w:hint="eastAsia" w:ascii="仿宋_GB2312" w:hAnsi="Times New Roman" w:eastAsia="仿宋_GB2312" w:cs="仿宋_GB2312"/>
          <w:sz w:val="32"/>
          <w:szCs w:val="32"/>
          <w:highlight w:val="none"/>
        </w:rPr>
        <w:t>机关事业单位养老保险基金收入</w:t>
      </w:r>
      <w:r>
        <w:rPr>
          <w:rFonts w:hint="eastAsia" w:ascii="仿宋_GB2312" w:hAnsi="Times New Roman" w:eastAsia="仿宋_GB2312" w:cs="仿宋_GB2312"/>
          <w:sz w:val="32"/>
          <w:szCs w:val="32"/>
          <w:highlight w:val="none"/>
          <w:lang w:val="en-US" w:eastAsia="zh-CN"/>
        </w:rPr>
        <w:t>42339</w:t>
      </w:r>
      <w:r>
        <w:rPr>
          <w:rFonts w:hint="eastAsia" w:ascii="仿宋_GB2312" w:hAnsi="Times New Roman" w:eastAsia="仿宋_GB2312" w:cs="仿宋_GB2312"/>
          <w:sz w:val="32"/>
          <w:szCs w:val="32"/>
          <w:highlight w:val="none"/>
        </w:rPr>
        <w:t>万元</w:t>
      </w:r>
      <w:r>
        <w:rPr>
          <w:rFonts w:hint="eastAsia" w:ascii="仿宋_GB2312"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sz w:val="32"/>
          <w:szCs w:val="32"/>
          <w:highlight w:val="none"/>
          <w:lang w:eastAsia="zh-CN"/>
        </w:rPr>
      </w:pPr>
      <w:r>
        <w:rPr>
          <w:rFonts w:hint="eastAsia" w:ascii="仿宋_GB2312" w:hAnsi="Times New Roman" w:eastAsia="仿宋_GB2312" w:cs="仿宋_GB2312"/>
          <w:sz w:val="32"/>
          <w:szCs w:val="32"/>
          <w:highlight w:val="none"/>
          <w:lang w:val="en-US" w:eastAsia="zh-CN"/>
        </w:rPr>
        <w:t>2025年社会保险基金</w:t>
      </w:r>
      <w:r>
        <w:rPr>
          <w:rFonts w:hint="eastAsia" w:ascii="仿宋_GB2312" w:hAnsi="Times New Roman" w:eastAsia="仿宋_GB2312" w:cs="仿宋_GB2312"/>
          <w:sz w:val="32"/>
          <w:szCs w:val="32"/>
          <w:highlight w:val="none"/>
        </w:rPr>
        <w:t>支出</w:t>
      </w:r>
      <w:r>
        <w:rPr>
          <w:rFonts w:hint="eastAsia" w:ascii="仿宋_GB2312" w:hAnsi="Times New Roman" w:eastAsia="仿宋_GB2312" w:cs="仿宋_GB2312"/>
          <w:sz w:val="32"/>
          <w:szCs w:val="32"/>
          <w:highlight w:val="none"/>
          <w:lang w:val="en-US" w:eastAsia="zh-CN"/>
        </w:rPr>
        <w:t>54440</w:t>
      </w:r>
      <w:r>
        <w:rPr>
          <w:rFonts w:hint="eastAsia" w:ascii="仿宋_GB2312" w:hAnsi="Times New Roman" w:eastAsia="仿宋_GB2312" w:cs="仿宋_GB2312"/>
          <w:sz w:val="32"/>
          <w:szCs w:val="32"/>
          <w:highlight w:val="none"/>
        </w:rPr>
        <w:t>万元。其中：城乡居民基本养老保险基金支出</w:t>
      </w:r>
      <w:r>
        <w:rPr>
          <w:rFonts w:hint="eastAsia" w:ascii="仿宋_GB2312" w:hAnsi="Times New Roman" w:eastAsia="仿宋_GB2312" w:cs="仿宋_GB2312"/>
          <w:sz w:val="32"/>
          <w:szCs w:val="32"/>
          <w:highlight w:val="none"/>
          <w:lang w:val="en-US" w:eastAsia="zh-CN"/>
        </w:rPr>
        <w:t>13882</w:t>
      </w:r>
      <w:r>
        <w:rPr>
          <w:rFonts w:hint="eastAsia" w:ascii="仿宋_GB2312" w:hAnsi="Times New Roman" w:eastAsia="仿宋_GB2312" w:cs="仿宋_GB2312"/>
          <w:sz w:val="32"/>
          <w:szCs w:val="32"/>
          <w:highlight w:val="none"/>
        </w:rPr>
        <w:t>万元；机关事业单位养老保险基金支出</w:t>
      </w:r>
      <w:r>
        <w:rPr>
          <w:rFonts w:hint="eastAsia" w:ascii="仿宋_GB2312" w:hAnsi="Times New Roman" w:eastAsia="仿宋_GB2312" w:cs="仿宋_GB2312"/>
          <w:sz w:val="32"/>
          <w:szCs w:val="32"/>
          <w:highlight w:val="none"/>
          <w:lang w:val="en-US" w:eastAsia="zh-CN"/>
        </w:rPr>
        <w:t>40558</w:t>
      </w:r>
      <w:r>
        <w:rPr>
          <w:rFonts w:hint="eastAsia" w:ascii="仿宋_GB2312" w:hAnsi="Times New Roman" w:eastAsia="仿宋_GB2312" w:cs="仿宋_GB2312"/>
          <w:sz w:val="32"/>
          <w:szCs w:val="32"/>
          <w:highlight w:val="none"/>
        </w:rPr>
        <w:t>万元</w:t>
      </w:r>
      <w:r>
        <w:rPr>
          <w:rFonts w:hint="eastAsia" w:ascii="仿宋_GB2312"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sz w:val="32"/>
          <w:szCs w:val="32"/>
          <w:highlight w:val="none"/>
        </w:rPr>
      </w:pPr>
      <w:r>
        <w:rPr>
          <w:rFonts w:hint="eastAsia" w:ascii="仿宋_GB2312" w:hAnsi="Times New Roman" w:eastAsia="仿宋_GB2312" w:cs="仿宋_GB2312"/>
          <w:sz w:val="32"/>
          <w:szCs w:val="32"/>
          <w:highlight w:val="none"/>
        </w:rPr>
        <w:t>收支相抵，社保基金本年收支结余</w:t>
      </w:r>
      <w:r>
        <w:rPr>
          <w:rFonts w:hint="eastAsia" w:ascii="仿宋_GB2312" w:hAnsi="Times New Roman" w:eastAsia="仿宋_GB2312" w:cs="仿宋_GB2312"/>
          <w:sz w:val="32"/>
          <w:szCs w:val="32"/>
          <w:highlight w:val="none"/>
          <w:lang w:val="en-US" w:eastAsia="zh-CN"/>
        </w:rPr>
        <w:t>10976</w:t>
      </w:r>
      <w:r>
        <w:rPr>
          <w:rFonts w:hint="eastAsia" w:ascii="仿宋_GB2312" w:hAnsi="Times New Roman" w:eastAsia="仿宋_GB2312" w:cs="仿宋_GB2312"/>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4.国有资本经营预算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202</w:t>
      </w:r>
      <w:r>
        <w:rPr>
          <w:rFonts w:hint="eastAsia" w:ascii="仿宋_GB2312" w:hAnsi="Times New Roman" w:eastAsia="仿宋_GB2312" w:cs="Times New Roman"/>
          <w:sz w:val="32"/>
          <w:szCs w:val="32"/>
          <w:highlight w:val="none"/>
          <w:lang w:val="en-US" w:eastAsia="zh-CN"/>
        </w:rPr>
        <w:t>5</w:t>
      </w:r>
      <w:r>
        <w:rPr>
          <w:rFonts w:hint="eastAsia" w:ascii="仿宋_GB2312" w:hAnsi="Times New Roman" w:eastAsia="仿宋_GB2312" w:cs="Times New Roman"/>
          <w:sz w:val="32"/>
          <w:szCs w:val="32"/>
          <w:highlight w:val="none"/>
        </w:rPr>
        <w:t>年国有资本经营预算收入</w:t>
      </w:r>
      <w:r>
        <w:rPr>
          <w:rFonts w:hint="eastAsia" w:ascii="仿宋_GB2312" w:hAnsi="Times New Roman" w:eastAsia="仿宋_GB2312" w:cs="Times New Roman"/>
          <w:sz w:val="32"/>
          <w:szCs w:val="32"/>
          <w:highlight w:val="none"/>
          <w:lang w:val="en-US" w:eastAsia="zh-CN"/>
        </w:rPr>
        <w:t>646</w:t>
      </w:r>
      <w:r>
        <w:rPr>
          <w:rFonts w:hint="eastAsia" w:ascii="仿宋_GB2312" w:hAnsi="Times New Roman" w:eastAsia="仿宋_GB2312" w:cs="Times New Roman"/>
          <w:sz w:val="32"/>
          <w:szCs w:val="32"/>
          <w:highlight w:val="none"/>
        </w:rPr>
        <w:t>万元。其中：益阳市创鑫建设投资有限公司</w:t>
      </w:r>
      <w:r>
        <w:rPr>
          <w:rFonts w:hint="eastAsia" w:ascii="仿宋_GB2312" w:hAnsi="Times New Roman" w:eastAsia="仿宋_GB2312" w:cs="Times New Roman"/>
          <w:sz w:val="32"/>
          <w:szCs w:val="32"/>
          <w:highlight w:val="none"/>
          <w:lang w:val="en-US" w:eastAsia="zh-CN"/>
        </w:rPr>
        <w:t>136</w:t>
      </w:r>
      <w:r>
        <w:rPr>
          <w:rFonts w:hint="eastAsia" w:ascii="仿宋_GB2312" w:hAnsi="Times New Roman" w:eastAsia="仿宋_GB2312" w:cs="Times New Roman"/>
          <w:sz w:val="32"/>
          <w:szCs w:val="32"/>
          <w:highlight w:val="none"/>
        </w:rPr>
        <w:t>万元，益阳市资阳区发展集团有限公司</w:t>
      </w:r>
      <w:r>
        <w:rPr>
          <w:rFonts w:hint="eastAsia" w:ascii="仿宋_GB2312" w:hAnsi="Times New Roman" w:eastAsia="仿宋_GB2312" w:cs="Times New Roman"/>
          <w:sz w:val="32"/>
          <w:szCs w:val="32"/>
          <w:highlight w:val="none"/>
          <w:lang w:val="en-US" w:eastAsia="zh-CN"/>
        </w:rPr>
        <w:t>510</w:t>
      </w:r>
      <w:r>
        <w:rPr>
          <w:rFonts w:hint="eastAsia" w:ascii="仿宋_GB2312" w:hAnsi="Times New Roman" w:eastAsia="仿宋_GB2312" w:cs="Times New Roman"/>
          <w:sz w:val="32"/>
          <w:szCs w:val="32"/>
          <w:highlight w:val="none"/>
        </w:rPr>
        <w:t>万元。按照收支平衡的原则，202</w:t>
      </w:r>
      <w:r>
        <w:rPr>
          <w:rFonts w:hint="eastAsia" w:ascii="仿宋_GB2312" w:hAnsi="Times New Roman" w:eastAsia="仿宋_GB2312" w:cs="Times New Roman"/>
          <w:sz w:val="32"/>
          <w:szCs w:val="32"/>
          <w:highlight w:val="none"/>
          <w:lang w:val="en-US" w:eastAsia="zh-CN"/>
        </w:rPr>
        <w:t>5</w:t>
      </w:r>
      <w:r>
        <w:rPr>
          <w:rFonts w:hint="eastAsia" w:ascii="仿宋_GB2312" w:hAnsi="Times New Roman" w:eastAsia="仿宋_GB2312" w:cs="Times New Roman"/>
          <w:sz w:val="32"/>
          <w:szCs w:val="32"/>
          <w:highlight w:val="none"/>
        </w:rPr>
        <w:t>年支出预算安排其他支出</w:t>
      </w:r>
      <w:r>
        <w:rPr>
          <w:rFonts w:hint="eastAsia" w:ascii="仿宋_GB2312" w:hAnsi="Times New Roman" w:eastAsia="仿宋_GB2312" w:cs="Times New Roman"/>
          <w:sz w:val="32"/>
          <w:szCs w:val="32"/>
          <w:highlight w:val="none"/>
          <w:lang w:val="en-US" w:eastAsia="zh-CN"/>
        </w:rPr>
        <w:t>646</w:t>
      </w:r>
      <w:r>
        <w:rPr>
          <w:rFonts w:hint="eastAsia" w:ascii="仿宋_GB2312" w:hAnsi="Times New Roman" w:eastAsia="仿宋_GB2312" w:cs="Times New Roman"/>
          <w:sz w:val="32"/>
          <w:szCs w:val="32"/>
          <w:highlight w:val="none"/>
        </w:rPr>
        <w:t>万元。</w:t>
      </w:r>
    </w:p>
    <w:p>
      <w:pPr>
        <w:keepNext w:val="0"/>
        <w:keepLines w:val="0"/>
        <w:pageBreakBefore w:val="0"/>
        <w:widowControl w:val="0"/>
        <w:kinsoku/>
        <w:wordWrap/>
        <w:overflowPunct/>
        <w:topLinePunct w:val="0"/>
        <w:bidi w:val="0"/>
        <w:snapToGrid/>
        <w:spacing w:line="560" w:lineRule="exact"/>
        <w:ind w:firstLine="643" w:firstLineChars="200"/>
        <w:textAlignment w:val="auto"/>
        <w:rPr>
          <w:rFonts w:ascii="楷体_GB2312" w:hAnsi="Times New Roman" w:eastAsia="楷体_GB2312" w:cs="Times New Roman"/>
          <w:b/>
          <w:bCs/>
          <w:sz w:val="32"/>
          <w:szCs w:val="32"/>
          <w:highlight w:val="none"/>
        </w:rPr>
      </w:pPr>
      <w:r>
        <w:rPr>
          <w:rFonts w:hint="eastAsia" w:ascii="楷体_GB2312" w:hAnsi="Times New Roman" w:eastAsia="楷体_GB2312" w:cs="Times New Roman"/>
          <w:b/>
          <w:bCs/>
          <w:sz w:val="32"/>
          <w:szCs w:val="32"/>
          <w:highlight w:val="none"/>
        </w:rPr>
        <w:t>（二）202</w:t>
      </w:r>
      <w:r>
        <w:rPr>
          <w:rFonts w:hint="eastAsia" w:ascii="楷体_GB2312" w:hAnsi="Times New Roman" w:eastAsia="楷体_GB2312" w:cs="Times New Roman"/>
          <w:b/>
          <w:bCs/>
          <w:sz w:val="32"/>
          <w:szCs w:val="32"/>
          <w:highlight w:val="none"/>
          <w:lang w:val="en-US" w:eastAsia="zh-CN"/>
        </w:rPr>
        <w:t>5</w:t>
      </w:r>
      <w:r>
        <w:rPr>
          <w:rFonts w:hint="eastAsia" w:ascii="楷体_GB2312" w:hAnsi="Times New Roman" w:eastAsia="楷体_GB2312" w:cs="Times New Roman"/>
          <w:b/>
          <w:bCs/>
          <w:sz w:val="32"/>
          <w:szCs w:val="32"/>
          <w:highlight w:val="none"/>
        </w:rPr>
        <w:t>年财政预算支出重点及财政工作思路</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202</w:t>
      </w:r>
      <w:r>
        <w:rPr>
          <w:rFonts w:hint="eastAsia" w:ascii="仿宋_GB2312" w:hAnsi="Times New Roman" w:eastAsia="仿宋_GB2312" w:cs="Times New Roman"/>
          <w:sz w:val="32"/>
          <w:szCs w:val="32"/>
          <w:highlight w:val="none"/>
          <w:lang w:val="en-US" w:eastAsia="zh-CN"/>
        </w:rPr>
        <w:t>5</w:t>
      </w:r>
      <w:r>
        <w:rPr>
          <w:rFonts w:hint="eastAsia" w:ascii="仿宋_GB2312" w:hAnsi="Times New Roman" w:eastAsia="仿宋_GB2312" w:cs="Times New Roman"/>
          <w:sz w:val="32"/>
          <w:szCs w:val="32"/>
          <w:highlight w:val="none"/>
        </w:rPr>
        <w:t>年财政工作将紧紧围绕区委的决策部署，重点做好以下几个方面的工作：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1.聚焦高质量发展促增长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一</w:t>
      </w:r>
      <w:r>
        <w:rPr>
          <w:rFonts w:hint="eastAsia" w:ascii="仿宋_GB2312" w:hAnsi="Times New Roman" w:eastAsia="仿宋_GB2312" w:cs="Times New Roman"/>
          <w:b/>
          <w:bCs/>
          <w:sz w:val="32"/>
          <w:szCs w:val="32"/>
          <w:highlight w:val="none"/>
        </w:rPr>
        <w:t>是围绕</w:t>
      </w:r>
      <w:r>
        <w:rPr>
          <w:rFonts w:hint="eastAsia" w:ascii="仿宋_GB2312" w:hAnsi="Times New Roman" w:eastAsia="仿宋_GB2312" w:cs="Times New Roman"/>
          <w:b/>
          <w:bCs/>
          <w:sz w:val="32"/>
          <w:szCs w:val="32"/>
          <w:highlight w:val="none"/>
          <w:lang w:eastAsia="zh-CN"/>
        </w:rPr>
        <w:t>区</w:t>
      </w:r>
      <w:r>
        <w:rPr>
          <w:rFonts w:hint="eastAsia" w:ascii="仿宋_GB2312" w:hAnsi="Times New Roman" w:eastAsia="仿宋_GB2312" w:cs="Times New Roman"/>
          <w:b/>
          <w:bCs/>
          <w:sz w:val="32"/>
          <w:szCs w:val="32"/>
          <w:highlight w:val="none"/>
        </w:rPr>
        <w:t>域经济高质量发展进行财源建设。</w:t>
      </w:r>
      <w:r>
        <w:rPr>
          <w:rFonts w:hint="eastAsia" w:ascii="仿宋_GB2312" w:hAnsi="Times New Roman" w:eastAsia="仿宋_GB2312" w:cs="Times New Roman"/>
          <w:sz w:val="32"/>
          <w:szCs w:val="32"/>
          <w:highlight w:val="none"/>
        </w:rPr>
        <w:t>从经济发展、财政收入管理、产业发展三个方面入手，围绕年初预算工作目标，在减税降费、专新特精、贴息奖补</w:t>
      </w:r>
      <w:r>
        <w:rPr>
          <w:rFonts w:hint="eastAsia" w:ascii="仿宋_GB2312" w:hAnsi="Times New Roman" w:eastAsia="仿宋_GB2312" w:cs="Times New Roman"/>
          <w:sz w:val="32"/>
          <w:szCs w:val="32"/>
          <w:highlight w:val="none"/>
          <w:lang w:eastAsia="zh-CN"/>
        </w:rPr>
        <w:t>等政策</w:t>
      </w:r>
      <w:r>
        <w:rPr>
          <w:rFonts w:hint="eastAsia" w:ascii="仿宋_GB2312" w:hAnsi="Times New Roman" w:eastAsia="仿宋_GB2312" w:cs="Times New Roman"/>
          <w:sz w:val="32"/>
          <w:szCs w:val="32"/>
          <w:highlight w:val="none"/>
        </w:rPr>
        <w:t>兑现和税收行业征管措施等方面协调联动，实现产业升级，促进销售增长，带动税收增收，实现财政可支配资金增长的良性循环。</w:t>
      </w:r>
      <w:r>
        <w:rPr>
          <w:rFonts w:hint="eastAsia" w:ascii="仿宋_GB2312" w:hAnsi="Times New Roman" w:eastAsia="仿宋_GB2312" w:cs="Times New Roman"/>
          <w:b/>
          <w:bCs/>
          <w:sz w:val="32"/>
          <w:szCs w:val="32"/>
          <w:highlight w:val="none"/>
        </w:rPr>
        <w:t>二是用好用活上级对高质量发展的各项政策支持。</w:t>
      </w:r>
      <w:r>
        <w:rPr>
          <w:rFonts w:hint="eastAsia" w:ascii="仿宋_GB2312" w:hAnsi="Times New Roman" w:eastAsia="仿宋_GB2312" w:cs="Times New Roman"/>
          <w:sz w:val="32"/>
          <w:szCs w:val="32"/>
          <w:highlight w:val="none"/>
        </w:rPr>
        <w:t>深入研究上级政策，加大与省</w:t>
      </w:r>
      <w:r>
        <w:rPr>
          <w:rFonts w:hint="eastAsia" w:ascii="仿宋_GB2312" w:hAnsi="Times New Roman" w:eastAsia="仿宋_GB2312" w:cs="Times New Roman"/>
          <w:sz w:val="32"/>
          <w:szCs w:val="32"/>
          <w:highlight w:val="none"/>
          <w:lang w:eastAsia="zh-CN"/>
        </w:rPr>
        <w:t>市</w:t>
      </w:r>
      <w:r>
        <w:rPr>
          <w:rFonts w:hint="eastAsia" w:ascii="仿宋_GB2312" w:hAnsi="Times New Roman" w:eastAsia="仿宋_GB2312" w:cs="Times New Roman"/>
          <w:sz w:val="32"/>
          <w:szCs w:val="32"/>
          <w:highlight w:val="none"/>
        </w:rPr>
        <w:t>财政、发改等部门的对接力度，主动汇报工作、加强联系，最大额度争取特别国债、专项转移支付等上级资金，拓宽争取资金面，为高质量发展争取更多的财力支持。</w:t>
      </w:r>
      <w:r>
        <w:rPr>
          <w:rFonts w:hint="eastAsia" w:ascii="仿宋_GB2312" w:hAnsi="Times New Roman" w:eastAsia="仿宋_GB2312" w:cs="Times New Roman"/>
          <w:b/>
          <w:bCs/>
          <w:sz w:val="32"/>
          <w:szCs w:val="32"/>
          <w:highlight w:val="none"/>
        </w:rPr>
        <w:t>三是</w:t>
      </w:r>
      <w:r>
        <w:rPr>
          <w:rFonts w:hint="eastAsia" w:ascii="仿宋_GB2312" w:hAnsi="Times New Roman" w:eastAsia="仿宋_GB2312" w:cs="Times New Roman"/>
          <w:b/>
          <w:bCs/>
          <w:sz w:val="32"/>
          <w:szCs w:val="32"/>
          <w:highlight w:val="none"/>
          <w:lang w:eastAsia="zh-CN"/>
        </w:rPr>
        <w:t>全面实施零基预算改革</w:t>
      </w:r>
      <w:r>
        <w:rPr>
          <w:rFonts w:hint="eastAsia" w:ascii="仿宋_GB2312" w:hAnsi="Times New Roman" w:eastAsia="仿宋_GB2312" w:cs="Times New Roman"/>
          <w:b/>
          <w:bCs/>
          <w:sz w:val="32"/>
          <w:szCs w:val="32"/>
          <w:highlight w:val="none"/>
        </w:rPr>
        <w:t>。</w:t>
      </w:r>
      <w:r>
        <w:rPr>
          <w:rFonts w:hint="eastAsia" w:ascii="仿宋_GB2312" w:hAnsi="Times New Roman" w:eastAsia="仿宋_GB2312" w:cs="Times New Roman"/>
          <w:b w:val="0"/>
          <w:bCs w:val="0"/>
          <w:sz w:val="32"/>
          <w:szCs w:val="32"/>
          <w:highlight w:val="none"/>
          <w:lang w:eastAsia="zh-CN"/>
        </w:rPr>
        <w:t>坚决贯彻落实党政机关习惯过“紧日子”的要求，连续第五年压减部门单位行政运行类专项，</w:t>
      </w:r>
      <w:r>
        <w:rPr>
          <w:rFonts w:hint="eastAsia" w:ascii="仿宋_GB2312" w:hAnsi="Times New Roman" w:eastAsia="仿宋_GB2312" w:cs="Times New Roman"/>
          <w:b w:val="0"/>
          <w:bCs w:val="0"/>
          <w:sz w:val="32"/>
          <w:szCs w:val="32"/>
          <w:highlight w:val="none"/>
          <w:lang w:val="en-US" w:eastAsia="zh-CN"/>
        </w:rPr>
        <w:t>2025年预算再压减415万元；</w:t>
      </w:r>
      <w:r>
        <w:rPr>
          <w:rFonts w:hint="eastAsia" w:ascii="仿宋_GB2312" w:hAnsi="Times New Roman" w:eastAsia="仿宋_GB2312" w:cs="Times New Roman"/>
          <w:sz w:val="32"/>
          <w:szCs w:val="32"/>
          <w:highlight w:val="none"/>
        </w:rPr>
        <w:t>调整优化支出结构，对专项资金进行整合归并，严控小、散等零星项目，</w:t>
      </w:r>
      <w:r>
        <w:rPr>
          <w:rFonts w:hint="eastAsia" w:ascii="仿宋_GB2312" w:hAnsi="Times New Roman" w:eastAsia="仿宋_GB2312" w:cs="Times New Roman"/>
          <w:sz w:val="32"/>
          <w:szCs w:val="32"/>
          <w:highlight w:val="none"/>
          <w:lang w:eastAsia="zh-CN"/>
        </w:rPr>
        <w:t>将</w:t>
      </w:r>
      <w:r>
        <w:rPr>
          <w:rFonts w:hint="eastAsia" w:ascii="仿宋_GB2312" w:hAnsi="Times New Roman" w:eastAsia="仿宋_GB2312" w:cs="Times New Roman"/>
          <w:sz w:val="32"/>
          <w:szCs w:val="32"/>
          <w:highlight w:val="none"/>
        </w:rPr>
        <w:t>2024年382个专项整合优化为114个项目</w:t>
      </w: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rPr>
        <w:t>项目支出按照“三保”支出、政府债务还本付息支出、大事要事支出、一般性事业发展支出、其他支出五级支出优先序安排，前序支出没有足额保障的，不得安排后续支出</w:t>
      </w:r>
      <w:r>
        <w:rPr>
          <w:rFonts w:hint="eastAsia" w:ascii="仿宋_GB2312" w:hAnsi="Times New Roman" w:eastAsia="仿宋_GB2312" w:cs="Times New Roman"/>
          <w:sz w:val="32"/>
          <w:szCs w:val="32"/>
          <w:highlight w:val="none"/>
          <w:lang w:eastAsia="zh-CN"/>
        </w:rPr>
        <w:t>；破除“基数”观念，</w:t>
      </w:r>
      <w:r>
        <w:rPr>
          <w:rFonts w:hint="eastAsia" w:ascii="仿宋_GB2312" w:hAnsi="Times New Roman" w:eastAsia="仿宋_GB2312" w:cs="Times New Roman"/>
          <w:sz w:val="32"/>
          <w:szCs w:val="32"/>
          <w:highlight w:val="none"/>
        </w:rPr>
        <w:t>加强预算统筹，</w:t>
      </w:r>
      <w:r>
        <w:rPr>
          <w:rFonts w:hint="eastAsia" w:ascii="仿宋_GB2312" w:hAnsi="Times New Roman" w:eastAsia="仿宋_GB2312" w:cs="Times New Roman"/>
          <w:sz w:val="32"/>
          <w:szCs w:val="32"/>
          <w:highlight w:val="none"/>
          <w:lang w:eastAsia="zh-CN"/>
        </w:rPr>
        <w:t>坚持“以零为基”“以事定钱”“以效促用”原则，</w:t>
      </w:r>
      <w:r>
        <w:rPr>
          <w:rFonts w:hint="eastAsia" w:ascii="仿宋_GB2312" w:hAnsi="Times New Roman" w:eastAsia="仿宋_GB2312" w:cs="Times New Roman"/>
          <w:sz w:val="32"/>
          <w:szCs w:val="32"/>
          <w:highlight w:val="none"/>
        </w:rPr>
        <w:t>结合</w:t>
      </w:r>
      <w:r>
        <w:rPr>
          <w:rFonts w:hint="eastAsia" w:ascii="仿宋_GB2312" w:hAnsi="Times New Roman" w:eastAsia="仿宋_GB2312" w:cs="Times New Roman"/>
          <w:sz w:val="32"/>
          <w:szCs w:val="32"/>
          <w:highlight w:val="none"/>
          <w:lang w:eastAsia="zh-CN"/>
        </w:rPr>
        <w:t>可用</w:t>
      </w:r>
      <w:r>
        <w:rPr>
          <w:rFonts w:hint="eastAsia" w:ascii="仿宋_GB2312" w:hAnsi="Times New Roman" w:eastAsia="仿宋_GB2312" w:cs="Times New Roman"/>
          <w:sz w:val="32"/>
          <w:szCs w:val="32"/>
          <w:highlight w:val="none"/>
        </w:rPr>
        <w:t>财力统筹安排项目，一年一核、能增能减</w:t>
      </w:r>
      <w:r>
        <w:rPr>
          <w:rFonts w:hint="eastAsia" w:ascii="仿宋_GB2312" w:hAnsi="Times New Roman" w:eastAsia="仿宋_GB2312" w:cs="Times New Roman"/>
          <w:sz w:val="32"/>
          <w:szCs w:val="32"/>
          <w:highlight w:val="none"/>
          <w:lang w:eastAsia="zh-CN"/>
        </w:rPr>
        <w:t>，提升财政管理科学性、预算安排精准性，推动财政工作高质量发展</w:t>
      </w:r>
      <w:r>
        <w:rPr>
          <w:rFonts w:hint="eastAsia" w:ascii="仿宋_GB2312"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2.聚焦重点支出惠民生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坚持经济发展和民生改善相协调，持续保障和改善民生。</w:t>
      </w:r>
      <w:r>
        <w:rPr>
          <w:rFonts w:hint="eastAsia" w:ascii="仿宋_GB2312" w:hAnsi="Times New Roman" w:eastAsia="仿宋_GB2312" w:cs="Times New Roman"/>
          <w:b/>
          <w:bCs/>
          <w:sz w:val="32"/>
          <w:szCs w:val="32"/>
          <w:highlight w:val="none"/>
        </w:rPr>
        <w:t>一是持续加大民生投入力度。</w:t>
      </w:r>
      <w:r>
        <w:rPr>
          <w:rFonts w:hint="eastAsia" w:ascii="仿宋_GB2312" w:hAnsi="Times New Roman" w:eastAsia="仿宋_GB2312" w:cs="Times New Roman"/>
          <w:sz w:val="32"/>
          <w:szCs w:val="32"/>
          <w:highlight w:val="none"/>
        </w:rPr>
        <w:t>优先保障教育、医疗、社会保障、就业创业、优抚安置等普惠性、基础性、兜底性民生支出，做好特殊群体兜底，切实提高群众幸福感和获得感</w:t>
      </w:r>
      <w:r>
        <w:rPr>
          <w:rFonts w:hint="eastAsia" w:ascii="仿宋_GB2312" w:hAnsi="Times New Roman" w:eastAsia="仿宋_GB2312" w:cs="Times New Roman"/>
          <w:sz w:val="32"/>
          <w:szCs w:val="32"/>
          <w:highlight w:val="none"/>
          <w:lang w:eastAsia="zh-CN"/>
        </w:rPr>
        <w:t>，</w:t>
      </w:r>
      <w:r>
        <w:rPr>
          <w:rFonts w:hint="eastAsia" w:ascii="仿宋_GB2312" w:hAnsi="仿宋_GB2312" w:eastAsia="仿宋_GB2312" w:cs="仿宋_GB2312"/>
          <w:sz w:val="32"/>
          <w:szCs w:val="32"/>
          <w:highlight w:val="none"/>
          <w:lang w:val="en-US" w:eastAsia="zh-CN"/>
        </w:rPr>
        <w:t>本级基本民生投入50383万元，同口径比上年增加6561万元，确保民生政策惠及千家万户</w:t>
      </w:r>
      <w:r>
        <w:rPr>
          <w:rFonts w:hint="eastAsia" w:ascii="仿宋_GB2312" w:hAnsi="Times New Roman" w:eastAsia="仿宋_GB2312" w:cs="Times New Roman"/>
          <w:sz w:val="32"/>
          <w:szCs w:val="32"/>
          <w:highlight w:val="none"/>
        </w:rPr>
        <w:t>。</w:t>
      </w:r>
      <w:r>
        <w:rPr>
          <w:rFonts w:hint="eastAsia" w:ascii="仿宋_GB2312" w:hAnsi="Times New Roman" w:eastAsia="仿宋_GB2312" w:cs="Times New Roman"/>
          <w:b/>
          <w:bCs/>
          <w:sz w:val="32"/>
          <w:szCs w:val="32"/>
          <w:highlight w:val="none"/>
          <w:lang w:eastAsia="zh-CN"/>
        </w:rPr>
        <w:t>二是减轻部门单位收支压力。</w:t>
      </w:r>
      <w:r>
        <w:rPr>
          <w:rFonts w:hint="eastAsia" w:ascii="仿宋_GB2312" w:hAnsi="Times New Roman" w:eastAsia="仿宋_GB2312" w:cs="Times New Roman"/>
          <w:b w:val="0"/>
          <w:bCs w:val="0"/>
          <w:sz w:val="32"/>
          <w:szCs w:val="32"/>
          <w:highlight w:val="none"/>
          <w:lang w:eastAsia="zh-CN"/>
        </w:rPr>
        <w:t>提高差额、自收自支人员财政负担比例，差额人员工资福利支出财政负担比例由原来的65%提高至80%，自收自支人员工资福利支出财政负担由定额6万元/人</w:t>
      </w:r>
      <w:r>
        <w:rPr>
          <w:rFonts w:hint="eastAsia" w:ascii="仿宋_GB2312" w:hAnsi="Times New Roman" w:eastAsia="仿宋_GB2312" w:cs="Times New Roman"/>
          <w:b w:val="0"/>
          <w:bCs w:val="0"/>
          <w:sz w:val="32"/>
          <w:szCs w:val="32"/>
          <w:highlight w:val="none"/>
          <w:lang w:val="en-US" w:eastAsia="zh-CN"/>
        </w:rPr>
        <w:t>·</w:t>
      </w:r>
      <w:r>
        <w:rPr>
          <w:rFonts w:hint="eastAsia" w:ascii="仿宋_GB2312" w:hAnsi="Times New Roman" w:eastAsia="仿宋_GB2312" w:cs="Times New Roman"/>
          <w:b w:val="0"/>
          <w:bCs w:val="0"/>
          <w:sz w:val="32"/>
          <w:szCs w:val="32"/>
          <w:highlight w:val="none"/>
          <w:lang w:eastAsia="zh-CN"/>
        </w:rPr>
        <w:t>年的标准变更为年工资福利标准的80%，新增财政支出1499万元；兜底保障机关事业单位养老保险待遇，2025年预算机关事业单位养老保险基金补助33447万元，确保养老保险待遇及时足额发放。</w:t>
      </w:r>
      <w:r>
        <w:rPr>
          <w:rFonts w:hint="eastAsia" w:ascii="仿宋_GB2312" w:hAnsi="Times New Roman" w:eastAsia="仿宋_GB2312" w:cs="Times New Roman"/>
          <w:b/>
          <w:bCs/>
          <w:sz w:val="32"/>
          <w:szCs w:val="32"/>
          <w:highlight w:val="none"/>
          <w:lang w:eastAsia="zh-CN"/>
        </w:rPr>
        <w:t>三</w:t>
      </w:r>
      <w:r>
        <w:rPr>
          <w:rFonts w:hint="eastAsia" w:ascii="仿宋_GB2312" w:hAnsi="Times New Roman" w:eastAsia="仿宋_GB2312" w:cs="Times New Roman"/>
          <w:b/>
          <w:bCs/>
          <w:sz w:val="32"/>
          <w:szCs w:val="32"/>
          <w:highlight w:val="none"/>
        </w:rPr>
        <w:t>是不断积极推进城镇化建设。</w:t>
      </w:r>
      <w:r>
        <w:rPr>
          <w:rFonts w:hint="eastAsia" w:ascii="仿宋_GB2312" w:hAnsi="Times New Roman" w:eastAsia="仿宋_GB2312" w:cs="Times New Roman"/>
          <w:b w:val="0"/>
          <w:bCs w:val="0"/>
          <w:sz w:val="32"/>
          <w:szCs w:val="32"/>
          <w:highlight w:val="none"/>
          <w:lang w:eastAsia="zh-CN"/>
        </w:rPr>
        <w:t>预算安排</w:t>
      </w:r>
      <w:r>
        <w:rPr>
          <w:rFonts w:hint="eastAsia" w:ascii="仿宋_GB2312" w:hAnsi="Times New Roman" w:eastAsia="仿宋_GB2312" w:cs="Times New Roman"/>
          <w:b w:val="0"/>
          <w:bCs w:val="0"/>
          <w:sz w:val="32"/>
          <w:szCs w:val="32"/>
          <w:highlight w:val="none"/>
          <w:lang w:val="en-US" w:eastAsia="zh-CN"/>
        </w:rPr>
        <w:t>1835万元</w:t>
      </w:r>
      <w:r>
        <w:rPr>
          <w:rFonts w:hint="eastAsia" w:ascii="仿宋_GB2312" w:hAnsi="Times New Roman" w:eastAsia="仿宋_GB2312" w:cs="Times New Roman"/>
          <w:sz w:val="32"/>
          <w:szCs w:val="32"/>
          <w:highlight w:val="none"/>
        </w:rPr>
        <w:t>支持道路更新、老旧小区改造等城市项目开展。持续改善人居环境，保障环卫保洁、市政绿化、公共交通、污水处理正常运行。</w:t>
      </w:r>
      <w:r>
        <w:rPr>
          <w:rFonts w:hint="eastAsia" w:ascii="仿宋_GB2312" w:hAnsi="Times New Roman" w:eastAsia="仿宋_GB2312" w:cs="Times New Roman"/>
          <w:b/>
          <w:bCs/>
          <w:sz w:val="32"/>
          <w:szCs w:val="32"/>
          <w:highlight w:val="none"/>
          <w:lang w:eastAsia="zh-CN"/>
        </w:rPr>
        <w:t>四</w:t>
      </w:r>
      <w:r>
        <w:rPr>
          <w:rFonts w:hint="eastAsia" w:ascii="仿宋_GB2312" w:hAnsi="Times New Roman" w:eastAsia="仿宋_GB2312" w:cs="Times New Roman"/>
          <w:b/>
          <w:bCs/>
          <w:sz w:val="32"/>
          <w:szCs w:val="32"/>
          <w:highlight w:val="none"/>
        </w:rPr>
        <w:t>是巩固拓展脱贫攻坚成果同乡村振兴有效衔接。</w:t>
      </w:r>
      <w:r>
        <w:rPr>
          <w:rFonts w:hint="eastAsia" w:ascii="仿宋_GB2312" w:hAnsi="Times New Roman" w:eastAsia="仿宋_GB2312" w:cs="Times New Roman"/>
          <w:b w:val="0"/>
          <w:bCs w:val="0"/>
          <w:sz w:val="32"/>
          <w:szCs w:val="32"/>
          <w:highlight w:val="none"/>
          <w:lang w:eastAsia="zh-CN"/>
        </w:rPr>
        <w:t>安排资金</w:t>
      </w:r>
      <w:r>
        <w:rPr>
          <w:rFonts w:hint="eastAsia" w:ascii="仿宋_GB2312" w:hAnsi="Times New Roman" w:eastAsia="仿宋_GB2312" w:cs="Times New Roman"/>
          <w:b w:val="0"/>
          <w:bCs w:val="0"/>
          <w:sz w:val="32"/>
          <w:szCs w:val="32"/>
          <w:highlight w:val="none"/>
          <w:lang w:val="en-US" w:eastAsia="zh-CN"/>
        </w:rPr>
        <w:t>3243万元</w:t>
      </w:r>
      <w:r>
        <w:rPr>
          <w:rFonts w:hint="eastAsia" w:ascii="仿宋_GB2312" w:hAnsi="Times New Roman" w:eastAsia="仿宋_GB2312" w:cs="Times New Roman"/>
          <w:sz w:val="32"/>
          <w:szCs w:val="32"/>
          <w:highlight w:val="none"/>
        </w:rPr>
        <w:t>支持建设和美乡村，支持发展现代农业，推动高标准农田建设，支持打造特色农业产业，保障粮食和重要农产品安全。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3.聚焦财会监督强基础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b/>
          <w:bCs/>
          <w:sz w:val="32"/>
          <w:szCs w:val="32"/>
          <w:highlight w:val="none"/>
        </w:rPr>
        <w:t>一是筑牢内控管理防线。</w:t>
      </w:r>
      <w:r>
        <w:rPr>
          <w:rFonts w:hint="eastAsia" w:ascii="仿宋_GB2312" w:hAnsi="Times New Roman" w:eastAsia="仿宋_GB2312" w:cs="Times New Roman"/>
          <w:sz w:val="32"/>
          <w:szCs w:val="32"/>
          <w:highlight w:val="none"/>
        </w:rPr>
        <w:t>督促各单位形成分工明确、责任清晰、齐抓共建的内控组织管理体系。建立健全涵盖基本规范，预算编制、预算执行、绩效管理的全流程内控体系，坚持日常财会监督，强化结果运用。</w:t>
      </w:r>
      <w:r>
        <w:rPr>
          <w:rFonts w:hint="eastAsia" w:ascii="仿宋_GB2312" w:hAnsi="Times New Roman" w:eastAsia="仿宋_GB2312" w:cs="Times New Roman"/>
          <w:b/>
          <w:bCs/>
          <w:sz w:val="32"/>
          <w:szCs w:val="32"/>
          <w:highlight w:val="none"/>
        </w:rPr>
        <w:t>二是推进财会监督关口前移，对象延伸。</w:t>
      </w:r>
      <w:r>
        <w:rPr>
          <w:rFonts w:hint="eastAsia" w:ascii="仿宋_GB2312" w:hAnsi="Times New Roman" w:eastAsia="仿宋_GB2312" w:cs="Times New Roman"/>
          <w:sz w:val="32"/>
          <w:szCs w:val="32"/>
          <w:highlight w:val="none"/>
        </w:rPr>
        <w:t>加强对财政政策执行、财政资金管理、政府采购、国有资产管理和绩效管理环节的监督，提升日常监督效能。定期开展财会监督专项整治行动，对减税降费、基层“三保”、衔接资金等重点领域全面排查，加强与巡察、专项检查等各类监督主体的协同联动，推进财会监督检查向</w:t>
      </w:r>
      <w:r>
        <w:rPr>
          <w:rFonts w:hint="eastAsia" w:ascii="仿宋_GB2312" w:hAnsi="Times New Roman" w:eastAsia="仿宋_GB2312" w:cs="Times New Roman"/>
          <w:sz w:val="32"/>
          <w:szCs w:val="32"/>
          <w:highlight w:val="none"/>
          <w:lang w:eastAsia="zh-CN"/>
        </w:rPr>
        <w:t>乡</w:t>
      </w:r>
      <w:r>
        <w:rPr>
          <w:rFonts w:hint="eastAsia" w:ascii="仿宋_GB2312" w:hAnsi="Times New Roman" w:eastAsia="仿宋_GB2312" w:cs="Times New Roman"/>
          <w:sz w:val="32"/>
          <w:szCs w:val="32"/>
          <w:highlight w:val="none"/>
        </w:rPr>
        <w:t>镇</w:t>
      </w: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rPr>
        <w:t>街</w:t>
      </w:r>
      <w:r>
        <w:rPr>
          <w:rFonts w:hint="eastAsia" w:ascii="仿宋_GB2312" w:hAnsi="Times New Roman" w:eastAsia="仿宋_GB2312" w:cs="Times New Roman"/>
          <w:sz w:val="32"/>
          <w:szCs w:val="32"/>
          <w:highlight w:val="none"/>
          <w:lang w:eastAsia="zh-CN"/>
        </w:rPr>
        <w:t>道）</w:t>
      </w:r>
      <w:r>
        <w:rPr>
          <w:rFonts w:hint="eastAsia" w:ascii="仿宋_GB2312" w:hAnsi="Times New Roman" w:eastAsia="仿宋_GB2312" w:cs="Times New Roman"/>
          <w:sz w:val="32"/>
          <w:szCs w:val="32"/>
          <w:highlight w:val="none"/>
        </w:rPr>
        <w:t>、村（社区）、集体经济组织等基层薄弱环节延伸覆盖。</w:t>
      </w:r>
      <w:r>
        <w:rPr>
          <w:rFonts w:hint="eastAsia" w:ascii="仿宋_GB2312" w:hAnsi="Times New Roman" w:eastAsia="仿宋_GB2312" w:cs="Times New Roman"/>
          <w:b/>
          <w:bCs/>
          <w:sz w:val="32"/>
          <w:szCs w:val="32"/>
          <w:highlight w:val="none"/>
        </w:rPr>
        <w:t>三是加强会计行为监督。</w:t>
      </w:r>
      <w:r>
        <w:rPr>
          <w:rFonts w:hint="eastAsia" w:ascii="仿宋_GB2312" w:hAnsi="Times New Roman" w:eastAsia="仿宋_GB2312" w:cs="Times New Roman"/>
          <w:sz w:val="32"/>
          <w:szCs w:val="32"/>
          <w:highlight w:val="none"/>
        </w:rPr>
        <w:t>开展会计信息质量检查，严厉打击会计信息失真、滥用会计准则等违法违规行为。四是强化“处理问责力度”。将财会监督结果纳入考核内容，激励约束、奖优罚劣，对于发现有违反财经纪律的予以通报，对问题突出的重点约谈、追责问责，充分调动各方齐抓财会监督的积极性。</w:t>
      </w:r>
      <w:r>
        <w:rPr>
          <w:rFonts w:hint="eastAsia" w:ascii="仿宋_GB2312" w:hAnsi="Times New Roman" w:eastAsia="仿宋_GB2312" w:cs="Times New Roman"/>
          <w:b/>
          <w:bCs/>
          <w:sz w:val="32"/>
          <w:szCs w:val="32"/>
          <w:highlight w:val="none"/>
          <w:lang w:eastAsia="zh-CN"/>
        </w:rPr>
        <w:t>四是加强重点支出绩效目标管理。</w:t>
      </w:r>
      <w:r>
        <w:rPr>
          <w:rFonts w:hint="eastAsia" w:ascii="仿宋_GB2312" w:hAnsi="Times New Roman" w:eastAsia="仿宋_GB2312" w:cs="Times New Roman"/>
          <w:b w:val="0"/>
          <w:bCs w:val="0"/>
          <w:sz w:val="32"/>
          <w:szCs w:val="32"/>
          <w:highlight w:val="none"/>
          <w:lang w:eastAsia="zh-CN"/>
        </w:rPr>
        <w:t>在编制年初预算同时要求单位同步报送绩效目标申报表，财政部门审核把关，实事求是反映部门单位项目资金预期绩效水平，实现绩效目标与预算编制一同布置、一同编制、一同审核，一同批复。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lang w:eastAsia="zh-CN"/>
        </w:rPr>
        <w:t>聚焦风险防控保稳定</w:t>
      </w:r>
    </w:p>
    <w:p>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b/>
          <w:bCs/>
          <w:sz w:val="32"/>
          <w:szCs w:val="32"/>
          <w:highlight w:val="none"/>
          <w:lang w:eastAsia="zh-CN"/>
        </w:rPr>
        <w:t>一是</w:t>
      </w:r>
      <w:r>
        <w:rPr>
          <w:rFonts w:hint="eastAsia" w:ascii="仿宋_GB2312" w:hAnsi="Times New Roman" w:eastAsia="仿宋_GB2312" w:cs="Times New Roman"/>
          <w:sz w:val="32"/>
          <w:szCs w:val="32"/>
          <w:highlight w:val="none"/>
        </w:rPr>
        <w:t>坚决落实“过紧日子”要求，严控债务规模和债务风险等级，加强政府性投资项目决策风险防控，</w:t>
      </w:r>
      <w:r>
        <w:rPr>
          <w:rFonts w:hint="eastAsia" w:ascii="仿宋_GB2312" w:hAnsi="Times New Roman" w:eastAsia="仿宋_GB2312" w:cs="Times New Roman"/>
          <w:sz w:val="32"/>
          <w:szCs w:val="32"/>
          <w:highlight w:val="none"/>
          <w:lang w:eastAsia="zh-CN"/>
        </w:rPr>
        <w:t>落实</w:t>
      </w:r>
      <w:r>
        <w:rPr>
          <w:rFonts w:hint="eastAsia" w:ascii="仿宋_GB2312" w:hAnsi="Times New Roman" w:eastAsia="仿宋_GB2312" w:cs="Times New Roman"/>
          <w:sz w:val="32"/>
          <w:szCs w:val="32"/>
          <w:highlight w:val="none"/>
        </w:rPr>
        <w:t>政府投资项目立项财政承受能力评估，实行政府举债终身问责和债务问题倒查机制，严禁超出财力铺摊子、上项目，对违规举债行为严肃追责问责。</w:t>
      </w:r>
      <w:r>
        <w:rPr>
          <w:rFonts w:hint="eastAsia" w:ascii="仿宋_GB2312" w:hAnsi="Times New Roman" w:eastAsia="仿宋_GB2312" w:cs="Times New Roman"/>
          <w:b/>
          <w:bCs/>
          <w:sz w:val="32"/>
          <w:szCs w:val="32"/>
          <w:highlight w:val="none"/>
          <w:lang w:eastAsia="zh-CN"/>
        </w:rPr>
        <w:t>二是</w:t>
      </w:r>
      <w:r>
        <w:rPr>
          <w:rFonts w:hint="eastAsia" w:ascii="仿宋_GB2312" w:hAnsi="Times New Roman" w:eastAsia="仿宋_GB2312" w:cs="Times New Roman"/>
          <w:sz w:val="32"/>
          <w:szCs w:val="32"/>
          <w:highlight w:val="none"/>
        </w:rPr>
        <w:t>加强常态化全口径债务风险监测，落实</w:t>
      </w:r>
      <w:r>
        <w:rPr>
          <w:rFonts w:hint="eastAsia" w:ascii="仿宋_GB2312" w:hAnsi="Times New Roman" w:eastAsia="仿宋_GB2312" w:cs="Times New Roman"/>
          <w:sz w:val="32"/>
          <w:szCs w:val="32"/>
          <w:highlight w:val="none"/>
          <w:lang w:eastAsia="zh-CN"/>
        </w:rPr>
        <w:t>新</w:t>
      </w:r>
      <w:r>
        <w:rPr>
          <w:rFonts w:hint="eastAsia" w:ascii="仿宋_GB2312" w:hAnsi="Times New Roman" w:eastAsia="仿宋_GB2312" w:cs="Times New Roman"/>
          <w:sz w:val="32"/>
          <w:szCs w:val="32"/>
          <w:highlight w:val="none"/>
        </w:rPr>
        <w:t>化债方案，坚决遏制政府债务增量，妥善化解存量债务，努力优化期限结构、降低利息负担，逐步缓释债务风险。</w:t>
      </w:r>
      <w:r>
        <w:rPr>
          <w:rFonts w:hint="eastAsia" w:ascii="仿宋_GB2312" w:hAnsi="Times New Roman" w:eastAsia="仿宋_GB2312" w:cs="Times New Roman"/>
          <w:b/>
          <w:bCs/>
          <w:sz w:val="32"/>
          <w:szCs w:val="32"/>
          <w:highlight w:val="none"/>
          <w:lang w:eastAsia="zh-CN"/>
        </w:rPr>
        <w:t>三是</w:t>
      </w:r>
      <w:r>
        <w:rPr>
          <w:rFonts w:hint="eastAsia" w:ascii="仿宋_GB2312" w:hAnsi="Times New Roman" w:eastAsia="仿宋_GB2312" w:cs="Times New Roman"/>
          <w:sz w:val="32"/>
          <w:szCs w:val="32"/>
          <w:highlight w:val="none"/>
          <w:lang w:eastAsia="zh-CN"/>
        </w:rPr>
        <w:t>做好专项债券用于土地储备工作。使用专项债券回收符合条件的闲置存量土地和用于新增的土地储备项目，从而充分调节土地市场的供需关系，减少闲置土地，增强对土地供给的调控能力，缓解地方政府和房地产企业的流动性和债务压力。</w:t>
      </w:r>
      <w:r>
        <w:rPr>
          <w:rFonts w:hint="eastAsia" w:ascii="仿宋_GB2312" w:hAnsi="Times New Roman" w:eastAsia="仿宋_GB2312" w:cs="Times New Roman"/>
          <w:b/>
          <w:bCs/>
          <w:sz w:val="32"/>
          <w:szCs w:val="32"/>
          <w:highlight w:val="none"/>
          <w:lang w:eastAsia="zh-CN"/>
        </w:rPr>
        <w:t>四是</w:t>
      </w:r>
      <w:r>
        <w:rPr>
          <w:rFonts w:hint="eastAsia" w:ascii="仿宋_GB2312" w:hAnsi="Times New Roman" w:eastAsia="仿宋_GB2312" w:cs="Times New Roman"/>
          <w:sz w:val="32"/>
          <w:szCs w:val="32"/>
          <w:highlight w:val="none"/>
          <w:lang w:eastAsia="zh-CN"/>
        </w:rPr>
        <w:t>有序推进融资平台压降，为</w:t>
      </w:r>
      <w:r>
        <w:rPr>
          <w:rFonts w:hint="eastAsia" w:ascii="仿宋_GB2312" w:hAnsi="Times New Roman" w:eastAsia="仿宋_GB2312" w:cs="Times New Roman"/>
          <w:sz w:val="32"/>
          <w:szCs w:val="32"/>
          <w:highlight w:val="none"/>
          <w:lang w:val="en-US" w:eastAsia="zh-CN"/>
        </w:rPr>
        <w:t>2026年融资平台清零打下扎实基础。</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Times New Roman" w:eastAsia="仿宋_GB2312" w:cs="Times New Roman"/>
          <w:color w:val="000000"/>
          <w:sz w:val="32"/>
          <w:szCs w:val="32"/>
          <w:highlight w:val="none"/>
        </w:rPr>
      </w:pPr>
      <w:r>
        <w:rPr>
          <w:rFonts w:hint="eastAsia" w:ascii="仿宋_GB2312" w:hAnsi="Times New Roman" w:eastAsia="仿宋_GB2312" w:cs="Times New Roman"/>
          <w:sz w:val="32"/>
          <w:szCs w:val="32"/>
          <w:highlight w:val="none"/>
          <w:lang w:eastAsia="zh-CN"/>
        </w:rPr>
        <w:t>各位代表</w:t>
      </w:r>
      <w:r>
        <w:rPr>
          <w:rFonts w:hint="eastAsia" w:ascii="仿宋_GB2312" w:hAnsi="Times New Roman" w:eastAsia="仿宋_GB2312" w:cs="Times New Roman"/>
          <w:sz w:val="32"/>
          <w:szCs w:val="32"/>
          <w:highlight w:val="none"/>
        </w:rPr>
        <w:t>，202</w:t>
      </w:r>
      <w:r>
        <w:rPr>
          <w:rFonts w:hint="eastAsia" w:ascii="仿宋_GB2312" w:hAnsi="Times New Roman" w:eastAsia="仿宋_GB2312" w:cs="Times New Roman"/>
          <w:sz w:val="32"/>
          <w:szCs w:val="32"/>
          <w:highlight w:val="none"/>
          <w:lang w:val="en-US" w:eastAsia="zh-CN"/>
        </w:rPr>
        <w:t>5</w:t>
      </w:r>
      <w:r>
        <w:rPr>
          <w:rFonts w:hint="eastAsia" w:ascii="仿宋_GB2312" w:hAnsi="Times New Roman" w:eastAsia="仿宋_GB2312" w:cs="Times New Roman"/>
          <w:sz w:val="32"/>
          <w:szCs w:val="32"/>
          <w:highlight w:val="none"/>
        </w:rPr>
        <w:t>年是实现“十四五”规划目标的</w:t>
      </w:r>
      <w:r>
        <w:rPr>
          <w:rFonts w:hint="eastAsia" w:ascii="仿宋_GB2312" w:hAnsi="Times New Roman" w:eastAsia="仿宋_GB2312" w:cs="Times New Roman"/>
          <w:sz w:val="32"/>
          <w:szCs w:val="32"/>
          <w:highlight w:val="none"/>
          <w:lang w:eastAsia="zh-CN"/>
        </w:rPr>
        <w:t>决胜</w:t>
      </w:r>
      <w:r>
        <w:rPr>
          <w:rFonts w:hint="eastAsia" w:ascii="仿宋_GB2312" w:hAnsi="Times New Roman" w:eastAsia="仿宋_GB2312" w:cs="Times New Roman"/>
          <w:sz w:val="32"/>
          <w:szCs w:val="32"/>
          <w:highlight w:val="none"/>
        </w:rPr>
        <w:t>之年。我们将在区委的坚强领导和区人大、区政协的监督支持下，精心安排促发展、精准施策提效能，埋头苦干、勇毅前行，扎实做好财政各项工作，全方位推进高质量发展超越，以实际行动</w:t>
      </w:r>
      <w:r>
        <w:rPr>
          <w:rFonts w:hint="eastAsia" w:ascii="仿宋_GB2312" w:hAnsi="Times New Roman" w:eastAsia="仿宋_GB2312" w:cs="Times New Roman"/>
          <w:sz w:val="32"/>
          <w:szCs w:val="32"/>
          <w:highlight w:val="none"/>
          <w:lang w:eastAsia="zh-CN"/>
        </w:rPr>
        <w:t>助力</w:t>
      </w:r>
      <w:r>
        <w:rPr>
          <w:rFonts w:hint="eastAsia" w:ascii="仿宋_GB2312" w:hAnsi="Times New Roman" w:eastAsia="仿宋_GB2312" w:cs="Times New Roman"/>
          <w:color w:val="000000"/>
          <w:sz w:val="32"/>
          <w:szCs w:val="32"/>
          <w:highlight w:val="none"/>
        </w:rPr>
        <w:t>资阳经济健康运行！</w:t>
      </w:r>
    </w:p>
    <w:p>
      <w:pPr>
        <w:keepNext w:val="0"/>
        <w:keepLines w:val="0"/>
        <w:pageBreakBefore w:val="0"/>
        <w:widowControl w:val="0"/>
        <w:kinsoku/>
        <w:wordWrap/>
        <w:overflowPunct/>
        <w:topLinePunct w:val="0"/>
        <w:bidi w:val="0"/>
        <w:snapToGrid/>
        <w:spacing w:line="560" w:lineRule="exact"/>
        <w:ind w:firstLine="640" w:firstLineChars="200"/>
        <w:textAlignment w:val="auto"/>
        <w:rPr>
          <w:highlight w:val="none"/>
        </w:rPr>
      </w:pPr>
      <w:r>
        <w:rPr>
          <w:rFonts w:hint="eastAsia" w:ascii="仿宋_GB2312" w:hAnsi="Times New Roman" w:eastAsia="仿宋_GB2312" w:cs="Times New Roman"/>
          <w:sz w:val="32"/>
          <w:szCs w:val="32"/>
          <w:highlight w:val="none"/>
        </w:rPr>
        <w:t>以上报告，请予审议。</w:t>
      </w:r>
    </w:p>
    <w:sectPr>
      <w:headerReference r:id="rId3" w:type="default"/>
      <w:footerReference r:id="rId4" w:type="default"/>
      <w:footerReference r:id="rId5" w:type="even"/>
      <w:pgSz w:w="11905" w:h="16838"/>
      <w:pgMar w:top="1417" w:right="1417" w:bottom="1417" w:left="1417" w:header="1134" w:footer="1134"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689" w:wrap="around" w:vAnchor="text" w:hAnchor="margin" w:xAlign="center" w:y="1"/>
      <w:widowControl w:val="0"/>
      <w:tabs>
        <w:tab w:val="center" w:pos="4153"/>
        <w:tab w:val="right" w:pos="8306"/>
      </w:tabs>
      <w:snapToGrid w:val="0"/>
      <w:jc w:val="center"/>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 </w:t>
    </w:r>
    <w:r>
      <w:rPr>
        <w:rFonts w:ascii="Times New Roman" w:hAnsi="Times New Roman" w:eastAsia="宋体" w:cs="Times New Roman"/>
        <w:kern w:val="2"/>
        <w:sz w:val="24"/>
        <w:szCs w:val="24"/>
        <w:lang w:val="en-US" w:eastAsia="zh-CN" w:bidi="ar-SA"/>
      </w:rPr>
      <w:fldChar w:fldCharType="begin"/>
    </w:r>
    <w:r>
      <w:rPr>
        <w:rFonts w:ascii="Times New Roman" w:hAnsi="Times New Roman" w:eastAsia="宋体" w:cs="Times New Roman"/>
        <w:kern w:val="2"/>
        <w:sz w:val="24"/>
        <w:szCs w:val="24"/>
        <w:lang w:val="en-US" w:eastAsia="zh-CN" w:bidi="ar-SA"/>
      </w:rPr>
      <w:instrText xml:space="preserve">PAGE  </w:instrText>
    </w:r>
    <w:r>
      <w:rPr>
        <w:rFonts w:ascii="Times New Roman" w:hAnsi="Times New Roman" w:eastAsia="宋体" w:cs="Times New Roman"/>
        <w:kern w:val="2"/>
        <w:sz w:val="24"/>
        <w:szCs w:val="24"/>
        <w:lang w:val="en-US" w:eastAsia="zh-CN" w:bidi="ar-SA"/>
      </w:rPr>
      <w:fldChar w:fldCharType="separate"/>
    </w:r>
    <w:r>
      <w:rPr>
        <w:rFonts w:ascii="Times New Roman" w:hAnsi="Times New Roman" w:eastAsia="宋体" w:cs="Times New Roman"/>
        <w:kern w:val="2"/>
        <w:sz w:val="24"/>
        <w:szCs w:val="24"/>
        <w:lang w:val="en-US" w:eastAsia="zh-CN" w:bidi="ar-SA"/>
      </w:rPr>
      <w:t>1</w:t>
    </w:r>
    <w:r>
      <w:rPr>
        <w:rFonts w:ascii="Times New Roman" w:hAnsi="Times New Roman" w:eastAsia="宋体" w:cs="Times New Roman"/>
        <w:kern w:val="2"/>
        <w:sz w:val="24"/>
        <w:szCs w:val="24"/>
        <w:lang w:val="en-US" w:eastAsia="zh-CN" w:bidi="ar-SA"/>
      </w:rPr>
      <w:fldChar w:fldCharType="end"/>
    </w:r>
    <w:r>
      <w:rPr>
        <w:rFonts w:hint="eastAsia" w:ascii="Times New Roman" w:hAnsi="Times New Roman" w:eastAsia="宋体" w:cs="Times New Roman"/>
        <w:kern w:val="2"/>
        <w:sz w:val="24"/>
        <w:szCs w:val="24"/>
        <w:lang w:val="en-US" w:eastAsia="zh-CN" w:bidi="ar-SA"/>
      </w:rPr>
      <w:t>-</w:t>
    </w:r>
  </w:p>
  <w:p>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21"/>
        <w:szCs w:val="24"/>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21"/>
        <w:szCs w:val="24"/>
        <w:lang w:val="en-US" w:eastAsia="zh-CN" w:bidi="ar-SA"/>
      </w:rPr>
      <w:t>1</w:t>
    </w:r>
    <w:r>
      <w:rPr>
        <w:rFonts w:ascii="Times New Roman" w:hAnsi="Times New Roman" w:eastAsia="宋体" w:cs="Times New Roman"/>
        <w:kern w:val="2"/>
        <w:sz w:val="18"/>
        <w:szCs w:val="18"/>
        <w:lang w:val="en-US" w:eastAsia="zh-CN" w:bidi="ar-SA"/>
      </w:rPr>
      <w:fldChar w:fldCharType="end"/>
    </w:r>
  </w:p>
  <w:p>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tabs>
        <w:tab w:val="center" w:pos="4153"/>
        <w:tab w:val="right" w:pos="8306"/>
      </w:tabs>
      <w:snapToGrid w:val="0"/>
      <w:jc w:val="center"/>
      <w:rPr>
        <w:rFonts w:ascii="Times New Roman" w:hAnsi="Times New Roman" w:eastAsia="宋体" w:cs="Times New Roman"/>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jZjg5ODIzZDdjM2VkYzRkY2UyZWFlZDdlYTBlN2QifQ=="/>
    <w:docVar w:name="KSO_WPS_MARK_KEY" w:val="42d255b7-8687-488e-9abc-12d4c6057b4a"/>
  </w:docVars>
  <w:rsids>
    <w:rsidRoot w:val="02FC1311"/>
    <w:rsid w:val="02FC1311"/>
    <w:rsid w:val="03131400"/>
    <w:rsid w:val="03134265"/>
    <w:rsid w:val="03EC2ECE"/>
    <w:rsid w:val="04E36026"/>
    <w:rsid w:val="087D18AA"/>
    <w:rsid w:val="0CA160A8"/>
    <w:rsid w:val="11A8771C"/>
    <w:rsid w:val="11FB2F08"/>
    <w:rsid w:val="156668EF"/>
    <w:rsid w:val="178B5E8C"/>
    <w:rsid w:val="19756268"/>
    <w:rsid w:val="1A1F2E89"/>
    <w:rsid w:val="206E182A"/>
    <w:rsid w:val="21D829A3"/>
    <w:rsid w:val="21F52495"/>
    <w:rsid w:val="2354759E"/>
    <w:rsid w:val="29787DAB"/>
    <w:rsid w:val="2B302AB3"/>
    <w:rsid w:val="2E074309"/>
    <w:rsid w:val="30DD5062"/>
    <w:rsid w:val="33220E3F"/>
    <w:rsid w:val="346F7B78"/>
    <w:rsid w:val="34F94E10"/>
    <w:rsid w:val="356106C9"/>
    <w:rsid w:val="35EC4D19"/>
    <w:rsid w:val="37AF37E6"/>
    <w:rsid w:val="3EEC03E9"/>
    <w:rsid w:val="3F15027D"/>
    <w:rsid w:val="423810FE"/>
    <w:rsid w:val="424272D1"/>
    <w:rsid w:val="4799147E"/>
    <w:rsid w:val="4AFB39B9"/>
    <w:rsid w:val="4C391EB0"/>
    <w:rsid w:val="52F92DD0"/>
    <w:rsid w:val="53230CE4"/>
    <w:rsid w:val="56A125F2"/>
    <w:rsid w:val="58BB77F2"/>
    <w:rsid w:val="5C2D336B"/>
    <w:rsid w:val="5FB40230"/>
    <w:rsid w:val="65EE3F35"/>
    <w:rsid w:val="66A80ACD"/>
    <w:rsid w:val="68CD50A3"/>
    <w:rsid w:val="69DE1D9F"/>
    <w:rsid w:val="6BB12C70"/>
    <w:rsid w:val="6C0C7393"/>
    <w:rsid w:val="6C3F7698"/>
    <w:rsid w:val="6FAC2589"/>
    <w:rsid w:val="721E1928"/>
    <w:rsid w:val="746E15D6"/>
    <w:rsid w:val="750A0F89"/>
    <w:rsid w:val="778273D8"/>
    <w:rsid w:val="791D1BAE"/>
    <w:rsid w:val="7934379F"/>
    <w:rsid w:val="7A3F275A"/>
    <w:rsid w:val="7A654E9E"/>
    <w:rsid w:val="7D7167EB"/>
    <w:rsid w:val="7F4B5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7055</Words>
  <Characters>7784</Characters>
  <Lines>0</Lines>
  <Paragraphs>0</Paragraphs>
  <TotalTime>19</TotalTime>
  <ScaleCrop>false</ScaleCrop>
  <LinksUpToDate>false</LinksUpToDate>
  <CharactersWithSpaces>7789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2024-11-29T00:57:00Z</dcterms:created>
  <dc:creator>企业用户_614130758</dc:creator>
  <cp:lastModifiedBy>Administrator</cp:lastModifiedBy>
  <cp:lastPrinted>2024-12-06T00:23:00Z</cp:lastPrinted>
  <dcterms:modified xsi:type="dcterms:W3CDTF">2026-01-13T08:10:01Z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AE007F9A79C14870973B52919240507D_13</vt:lpwstr>
  </property>
</Properties>
</file>