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ind w:firstLine="800" w:firstLineChars="250"/>
        <w:jc w:val="center"/>
        <w:rPr>
          <w:rFonts w:ascii="宋体" w:hAnsi="宋体"/>
          <w:kern w:val="0"/>
          <w:sz w:val="32"/>
          <w:szCs w:val="32"/>
        </w:rPr>
      </w:pPr>
      <w:r>
        <w:rPr>
          <w:rFonts w:hint="eastAsia" w:ascii="宋体" w:hAnsi="宋体"/>
          <w:kern w:val="0"/>
          <w:sz w:val="32"/>
          <w:szCs w:val="32"/>
        </w:rPr>
        <w:t>益阳市资阳区工业和信息化局20</w:t>
      </w:r>
      <w:r>
        <w:rPr>
          <w:rFonts w:hint="eastAsia" w:ascii="宋体" w:hAnsi="宋体"/>
          <w:kern w:val="0"/>
          <w:sz w:val="32"/>
          <w:szCs w:val="32"/>
          <w:lang w:val="en-US" w:eastAsia="zh-CN"/>
        </w:rPr>
        <w:t>21</w:t>
      </w:r>
      <w:r>
        <w:rPr>
          <w:rFonts w:hint="eastAsia" w:ascii="宋体" w:hAnsi="宋体"/>
          <w:kern w:val="0"/>
          <w:sz w:val="32"/>
          <w:szCs w:val="32"/>
        </w:rPr>
        <w:t>年预算绩效</w:t>
      </w:r>
    </w:p>
    <w:p>
      <w:pPr>
        <w:autoSpaceDE w:val="0"/>
        <w:ind w:firstLine="800" w:firstLineChars="250"/>
        <w:jc w:val="center"/>
        <w:rPr>
          <w:rFonts w:hint="eastAsia" w:ascii="宋体" w:hAnsi="宋体"/>
          <w:kern w:val="0"/>
          <w:sz w:val="32"/>
          <w:szCs w:val="32"/>
        </w:rPr>
      </w:pPr>
      <w:r>
        <w:rPr>
          <w:rFonts w:hint="eastAsia" w:ascii="宋体" w:hAnsi="宋体"/>
          <w:kern w:val="0"/>
          <w:sz w:val="32"/>
          <w:szCs w:val="32"/>
        </w:rPr>
        <w:t>自评报告</w:t>
      </w:r>
    </w:p>
    <w:p>
      <w:pPr>
        <w:autoSpaceDE w:val="0"/>
        <w:ind w:firstLine="800" w:firstLineChars="25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为进一步规范财政资金管理，牢固树立预算绩效理念，强化支出责任，提高财政资金使用效益，按照资阳区财政局文件要求，我局对2021年度部门预算整体支出情况进行了自我评价，情况报告如下：</w:t>
      </w:r>
    </w:p>
    <w:p>
      <w:pPr>
        <w:autoSpaceDE w:val="0"/>
        <w:ind w:firstLine="800" w:firstLineChars="25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一、基本情况</w:t>
      </w:r>
    </w:p>
    <w:p>
      <w:pPr>
        <w:autoSpaceDE w:val="0"/>
        <w:ind w:firstLine="800" w:firstLineChars="25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区工信局为独立核算、财政预算一级拨款单位，内设科室6个：办公室（人事股、审计股、老干股）、投资股（推进新型工业化办公室园区办公室）、民营经济服务股、经济运行股（节能与综合利用股）、信息化股（电子通信股、工业互联网与数字产业股）、综合股（企改办、信访股、墙改办、法规股）。2021年末，我局实有编制人数33人，退休人员75人，共计108人。</w:t>
      </w:r>
    </w:p>
    <w:p>
      <w:pPr>
        <w:autoSpaceDE w:val="0"/>
        <w:ind w:firstLine="480" w:firstLineChars="15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（一）部门整体支出概况</w:t>
      </w:r>
    </w:p>
    <w:p>
      <w:pPr>
        <w:widowControl/>
        <w:autoSpaceDE w:val="0"/>
        <w:ind w:firstLine="640" w:firstLineChars="200"/>
        <w:jc w:val="left"/>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1、收入预算：2021年年初预算数480.83万元，其中，一般公共预算拨款407.37万元；一般公共预算拨款-纳入公共预算管理的非税收入拨款73.45万元；纳入专户管理的非税收入拨款0万元，上级补助资金安排0万元；附属单位上缴收入安排0万元，事业单位经营服务收入0万元，其他收入0.01万元；政府性基金拨款0万元，结转结余安排0万元。收入较去年减少56.85万元，主要原因是预算收入中其他收入减少。</w:t>
      </w:r>
    </w:p>
    <w:p>
      <w:pPr>
        <w:widowControl/>
        <w:autoSpaceDE w:val="0"/>
        <w:ind w:firstLine="640" w:firstLineChars="200"/>
        <w:jc w:val="left"/>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2、支出预算：2021年年初预算数480.83万元，其中，一般公共服务支出0万元，社会保障和就业支出38.4万元，卫生健康支出68.61万元，资源勘探信息等支出346.93万元，住房保障支出26.89万元。主要原因是预算收入中其他收入减少。</w:t>
      </w:r>
    </w:p>
    <w:p>
      <w:pPr>
        <w:widowControl/>
        <w:autoSpaceDE w:val="0"/>
        <w:ind w:firstLine="640" w:firstLineChars="20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项目支出：2021年年初预算数为44.6万元，是指单位为完成特定行政工作任务或事业发展目标发生的支出。其中：新型工业化18.6万元，主要用于完成好工业增加值、工业企业实缴税金、园区规模工业增加值占规模工业增加值比重、资源节约、环保、科技创新、工业固定资产投资、战略性新兴产业、工业新兴优势产业链建设等新型工业化工作费用；规模工业企业经济调度10万元，主要用于为规模工业企业搞好经济调度、培训等；企业改制、维稳4万元，主要用于改制企业信访维稳等方面；园区办建设5万元；老干部工作经费7万元，主要用于局机关退休人员的各项福利待遇等。</w:t>
      </w:r>
    </w:p>
    <w:p>
      <w:pPr>
        <w:widowControl/>
        <w:autoSpaceDE w:val="0"/>
        <w:ind w:firstLine="640" w:firstLineChars="20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（二）整体支出绩效目标</w:t>
      </w:r>
    </w:p>
    <w:p>
      <w:pPr>
        <w:widowControl/>
        <w:autoSpaceDE w:val="0"/>
        <w:ind w:firstLine="640" w:firstLineChars="20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预决算公开：2021年，按照上级的要求，我局在资阳公众信息网进行了预决算公开。</w:t>
      </w:r>
    </w:p>
    <w:p>
      <w:pPr>
        <w:widowControl/>
        <w:autoSpaceDE w:val="0"/>
        <w:ind w:firstLine="640" w:firstLineChars="20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三公经费”控制情况：贯彻落实上级有关精神，严格控制“三公经费”支出，取得了良好效果。年度预算“三公”经费1万元，其中，公务接待费1万元，公务用车运行费0万元，因公出国（境）费为0万元。而决算中实际只有公务接待费0万元。同时，按照上级的要求，在资阳公众网上对“三公”经费情况进行了公示。</w:t>
      </w:r>
    </w:p>
    <w:p>
      <w:pPr>
        <w:widowControl/>
        <w:shd w:val="clear" w:color="auto" w:fill="FFFFFF"/>
        <w:autoSpaceDE w:val="0"/>
        <w:ind w:firstLine="64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内部管理制度建设情况：近年来，我局制定、完善了《资阳区工信局工作纪律管理制度》等一系列内部制度。</w:t>
      </w:r>
    </w:p>
    <w:p>
      <w:pPr>
        <w:widowControl/>
        <w:shd w:val="clear" w:color="auto" w:fill="FFFFFF"/>
        <w:autoSpaceDE w:val="0"/>
        <w:ind w:firstLine="64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（三）部门整体支出情况分析</w:t>
      </w:r>
    </w:p>
    <w:p>
      <w:pPr>
        <w:widowControl/>
        <w:shd w:val="clear" w:color="auto" w:fill="FFFFFF"/>
        <w:autoSpaceDE w:val="0"/>
        <w:ind w:firstLine="64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从整体情况来看，我局严格按照年初预算进行部门整体支出。在支出过程中，能严格遵守各项规章制度，“三公经费”明显下降。</w:t>
      </w:r>
    </w:p>
    <w:p>
      <w:pPr>
        <w:widowControl/>
        <w:shd w:val="clear" w:color="auto" w:fill="FFFFFF"/>
        <w:autoSpaceDE w:val="0"/>
        <w:ind w:firstLine="64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二、绩效评价工作情况</w:t>
      </w:r>
    </w:p>
    <w:p>
      <w:pPr>
        <w:widowControl/>
        <w:shd w:val="clear" w:color="auto" w:fill="FFFFFF"/>
        <w:autoSpaceDE w:val="0"/>
        <w:ind w:firstLine="640" w:firstLineChars="20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（一）绩效评价目的：严格落实《预算法》及省、市、区绩效管理工作的有关规定，进一步规范财政资金的管理，强化财政支出绩效理念，提升部门责任意识，提高资金使用效益，促进工信工作的稳步发展。</w:t>
      </w:r>
    </w:p>
    <w:p>
      <w:pPr>
        <w:widowControl/>
        <w:shd w:val="clear" w:color="auto" w:fill="FFFFFF"/>
        <w:autoSpaceDE w:val="0"/>
        <w:ind w:firstLine="640"/>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（二）绩效评价的主要过程：根据绩效评价的要求，我局成立了自评工作领导小组，由一把手任组长。在自评过程发现问题，查找原因，及时纠正偏差，为下步工作夯实基础。</w:t>
      </w:r>
    </w:p>
    <w:p>
      <w:pPr>
        <w:widowControl/>
        <w:shd w:val="clear" w:color="auto" w:fill="FFFFFF"/>
        <w:autoSpaceDE w:val="0"/>
        <w:ind w:firstLine="640"/>
        <w:rPr>
          <w:rFonts w:hint="eastAsia" w:ascii="宋体" w:hAnsi="宋体" w:eastAsia="宋体" w:cs="宋体"/>
          <w:kern w:val="0"/>
          <w:sz w:val="32"/>
          <w:szCs w:val="32"/>
        </w:rPr>
      </w:pPr>
      <w:r>
        <w:rPr>
          <w:rFonts w:hint="eastAsia" w:ascii="宋体" w:hAnsi="宋体" w:eastAsia="宋体" w:cs="宋体"/>
          <w:kern w:val="0"/>
          <w:sz w:val="32"/>
          <w:szCs w:val="32"/>
          <w:lang w:eastAsia="zh-CN"/>
        </w:rPr>
        <w:t>三、</w:t>
      </w:r>
      <w:r>
        <w:rPr>
          <w:rFonts w:hint="eastAsia" w:ascii="宋体" w:hAnsi="宋体" w:eastAsia="宋体" w:cs="宋体"/>
          <w:kern w:val="0"/>
          <w:sz w:val="32"/>
          <w:szCs w:val="32"/>
        </w:rPr>
        <w:t>主要绩效及评价结论</w:t>
      </w:r>
    </w:p>
    <w:p>
      <w:pPr>
        <w:pStyle w:val="5"/>
        <w:widowControl w:val="0"/>
        <w:spacing w:line="240" w:lineRule="auto"/>
        <w:ind w:firstLine="640" w:firstLineChars="200"/>
        <w:jc w:val="both"/>
        <w:textAlignment w:val="auto"/>
        <w:rPr>
          <w:rFonts w:hint="eastAsia" w:ascii="Times New Roman" w:hAnsi="Times New Roman" w:eastAsia="仿宋_GB2312" w:cs="Times New Roman"/>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今年以来，我局在区委、区政府的正确领导下，以习近平新时代中国特色社会主义思想和党的十九大精神为指导，以特色产业建设为抓手，以打造中国PCB“第三极”为目标，贯彻落实习近平总书记考察湖南重要讲话精神和“三高四新”发展战略，助推全区工业经济高质量发展，取得了较大成效。资阳区促进制造业高质量发展工作获评全省真抓实干督查激励先进。主要做好了如下几项工作：</w:t>
      </w:r>
    </w:p>
    <w:p>
      <w:pPr>
        <w:keepNext w:val="0"/>
        <w:keepLines w:val="0"/>
        <w:widowControl/>
        <w:numPr>
          <w:ilvl w:val="0"/>
          <w:numId w:val="0"/>
        </w:numPr>
        <w:suppressLineNumbers w:val="0"/>
        <w:ind w:firstLine="642" w:firstLineChars="200"/>
        <w:jc w:val="both"/>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1、加强工作调度，经济运行稳中有进。</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今年以来，我局深入贯彻落实习近平总书记考察湖南重要讲话精神，大力实施“三高四新”战略，以特色产业建设为抓手，以打造中国PCB“第三极”为目标，着力将资阳建设成湖南省先进制造业高地。全区现有规模工业企业162家，全年实现规模工业总产值444.7亿元，同比增长15.2%；规模工业增加值可比增速达10.8%；</w:t>
      </w:r>
      <w:r>
        <w:rPr>
          <w:rFonts w:hint="eastAsia" w:ascii="仿宋" w:hAnsi="仿宋" w:eastAsia="仿宋" w:cs="仿宋"/>
          <w:sz w:val="32"/>
          <w:szCs w:val="32"/>
          <w:lang w:val="en-US" w:eastAsia="zh-CN"/>
        </w:rPr>
        <w:t>工业投资增速为20.4%；工业技改增速为18.3%；工业税收增速为15.33%</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；制造业占比为45%；</w:t>
      </w:r>
      <w:r>
        <w:rPr>
          <w:rFonts w:hint="eastAsia" w:ascii="仿宋" w:hAnsi="仿宋" w:eastAsia="仿宋" w:cs="仿宋"/>
          <w:sz w:val="32"/>
          <w:szCs w:val="32"/>
          <w:lang w:val="en-US" w:eastAsia="zh-CN"/>
        </w:rPr>
        <w:t>新产品销售占比为7.8%</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。2021年，制造强省入库项目38个，申报成功22个；全年立项争资到位资金2002.08万元，超额完成立项争资任务。我们获评2021年度湖南工业数据云建设先进单位。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2" w:firstLineChars="200"/>
        <w:jc w:val="both"/>
        <w:textAlignment w:val="auto"/>
        <w:outlineLvl w:val="2"/>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2、打造园区特色，优势</w:t>
      </w:r>
      <w:r>
        <w:rPr>
          <w:rFonts w:hint="eastAsia" w:ascii="仿宋" w:hAnsi="仿宋" w:eastAsia="仿宋" w:cs="仿宋"/>
          <w:b/>
          <w:bCs/>
          <w:color w:val="000000" w:themeColor="text1"/>
          <w:sz w:val="32"/>
          <w:szCs w:val="32"/>
          <w:lang w:eastAsia="zh-CN"/>
          <w14:textFill>
            <w14:solidFill>
              <w14:schemeClr w14:val="tx1"/>
            </w14:solidFill>
          </w14:textFill>
        </w:rPr>
        <w:t>产业集聚明显。</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坚持走特色发展、差异发展之路，积极打造特色园区，按照省级园区“一主一特”原则，全力主攻电子电路板产业、重点发展装备制造产业。</w:t>
      </w:r>
      <w:r>
        <w:rPr>
          <w:rFonts w:hint="eastAsia" w:ascii="仿宋" w:hAnsi="仿宋" w:eastAsia="仿宋" w:cs="仿宋"/>
          <w:b/>
          <w:bCs/>
          <w:color w:val="000000" w:themeColor="text1"/>
          <w:sz w:val="32"/>
          <w:szCs w:val="32"/>
          <w:lang w:val="en-US" w:eastAsia="zh-CN"/>
          <w14:textFill>
            <w14:solidFill>
              <w14:schemeClr w14:val="tx1"/>
            </w14:solidFill>
          </w14:textFill>
        </w:rPr>
        <w:t>一是</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以PCB产业为重点，以奥士康、明正宏、维胜科技为龙头，借助于三类工业用地优势及湖南省电子电路板特色产业园区政策倾斜，打造独具特色的PCB产业集群。目前已开发PCB产业园区面积1800亩，入驻电子电路板企业36家，新引进PCB项目有高登电子、宝悦嘉电子、星之源电子等12个，PCB产业获批2021年湖南省先进制造业集群。</w:t>
      </w:r>
      <w:r>
        <w:rPr>
          <w:rFonts w:hint="eastAsia" w:ascii="仿宋" w:hAnsi="仿宋" w:eastAsia="仿宋" w:cs="仿宋"/>
          <w:b/>
          <w:bCs/>
          <w:color w:val="000000" w:themeColor="text1"/>
          <w:sz w:val="32"/>
          <w:szCs w:val="32"/>
          <w:lang w:val="en-US" w:eastAsia="zh-CN"/>
          <w14:textFill>
            <w14:solidFill>
              <w14:schemeClr w14:val="tx1"/>
            </w14:solidFill>
          </w14:textFill>
        </w:rPr>
        <w:t>二是</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以装备制造业为特色，大力实施“东接东融”发展战略，新引进了山河智能、精力机械、恒磊机械、翕悦机械等装备制造企业，为产业集群增添活力。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240" w:lineRule="auto"/>
        <w:ind w:firstLine="642" w:firstLineChars="200"/>
        <w:jc w:val="both"/>
        <w:textAlignment w:val="auto"/>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3、注重企业培育，重点企业做优做强。</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我局以提升企业竞争力为目标，集中力量培育壮大重点骨干企业。2021年，共培育工信部国家技术创新示范企业1家（奥士康）、工信部新一代信息技术与制造业融合发展试点示范企业1家（奥士康）、国家级“小巨人”企业2家（富佳科技、生力材料）、省级“小巨人”企业3家（明正宏、鸿源稀土、瀚鑫机械）、省级两化融合贯标试点企业2家（远大建筑、口味王），省级“上云上平台”标杆企业1家（朝阳电子）；省认定企业技术中心1个（明正宏）。奥士康获评第一届新湖南贡献奖先进集体、宇晶机器总经理杨佳葳获评第一届新湖南贡献奖先进个人，口味王入选2021湖南企业100强，口味王、奥士康入选2021湖南制造业企业100强。一大批企业技术创新能力、品牌影响力不断提升，成为我区工业经济高质量发展的中坚力量。</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240" w:lineRule="auto"/>
        <w:ind w:firstLine="642" w:firstLineChars="200"/>
        <w:jc w:val="both"/>
        <w:textAlignment w:val="auto"/>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4、优化营商环境，企业帮扶落实有效</w:t>
      </w:r>
      <w:r>
        <w:rPr>
          <w:rFonts w:hint="eastAsia" w:ascii="仿宋" w:hAnsi="仿宋" w:eastAsia="仿宋" w:cs="仿宋"/>
          <w:b/>
          <w:bCs/>
          <w:color w:val="000000" w:themeColor="text1"/>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2021年制定了企业精准帮扶工作方案、“纾困增效”专项行动方案，帮助企业解决问题35个。设立了企业入规扶持资金，给予每家新入规企业5万元扶持资金，提高企业入规积极性。参与了引进高层次实用型专业人才支持重点企业工作，对引进人才在事业编制、配偶工作、子女教学、五险一金等方面进行支持，目前已为奥士康、宇晶机器引进高层次人才4人，缓解了企业技术人员招聘难压力。联合区金融办与银行机构对接，为明正宏、鸿源稀土、诺泽生物等企业解决融资难题。实施高压“三省”服务，加快普及低压“三零”服务，精简办电流程，清理规范收费项目，持续优化电力环境。开通了新材料产业园至龙洲路迎宾路口103路公交线路，缓解了员工交通压力。</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642" w:firstLineChars="200"/>
        <w:jc w:val="both"/>
        <w:textAlignment w:val="auto"/>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kern w:val="2"/>
          <w:sz w:val="32"/>
          <w:szCs w:val="32"/>
          <w:lang w:val="en-US" w:eastAsia="zh-CN" w:bidi="ar-SA"/>
          <w14:textFill>
            <w14:solidFill>
              <w14:schemeClr w14:val="tx1"/>
            </w14:solidFill>
          </w14:textFill>
        </w:rPr>
        <w:t>5、积极统筹协调，各项工作有序开展。一是</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持续加快5G基站建设进度，今年新建5G基站72个，为城区提供稳定的5G网络。</w:t>
      </w:r>
      <w:r>
        <w:rPr>
          <w:rFonts w:hint="eastAsia" w:ascii="仿宋" w:hAnsi="仿宋" w:eastAsia="仿宋" w:cs="仿宋"/>
          <w:b/>
          <w:bCs/>
          <w:color w:val="auto"/>
          <w:kern w:val="2"/>
          <w:sz w:val="32"/>
          <w:szCs w:val="32"/>
          <w:highlight w:val="none"/>
          <w:lang w:val="en-US" w:eastAsia="zh-CN" w:bidi="ar"/>
        </w:rPr>
        <w:t>二是</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大力开展安全生产“百日攻坚”、安全生产风险“大排查大管控大整治”等专项整治行动，今年以来共排查问题隐患300余个，已全部整改到位，目前全区工业企业安全生产工作形势总体向好，没有发生任何安全生产事故。</w:t>
      </w:r>
      <w:r>
        <w:rPr>
          <w:rFonts w:hint="eastAsia" w:ascii="仿宋" w:hAnsi="仿宋" w:eastAsia="仿宋" w:cs="仿宋"/>
          <w:b/>
          <w:bCs/>
          <w:kern w:val="2"/>
          <w:sz w:val="32"/>
          <w:szCs w:val="32"/>
          <w:lang w:val="en-US" w:eastAsia="zh-CN" w:bidi="ar-SA"/>
        </w:rPr>
        <w:t>三是</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认真落实市蓝天办发布预警指令，组织企业实行错峰生产，提升城区空气质量；做好了沿江一公里的化工企业关闭、奥士康海绵铜生产线的拆除等各项环保工作，落实好了环保督察</w:t>
      </w:r>
      <w:bookmarkStart w:id="0" w:name="_GoBack"/>
      <w:bookmarkEnd w:id="0"/>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组反映的环保问题。</w:t>
      </w:r>
      <w:r>
        <w:rPr>
          <w:rFonts w:hint="eastAsia" w:ascii="仿宋" w:hAnsi="仿宋" w:eastAsia="仿宋" w:cs="仿宋"/>
          <w:b/>
          <w:bCs/>
          <w:color w:val="000000" w:themeColor="text1"/>
          <w:kern w:val="0"/>
          <w:sz w:val="32"/>
          <w:szCs w:val="32"/>
          <w:lang w:val="en-US" w:eastAsia="zh-CN" w:bidi="ar"/>
          <w14:textFill>
            <w14:solidFill>
              <w14:schemeClr w14:val="tx1"/>
            </w14:solidFill>
          </w14:textFill>
        </w:rPr>
        <w:t>四是</w:t>
      </w:r>
      <w:r>
        <w:rPr>
          <w:rFonts w:hint="eastAsia" w:ascii="仿宋" w:hAnsi="仿宋" w:eastAsia="仿宋" w:cs="仿宋"/>
          <w:b w:val="0"/>
          <w:bCs w:val="0"/>
          <w:color w:val="000000" w:themeColor="text1"/>
          <w:kern w:val="0"/>
          <w:sz w:val="32"/>
          <w:szCs w:val="32"/>
          <w:u w:color="000000"/>
          <w:lang w:val="en-US" w:eastAsia="zh-CN" w:bidi="ar-SA"/>
          <w14:textFill>
            <w14:solidFill>
              <w14:schemeClr w14:val="tx1"/>
            </w14:solidFill>
          </w14:textFill>
        </w:rPr>
        <w:t>制定了2021年拆迁工作计划，选派精兵强将充实到拆迁一线，石码头小学扩建项目提前1个月完成工作任务，3号地、11号地、12号地的拆迁工作稳步推进。五是持续推进乡村振兴工作。选派了4名干部驻村工作。根据帮扶对象存在的困难制定了一对一帮扶措施，及时掌握其家庭情况和动态信息，着力解决其急难愁盼问题。为帮扶村龙凤港村、龚家坪社区共解决资金12万元，助力乡村振兴。</w:t>
      </w:r>
    </w:p>
    <w:p>
      <w:pPr>
        <w:autoSpaceDE w:val="0"/>
        <w:ind w:firstLine="640" w:firstLineChars="200"/>
        <w:rPr>
          <w:rFonts w:hint="eastAsia" w:ascii="仿宋" w:hAnsi="仿宋" w:eastAsia="仿宋" w:cs="仿宋"/>
          <w:sz w:val="32"/>
          <w:szCs w:val="32"/>
        </w:rPr>
      </w:pPr>
      <w:r>
        <w:rPr>
          <w:rFonts w:hint="eastAsia" w:ascii="仿宋" w:hAnsi="仿宋" w:eastAsia="仿宋" w:cs="仿宋"/>
          <w:sz w:val="32"/>
          <w:szCs w:val="32"/>
        </w:rPr>
        <w:t>回顾一年的工作，</w:t>
      </w:r>
      <w:r>
        <w:rPr>
          <w:rFonts w:hint="eastAsia" w:ascii="仿宋" w:hAnsi="仿宋" w:eastAsia="仿宋" w:cs="仿宋"/>
          <w:sz w:val="32"/>
          <w:szCs w:val="32"/>
          <w:lang w:eastAsia="zh-CN"/>
        </w:rPr>
        <w:t>在</w:t>
      </w:r>
      <w:r>
        <w:rPr>
          <w:rFonts w:hint="eastAsia" w:ascii="仿宋" w:hAnsi="仿宋" w:eastAsia="仿宋" w:cs="仿宋"/>
          <w:sz w:val="32"/>
          <w:szCs w:val="32"/>
        </w:rPr>
        <w:t>区政府以及班子的正确领导</w:t>
      </w:r>
      <w:r>
        <w:rPr>
          <w:rFonts w:hint="eastAsia" w:ascii="仿宋" w:hAnsi="仿宋" w:eastAsia="仿宋" w:cs="仿宋"/>
          <w:sz w:val="32"/>
          <w:szCs w:val="32"/>
          <w:lang w:eastAsia="zh-CN"/>
        </w:rPr>
        <w:t>下</w:t>
      </w:r>
      <w:r>
        <w:rPr>
          <w:rFonts w:hint="eastAsia" w:ascii="仿宋" w:hAnsi="仿宋" w:eastAsia="仿宋" w:cs="仿宋"/>
          <w:sz w:val="32"/>
          <w:szCs w:val="32"/>
        </w:rPr>
        <w:t>，</w:t>
      </w:r>
      <w:r>
        <w:rPr>
          <w:rFonts w:hint="eastAsia" w:ascii="仿宋" w:hAnsi="仿宋" w:eastAsia="仿宋" w:cs="仿宋"/>
          <w:sz w:val="32"/>
          <w:szCs w:val="32"/>
          <w:lang w:eastAsia="zh-CN"/>
        </w:rPr>
        <w:t>经过</w:t>
      </w:r>
      <w:r>
        <w:rPr>
          <w:rFonts w:hint="eastAsia" w:ascii="仿宋" w:hAnsi="仿宋" w:eastAsia="仿宋" w:cs="仿宋"/>
          <w:sz w:val="32"/>
          <w:szCs w:val="32"/>
        </w:rPr>
        <w:t>大家的共同努力，我局在20</w:t>
      </w:r>
      <w:r>
        <w:rPr>
          <w:rFonts w:hint="eastAsia" w:ascii="仿宋" w:hAnsi="仿宋" w:eastAsia="仿宋" w:cs="仿宋"/>
          <w:sz w:val="32"/>
          <w:szCs w:val="32"/>
          <w:lang w:val="en-US" w:eastAsia="zh-CN"/>
        </w:rPr>
        <w:t>21</w:t>
      </w:r>
      <w:r>
        <w:rPr>
          <w:rFonts w:hint="eastAsia" w:ascii="仿宋" w:hAnsi="仿宋" w:eastAsia="仿宋" w:cs="仿宋"/>
          <w:sz w:val="32"/>
          <w:szCs w:val="32"/>
        </w:rPr>
        <w:t>年的绩效考核中被评为</w:t>
      </w:r>
      <w:r>
        <w:rPr>
          <w:rFonts w:hint="eastAsia" w:ascii="仿宋" w:hAnsi="仿宋" w:eastAsia="仿宋" w:cs="仿宋"/>
          <w:sz w:val="32"/>
          <w:szCs w:val="32"/>
          <w:lang w:eastAsia="zh-CN"/>
        </w:rPr>
        <w:t>一</w:t>
      </w:r>
      <w:r>
        <w:rPr>
          <w:rFonts w:hint="eastAsia" w:ascii="仿宋" w:hAnsi="仿宋" w:eastAsia="仿宋" w:cs="仿宋"/>
          <w:sz w:val="32"/>
          <w:szCs w:val="32"/>
        </w:rPr>
        <w:t>等奖。20</w:t>
      </w:r>
      <w:r>
        <w:rPr>
          <w:rFonts w:hint="eastAsia" w:ascii="仿宋" w:hAnsi="仿宋" w:eastAsia="仿宋" w:cs="仿宋"/>
          <w:sz w:val="32"/>
          <w:szCs w:val="32"/>
          <w:lang w:val="en-US" w:eastAsia="zh-CN"/>
        </w:rPr>
        <w:t>21</w:t>
      </w:r>
      <w:r>
        <w:rPr>
          <w:rFonts w:hint="eastAsia" w:ascii="仿宋" w:hAnsi="仿宋" w:eastAsia="仿宋" w:cs="仿宋"/>
          <w:sz w:val="32"/>
          <w:szCs w:val="32"/>
        </w:rPr>
        <w:t>年预算绩效自评分9</w:t>
      </w:r>
      <w:r>
        <w:rPr>
          <w:rFonts w:hint="eastAsia" w:ascii="仿宋" w:hAnsi="仿宋" w:eastAsia="仿宋" w:cs="仿宋"/>
          <w:sz w:val="32"/>
          <w:szCs w:val="32"/>
          <w:lang w:val="en-US" w:eastAsia="zh-CN"/>
        </w:rPr>
        <w:t>8</w:t>
      </w:r>
      <w:r>
        <w:rPr>
          <w:rFonts w:hint="eastAsia" w:ascii="仿宋" w:hAnsi="仿宋" w:eastAsia="仿宋" w:cs="仿宋"/>
          <w:sz w:val="32"/>
          <w:szCs w:val="32"/>
        </w:rPr>
        <w:t>分，等级为“优秀”。</w:t>
      </w:r>
    </w:p>
    <w:p>
      <w:pPr>
        <w:autoSpaceDE w:val="0"/>
        <w:ind w:firstLine="3360" w:firstLineChars="1050"/>
        <w:rPr>
          <w:rFonts w:hint="eastAsia" w:ascii="仿宋" w:hAnsi="仿宋" w:eastAsia="仿宋" w:cs="仿宋"/>
          <w:kern w:val="0"/>
          <w:sz w:val="32"/>
          <w:szCs w:val="32"/>
        </w:rPr>
      </w:pPr>
    </w:p>
    <w:p>
      <w:pPr>
        <w:autoSpaceDE w:val="0"/>
        <w:ind w:firstLine="3360" w:firstLineChars="1050"/>
        <w:rPr>
          <w:rFonts w:hint="eastAsia" w:ascii="仿宋" w:hAnsi="仿宋" w:eastAsia="仿宋" w:cs="仿宋"/>
          <w:kern w:val="0"/>
          <w:sz w:val="32"/>
          <w:szCs w:val="32"/>
        </w:rPr>
      </w:pPr>
    </w:p>
    <w:p>
      <w:pPr>
        <w:autoSpaceDE w:val="0"/>
        <w:ind w:firstLine="4000" w:firstLineChars="1250"/>
        <w:rPr>
          <w:rFonts w:hint="eastAsia" w:ascii="仿宋" w:hAnsi="仿宋" w:eastAsia="仿宋" w:cs="仿宋"/>
          <w:kern w:val="0"/>
          <w:sz w:val="32"/>
          <w:szCs w:val="32"/>
        </w:rPr>
      </w:pPr>
      <w:r>
        <w:rPr>
          <w:rFonts w:hint="eastAsia" w:ascii="仿宋" w:hAnsi="仿宋" w:eastAsia="仿宋" w:cs="仿宋"/>
          <w:kern w:val="0"/>
          <w:sz w:val="32"/>
          <w:szCs w:val="32"/>
        </w:rPr>
        <w:t>202</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9</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BKlyLzywEAAJwDAAAOAAAA&#10;AAAAAAEAIAAAADQBAABkcnMvZTJvRG9jLnhtbFBLBQYAAAAABgAGAFkBAABx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GFiYjg1NGQ2ODQwNDJkMTc1NWM3MWVjYTliNTUifQ=="/>
  </w:docVars>
  <w:rsids>
    <w:rsidRoot w:val="002C0E39"/>
    <w:rsid w:val="00187A55"/>
    <w:rsid w:val="002C0E39"/>
    <w:rsid w:val="030B70DA"/>
    <w:rsid w:val="14490118"/>
    <w:rsid w:val="15435DE6"/>
    <w:rsid w:val="187307E9"/>
    <w:rsid w:val="19B846CF"/>
    <w:rsid w:val="1F7413EB"/>
    <w:rsid w:val="207E11C8"/>
    <w:rsid w:val="251175E6"/>
    <w:rsid w:val="27766813"/>
    <w:rsid w:val="27E2731F"/>
    <w:rsid w:val="29340175"/>
    <w:rsid w:val="2B663492"/>
    <w:rsid w:val="2BE154D3"/>
    <w:rsid w:val="3BC96A15"/>
    <w:rsid w:val="3F367F1D"/>
    <w:rsid w:val="40497302"/>
    <w:rsid w:val="414F30D8"/>
    <w:rsid w:val="44B938DB"/>
    <w:rsid w:val="464B008D"/>
    <w:rsid w:val="49512083"/>
    <w:rsid w:val="4A716C3E"/>
    <w:rsid w:val="4B88511B"/>
    <w:rsid w:val="4E720846"/>
    <w:rsid w:val="50EA3BAB"/>
    <w:rsid w:val="53D66A11"/>
    <w:rsid w:val="5A2C4051"/>
    <w:rsid w:val="5F6149FC"/>
    <w:rsid w:val="66E83B22"/>
    <w:rsid w:val="6B220568"/>
    <w:rsid w:val="6C644A65"/>
    <w:rsid w:val="75F517F6"/>
    <w:rsid w:val="767135EB"/>
    <w:rsid w:val="7C54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4">
    <w:name w:val="Body Text"/>
    <w:basedOn w:val="1"/>
    <w:qFormat/>
    <w:uiPriority w:val="0"/>
    <w:pPr>
      <w:spacing w:after="120"/>
    </w:pPr>
    <w:rPr>
      <w:rFonts w:ascii="Calibri" w:hAnsi="Calibri" w:eastAsia="宋体" w:cs="Times New Roman"/>
    </w:rPr>
  </w:style>
  <w:style w:type="paragraph" w:styleId="5">
    <w:name w:val="Plain Text"/>
    <w:basedOn w:val="1"/>
    <w:qFormat/>
    <w:uiPriority w:val="99"/>
    <w:rPr>
      <w:rFonts w:ascii="宋体" w:hAnsi="Courier New" w:cs="Courier New"/>
      <w:szCs w:val="21"/>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ind w:firstLine="420" w:firstLineChars="1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3214</Words>
  <Characters>3404</Characters>
  <Lines>21</Lines>
  <Paragraphs>6</Paragraphs>
  <TotalTime>169</TotalTime>
  <ScaleCrop>false</ScaleCrop>
  <LinksUpToDate>false</LinksUpToDate>
  <CharactersWithSpaces>3404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2021-10-25T16:08:00Z</dcterms:created>
  <dc:creator>Administrator</dc:creator>
  <cp:lastModifiedBy>lx</cp:lastModifiedBy>
  <dcterms:modified xsi:type="dcterms:W3CDTF">2025-10-31T16:40:07Z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61092E7A49284FCFA0D7FD2C484847A0</vt:lpwstr>
  </property>
</Properties>
</file>