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700" w:lineRule="exact"/>
        <w:jc w:val="center"/>
        <w:rPr>
          <w:rFonts w:hint="eastAsia" w:ascii="方正小标宋简体" w:eastAsia="方正小标宋简体"/>
          <w:i w:val="0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i w:val="0"/>
          <w:color w:val="auto"/>
          <w:sz w:val="44"/>
          <w:szCs w:val="44"/>
          <w:highlight w:val="none"/>
        </w:rPr>
        <w:t>关于益阳市资阳区</w:t>
      </w:r>
      <w:r>
        <w:rPr>
          <w:rFonts w:hint="eastAsia" w:ascii="方正小标宋简体" w:eastAsia="方正小标宋简体"/>
          <w:i w:val="0"/>
          <w:color w:val="auto"/>
          <w:sz w:val="44"/>
          <w:szCs w:val="44"/>
          <w:highlight w:val="none"/>
          <w:lang w:eastAsia="zh-CN"/>
        </w:rPr>
        <w:t>2020</w:t>
      </w:r>
      <w:r>
        <w:rPr>
          <w:rFonts w:hint="eastAsia" w:ascii="方正小标宋简体" w:eastAsia="方正小标宋简体"/>
          <w:i w:val="0"/>
          <w:color w:val="auto"/>
          <w:sz w:val="44"/>
          <w:szCs w:val="44"/>
          <w:highlight w:val="none"/>
        </w:rPr>
        <w:t>年财政决算、</w:t>
      </w:r>
      <w:r>
        <w:rPr>
          <w:rFonts w:hint="eastAsia" w:ascii="方正小标宋简体" w:eastAsia="方正小标宋简体"/>
          <w:i w:val="0"/>
          <w:color w:val="auto"/>
          <w:sz w:val="44"/>
          <w:szCs w:val="44"/>
          <w:highlight w:val="none"/>
          <w:lang w:eastAsia="zh-CN"/>
        </w:rPr>
        <w:t>2021</w:t>
      </w:r>
      <w:r>
        <w:rPr>
          <w:rFonts w:hint="eastAsia" w:ascii="方正小标宋简体" w:eastAsia="方正小标宋简体"/>
          <w:i w:val="0"/>
          <w:color w:val="auto"/>
          <w:sz w:val="44"/>
          <w:szCs w:val="44"/>
          <w:highlight w:val="none"/>
        </w:rPr>
        <w:t>年上半年财政预算执行情况的报告</w:t>
      </w:r>
    </w:p>
    <w:p>
      <w:pPr>
        <w:spacing w:before="62" w:beforeLines="20" w:line="700" w:lineRule="exact"/>
        <w:jc w:val="center"/>
        <w:rPr>
          <w:rFonts w:hint="eastAsia" w:ascii="楷体_GB2312" w:eastAsia="楷体_GB2312"/>
          <w:color w:val="auto"/>
          <w:sz w:val="32"/>
          <w:highlight w:val="none"/>
        </w:rPr>
      </w:pPr>
      <w:r>
        <w:rPr>
          <w:rFonts w:hint="eastAsia" w:ascii="黑体" w:eastAsia="黑体"/>
          <w:color w:val="auto"/>
          <w:spacing w:val="-14"/>
          <w:sz w:val="32"/>
          <w:highlight w:val="none"/>
        </w:rPr>
        <w:t>——</w:t>
      </w:r>
      <w:r>
        <w:rPr>
          <w:rFonts w:hint="eastAsia" w:ascii="楷体_GB2312" w:eastAsia="楷体_GB2312"/>
          <w:color w:val="auto"/>
          <w:spacing w:val="-14"/>
          <w:sz w:val="32"/>
          <w:highlight w:val="none"/>
          <w:lang w:eastAsia="zh-CN"/>
        </w:rPr>
        <w:t>2021</w:t>
      </w:r>
      <w:r>
        <w:rPr>
          <w:rFonts w:hint="eastAsia" w:ascii="楷体_GB2312" w:eastAsia="楷体_GB2312"/>
          <w:color w:val="auto"/>
          <w:spacing w:val="-14"/>
          <w:sz w:val="32"/>
          <w:highlight w:val="none"/>
        </w:rPr>
        <w:t>年7月</w:t>
      </w:r>
      <w:r>
        <w:rPr>
          <w:rFonts w:hint="eastAsia" w:ascii="楷体_GB2312" w:eastAsia="楷体_GB2312"/>
          <w:color w:val="auto"/>
          <w:spacing w:val="-14"/>
          <w:sz w:val="32"/>
          <w:highlight w:val="none"/>
          <w:lang w:val="en-US" w:eastAsia="zh-CN"/>
        </w:rPr>
        <w:t xml:space="preserve">  </w:t>
      </w:r>
      <w:r>
        <w:rPr>
          <w:rFonts w:hint="eastAsia" w:ascii="楷体_GB2312" w:eastAsia="楷体_GB2312"/>
          <w:color w:val="auto"/>
          <w:spacing w:val="-14"/>
          <w:sz w:val="32"/>
          <w:highlight w:val="none"/>
        </w:rPr>
        <w:t>日在资阳</w:t>
      </w:r>
      <w:r>
        <w:rPr>
          <w:rFonts w:hint="eastAsia" w:ascii="楷体_GB2312" w:eastAsia="楷体_GB2312"/>
          <w:color w:val="auto"/>
          <w:sz w:val="32"/>
          <w:highlight w:val="none"/>
        </w:rPr>
        <w:t>区第</w:t>
      </w:r>
      <w:r>
        <w:rPr>
          <w:rFonts w:hint="eastAsia" w:ascii="楷体_GB2312" w:eastAsia="楷体_GB2312"/>
          <w:color w:val="auto"/>
          <w:sz w:val="32"/>
          <w:highlight w:val="none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sz w:val="32"/>
          <w:highlight w:val="none"/>
        </w:rPr>
        <w:t>届人大常委会第</w:t>
      </w:r>
      <w:r>
        <w:rPr>
          <w:rFonts w:hint="eastAsia" w:ascii="楷体_GB2312" w:eastAsia="楷体_GB2312"/>
          <w:color w:val="auto"/>
          <w:sz w:val="32"/>
          <w:highlight w:val="none"/>
          <w:lang w:val="en-US" w:eastAsia="zh-CN"/>
        </w:rPr>
        <w:t xml:space="preserve">  </w:t>
      </w:r>
      <w:r>
        <w:rPr>
          <w:rFonts w:hint="eastAsia" w:ascii="楷体_GB2312" w:eastAsia="楷体_GB2312"/>
          <w:color w:val="auto"/>
          <w:sz w:val="32"/>
          <w:highlight w:val="none"/>
        </w:rPr>
        <w:t>次会议上</w:t>
      </w:r>
    </w:p>
    <w:p>
      <w:pPr>
        <w:spacing w:line="700" w:lineRule="exact"/>
        <w:jc w:val="center"/>
        <w:rPr>
          <w:rFonts w:hint="eastAsia" w:ascii="楷体_GB2312" w:eastAsia="楷体_GB2312"/>
          <w:color w:val="auto"/>
          <w:sz w:val="32"/>
          <w:highlight w:val="none"/>
        </w:rPr>
      </w:pPr>
      <w:r>
        <w:rPr>
          <w:rFonts w:hint="eastAsia" w:ascii="楷体_GB2312" w:eastAsia="楷体_GB2312"/>
          <w:color w:val="auto"/>
          <w:sz w:val="32"/>
          <w:highlight w:val="none"/>
        </w:rPr>
        <w:t>资阳区财政局  郭云</w:t>
      </w:r>
    </w:p>
    <w:p>
      <w:pPr>
        <w:spacing w:line="600" w:lineRule="exact"/>
        <w:jc w:val="center"/>
        <w:rPr>
          <w:rFonts w:hint="eastAsia" w:ascii="楷体_GB2312" w:eastAsia="楷体_GB2312"/>
          <w:color w:val="auto"/>
          <w:sz w:val="32"/>
          <w:highlight w:val="none"/>
        </w:rPr>
      </w:pPr>
    </w:p>
    <w:p>
      <w:pPr>
        <w:spacing w:line="620" w:lineRule="exac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主任、各位副主任、各位委员：</w:t>
      </w:r>
    </w:p>
    <w:p>
      <w:pPr>
        <w:spacing w:line="620" w:lineRule="exact"/>
        <w:ind w:firstLine="645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受区人民政府委托，我向本次会议报告全区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2020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年财政决算和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2021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年上半年财政预算执行情况，请予审议。</w:t>
      </w:r>
    </w:p>
    <w:p>
      <w:pPr>
        <w:spacing w:line="620" w:lineRule="exact"/>
        <w:ind w:firstLine="640" w:firstLineChars="200"/>
        <w:rPr>
          <w:rFonts w:hint="eastAsia" w:ascii="黑体" w:hAnsi="宋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/>
          <w:color w:val="auto"/>
          <w:sz w:val="32"/>
          <w:szCs w:val="32"/>
          <w:highlight w:val="none"/>
        </w:rPr>
        <w:t>一、</w:t>
      </w:r>
      <w:r>
        <w:rPr>
          <w:rFonts w:hint="eastAsia" w:ascii="黑体" w:hAnsi="宋体" w:eastAsia="黑体"/>
          <w:color w:val="auto"/>
          <w:sz w:val="32"/>
          <w:szCs w:val="32"/>
          <w:highlight w:val="none"/>
          <w:lang w:eastAsia="zh-CN"/>
        </w:rPr>
        <w:t>2020</w:t>
      </w:r>
      <w:r>
        <w:rPr>
          <w:rFonts w:hint="eastAsia" w:ascii="黑体" w:hAnsi="宋体" w:eastAsia="黑体"/>
          <w:color w:val="auto"/>
          <w:sz w:val="32"/>
          <w:szCs w:val="32"/>
          <w:highlight w:val="none"/>
        </w:rPr>
        <w:t>年财政决算情况</w:t>
      </w:r>
    </w:p>
    <w:p>
      <w:pPr>
        <w:spacing w:line="620" w:lineRule="exact"/>
        <w:ind w:firstLine="642" w:firstLineChars="200"/>
        <w:rPr>
          <w:rFonts w:hint="eastAsia" w:ascii="楷体_GB2312" w:eastAsia="楷体_GB2312"/>
          <w:b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b/>
          <w:color w:val="auto"/>
          <w:sz w:val="32"/>
          <w:szCs w:val="32"/>
          <w:highlight w:val="none"/>
        </w:rPr>
        <w:t>（一）一般公共财政收支决算情况</w:t>
      </w:r>
    </w:p>
    <w:p>
      <w:pPr>
        <w:spacing w:line="620" w:lineRule="exact"/>
        <w:ind w:firstLine="642" w:firstLineChars="200"/>
        <w:rPr>
          <w:rFonts w:hint="eastAsia" w:ascii="楷体_GB2312" w:eastAsia="楷体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1.收入增速平稳</w:t>
      </w:r>
    </w:p>
    <w:p>
      <w:pPr>
        <w:spacing w:line="620" w:lineRule="exact"/>
        <w:ind w:left="12" w:leftChars="6" w:firstLine="512" w:firstLineChars="16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年全区累计完成地方财政收入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61269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万元，为调整预算的1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04.20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%，比上年增加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711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1.17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%；完成上划中央收入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36507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万元，为调整预算的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109.94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%，比上年增加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3143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9.42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%；完成上划省级收入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10967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万元，为调整预算的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112.92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%，比上年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增加849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增长8.39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</w:t>
      </w:r>
    </w:p>
    <w:p>
      <w:pPr>
        <w:spacing w:line="620" w:lineRule="exact"/>
        <w:ind w:firstLine="642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2.支出规模稳定</w:t>
      </w:r>
    </w:p>
    <w:p>
      <w:pPr>
        <w:spacing w:line="620" w:lineRule="exact"/>
        <w:ind w:left="12" w:leftChars="6"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2020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年全区完成一般公共预算支出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311047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万元，比上年减少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4285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万元，下降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1.36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%。剔除上级专项支出和历年结转支出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148569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2020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年当年完成本级财政支出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162478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万元，为调整预算的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101.14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%，比上年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增加22208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增长15.83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的主要原因是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增加了新冠肺炎疫情防控的投入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>
      <w:pPr>
        <w:spacing w:line="620" w:lineRule="exact"/>
        <w:ind w:left="12" w:leftChars="6" w:firstLine="642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3.财政收支平衡</w:t>
      </w:r>
    </w:p>
    <w:p>
      <w:pPr>
        <w:spacing w:line="620" w:lineRule="exact"/>
        <w:ind w:left="12" w:leftChars="6"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2020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年全区完成地方财政收入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61269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上级补助收入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  <w:lang w:val="en-US" w:eastAsia="zh-CN"/>
        </w:rPr>
        <w:t>230537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万元，债券转贷收入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15897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万元，上年结余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  <w:lang w:val="en-US" w:eastAsia="zh-CN"/>
        </w:rPr>
        <w:t>2591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万元，调入资金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31161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万元，预算稳定调节基金调入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万元，收入总计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  <w:lang w:val="en-US" w:eastAsia="zh-CN"/>
        </w:rPr>
        <w:t>341455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万元。</w:t>
      </w:r>
    </w:p>
    <w:p>
      <w:pPr>
        <w:spacing w:line="620" w:lineRule="exact"/>
        <w:ind w:left="12" w:leftChars="6" w:firstLine="640" w:firstLineChars="200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2020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年全区完成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一般公共预算支出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311047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万元，上解上级支出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  <w:lang w:val="en-US" w:eastAsia="zh-CN"/>
        </w:rPr>
        <w:t>12511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债券还本支出9801万元，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结转下年支出</w:t>
      </w:r>
      <w:r>
        <w:rPr>
          <w:rFonts w:hint="eastAsia" w:ascii="仿宋_GB2312" w:eastAsia="仿宋_GB2312"/>
          <w:color w:val="auto"/>
          <w:kern w:val="0"/>
          <w:sz w:val="32"/>
          <w:szCs w:val="32"/>
          <w:highlight w:val="none"/>
          <w:lang w:val="en-US" w:eastAsia="zh-CN"/>
        </w:rPr>
        <w:t>8096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万元，支出总计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341455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万元，当年收支平衡。</w:t>
      </w:r>
    </w:p>
    <w:p>
      <w:pPr>
        <w:spacing w:line="620" w:lineRule="exact"/>
        <w:ind w:left="12" w:leftChars="6" w:firstLine="642" w:firstLineChars="200"/>
        <w:rPr>
          <w:rFonts w:hint="eastAsia" w:ascii="楷体_GB2312" w:eastAsia="楷体_GB2312"/>
          <w:b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b/>
          <w:color w:val="auto"/>
          <w:sz w:val="32"/>
          <w:szCs w:val="32"/>
          <w:highlight w:val="none"/>
        </w:rPr>
        <w:t>4.预备费使用情况</w:t>
      </w:r>
    </w:p>
    <w:p>
      <w:pPr>
        <w:spacing w:line="620" w:lineRule="exact"/>
        <w:ind w:left="12" w:leftChars="6"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年全区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年初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预算安排预备费3030万元，实际动支预备费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2144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万元，使用率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70.76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%。预备费分科目支出使用情况如下：一般公共服务支出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1004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万元，国防支出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万元，公共安全支出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教育支出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文化旅游体育与传媒支出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万元，社会保障和就业支出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162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万元，卫生健康支出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275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万元，节能环保支出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万元，城乡社区支出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万元，农林水支出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318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万元，交通运输支出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，商业服务业等支出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5万元，灾害防治及应急管理支出159万元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>
      <w:pPr>
        <w:spacing w:line="620" w:lineRule="exact"/>
        <w:ind w:left="12" w:leftChars="6" w:firstLine="642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5.预算稳定调节基金情况</w:t>
      </w:r>
    </w:p>
    <w:p>
      <w:pPr>
        <w:spacing w:line="620" w:lineRule="exact"/>
        <w:ind w:left="12" w:leftChars="6"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2020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年全区预算稳定调节基金年初总量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万元，减去当年预算稳定调节基金调出到一般公共预算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万元，年末预算稳定调节基金总量为零。</w:t>
      </w:r>
    </w:p>
    <w:p>
      <w:pPr>
        <w:spacing w:line="620" w:lineRule="exact"/>
        <w:ind w:left="12" w:leftChars="6" w:firstLine="642" w:firstLineChars="200"/>
        <w:rPr>
          <w:rFonts w:hint="eastAsia" w:ascii="楷体_GB2312" w:eastAsia="楷体_GB2312"/>
          <w:b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b/>
          <w:color w:val="auto"/>
          <w:sz w:val="32"/>
          <w:szCs w:val="32"/>
          <w:highlight w:val="none"/>
        </w:rPr>
        <w:t>（二）政府性基金收支决算情况</w:t>
      </w:r>
    </w:p>
    <w:p>
      <w:pPr>
        <w:spacing w:line="620" w:lineRule="exact"/>
        <w:ind w:left="12" w:leftChars="6" w:firstLine="640" w:firstLineChars="200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2020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年全区本级完成政府性基金收入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48178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万元，为调整预算的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153.62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其中：国有土地使用权出让收入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46750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万元，城市基础设施配套费收入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1428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万元。</w:t>
      </w:r>
    </w:p>
    <w:p>
      <w:pPr>
        <w:spacing w:line="620" w:lineRule="exact"/>
        <w:ind w:left="12" w:leftChars="6" w:firstLine="640" w:firstLineChars="200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2020年全区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本级完成政府性基金支出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29881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万元，为调整预算的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95.28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%，未完成支出预算的原因是收入短收,按照以收定支原则,支出减少。其中：国有土地使用权出让收入安排的支出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21789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万元，城市基础设施配套费安排的支出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1416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万元，其他政府性基金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债务付息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支出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1176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抗议特别国债安排的支出5500万元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。</w:t>
      </w:r>
    </w:p>
    <w:p>
      <w:pPr>
        <w:spacing w:line="620" w:lineRule="exact"/>
        <w:ind w:left="12" w:leftChars="6" w:firstLine="640" w:firstLineChars="200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2020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年全区政府性基金收支平衡情况：本级政府性基金收入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48178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万元，上级补助收入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15298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万元，上年结余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2798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万元，债务转贷收入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41200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万元，收入总计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107474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万元；政府性基金支出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80386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万元，上解上级支出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45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万元，调出资金支出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23000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万元，结转下年支出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4043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万元，支出总计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107474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万元；年终滚存结余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4043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万元。基金收支平衡，略有节余。</w:t>
      </w:r>
    </w:p>
    <w:p>
      <w:pPr>
        <w:spacing w:line="620" w:lineRule="exact"/>
        <w:ind w:left="12" w:leftChars="6" w:firstLine="642" w:firstLineChars="200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b/>
          <w:color w:val="auto"/>
          <w:sz w:val="32"/>
          <w:szCs w:val="32"/>
          <w:highlight w:val="none"/>
        </w:rPr>
        <w:t>（三）社会保险基金收支决算情况</w:t>
      </w:r>
    </w:p>
    <w:p>
      <w:pPr>
        <w:spacing w:line="620" w:lineRule="exact"/>
        <w:ind w:left="12" w:leftChars="6"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2020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年全区完成社会保险基金收入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84239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万元(不含企业职工基本养老保险基金收入)，为预算的9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4.38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%。其中：机关事业养老保险基金收入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28595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城乡居民基本养老保险基金收入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11055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万元，职工基本医疗保险基金收入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13294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万元，城乡居民基本医疗保险基金收入3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0132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万元，工伤保险基金收入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877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万元，失业保险基金收入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286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万元。</w:t>
      </w:r>
    </w:p>
    <w:p>
      <w:pPr>
        <w:spacing w:line="620" w:lineRule="exact"/>
        <w:ind w:left="12" w:leftChars="6"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2020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年全区完成社会保险基金支出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76693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万元（不含企业职工基本养老保险基金支出），为预算的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98.83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%。其中：机关事业养老保险基金支出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30014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城乡居民基本养老保险基金支出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7798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万元，城镇职工基本医疗保险基金支出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11980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万元，城乡居民基本医疗保险基金支出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24773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万元，工伤保险基金支出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1628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万元，失业保险基金支出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500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万元。</w:t>
      </w:r>
    </w:p>
    <w:p>
      <w:pPr>
        <w:spacing w:line="620" w:lineRule="exact"/>
        <w:ind w:left="12" w:leftChars="6" w:firstLine="640" w:firstLineChars="200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2020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年全区社会保险基金收支平衡情况：社会保险基金收入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84239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万元，上年结余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64641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万元，收入总计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148880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万元；社会保险基金支出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76693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万元；年终滚存结余7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2187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万元。</w:t>
      </w:r>
    </w:p>
    <w:p>
      <w:pPr>
        <w:spacing w:line="620" w:lineRule="exact"/>
        <w:ind w:left="12" w:leftChars="6" w:firstLine="642" w:firstLineChars="200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b/>
          <w:color w:val="auto"/>
          <w:sz w:val="32"/>
          <w:szCs w:val="32"/>
          <w:highlight w:val="none"/>
        </w:rPr>
        <w:t>（四）国有资本经营收支决算情况</w:t>
      </w:r>
    </w:p>
    <w:p>
      <w:pPr>
        <w:spacing w:line="620" w:lineRule="exact"/>
        <w:ind w:left="12" w:leftChars="6" w:firstLine="624" w:firstLineChars="195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2020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区本级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国有资本经营收入为零，故调整预算时调整为零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决算数为零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上年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上级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结余2万元，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2020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年国有资本经营支出决算数2万元。收支平衡。</w:t>
      </w:r>
    </w:p>
    <w:p>
      <w:pPr>
        <w:spacing w:line="620" w:lineRule="exact"/>
        <w:ind w:left="12" w:leftChars="6" w:firstLine="640" w:firstLineChars="200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主任、各位副主任、各位委员，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2020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年全区收支任务圆满完成，财政实力进一步增强，重点支出保障较好，财政改革不断推进，财政管理更为规范，确保了重点民生事业、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机关事业单位工资改革、养老保险制度改革政策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等工作的落实。这些成绩的取得，取决于区委的科学决策和正确领导，得益于区人大、区政协的全面监督和大力支持，离不开全区各级各部门对财政工作的鼎力支持。</w:t>
      </w:r>
    </w:p>
    <w:p>
      <w:pPr>
        <w:spacing w:line="620" w:lineRule="exact"/>
        <w:ind w:left="12" w:leftChars="6" w:firstLine="640" w:firstLineChars="200"/>
        <w:rPr>
          <w:rFonts w:hint="eastAsia" w:ascii="仿宋_GB2312" w:hAnsi="宋体" w:eastAsia="黑体"/>
          <w:color w:val="auto"/>
          <w:sz w:val="32"/>
          <w:szCs w:val="32"/>
          <w:highlight w:val="none"/>
        </w:rPr>
      </w:pPr>
      <w:r>
        <w:rPr>
          <w:rFonts w:hint="eastAsia" w:ascii="黑体" w:eastAsia="黑体"/>
          <w:color w:val="auto"/>
          <w:sz w:val="32"/>
          <w:szCs w:val="32"/>
          <w:highlight w:val="none"/>
        </w:rPr>
        <w:t>二、</w:t>
      </w:r>
      <w:r>
        <w:rPr>
          <w:rFonts w:hint="eastAsia" w:ascii="黑体" w:eastAsia="黑体"/>
          <w:color w:val="auto"/>
          <w:sz w:val="32"/>
          <w:szCs w:val="32"/>
          <w:highlight w:val="none"/>
          <w:lang w:eastAsia="zh-CN"/>
        </w:rPr>
        <w:t>2021</w:t>
      </w:r>
      <w:r>
        <w:rPr>
          <w:rFonts w:hint="eastAsia" w:ascii="黑体" w:eastAsia="黑体"/>
          <w:color w:val="auto"/>
          <w:sz w:val="32"/>
          <w:szCs w:val="32"/>
          <w:highlight w:val="none"/>
        </w:rPr>
        <w:t>年上半年财政预算执行情况</w:t>
      </w:r>
    </w:p>
    <w:p>
      <w:pPr>
        <w:spacing w:line="620" w:lineRule="exact"/>
        <w:ind w:left="12" w:leftChars="6" w:firstLine="642" w:firstLineChars="200"/>
        <w:rPr>
          <w:rFonts w:ascii="楷体_GB2312" w:hAnsi="楷体_GB2312" w:eastAsia="楷体_GB2312" w:cs="楷体_GB2312"/>
          <w:b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</w:rPr>
        <w:t>（一）一般公共预算收支情况</w:t>
      </w:r>
    </w:p>
    <w:p>
      <w:pPr>
        <w:spacing w:line="620" w:lineRule="exact"/>
        <w:ind w:left="12" w:leftChars="6" w:firstLine="642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1．地方一般公共预算收入情况</w:t>
      </w:r>
    </w:p>
    <w:p>
      <w:pPr>
        <w:spacing w:line="620" w:lineRule="exact"/>
        <w:ind w:left="12" w:leftChars="6"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年6月，全区累计完成地方一般公共预算收入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36473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万元，比上年同期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增加8316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同口径增长29.53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%。地方收入中税收收入完成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27234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万元，比上年同期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增加6729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同口径增长32.67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%；非税收入完成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9149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万元，比上年同期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增加1587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同口径增长20.99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%。地方一般公共预算收入中税收收入占比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74.92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%，同比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增长3.83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个百分点。</w:t>
      </w:r>
    </w:p>
    <w:p>
      <w:pPr>
        <w:spacing w:line="620" w:lineRule="exact"/>
        <w:ind w:left="12" w:leftChars="6"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分部门完成情况：税务部门完成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29465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万元，比上年同期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增加9468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增长47.35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%。财政部门完成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7008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万元，比上年同期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增加1013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万元,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增长16.90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%。</w:t>
      </w:r>
    </w:p>
    <w:p>
      <w:pPr>
        <w:spacing w:line="620" w:lineRule="exact"/>
        <w:ind w:left="12" w:leftChars="6" w:firstLine="642" w:firstLineChars="200"/>
        <w:rPr>
          <w:rFonts w:ascii="仿宋_GB2312" w:hAnsi="仿宋_GB2312" w:eastAsia="仿宋_GB2312" w:cs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2．一般公共预算支出情况</w:t>
      </w:r>
    </w:p>
    <w:p>
      <w:pPr>
        <w:spacing w:line="620" w:lineRule="exact"/>
        <w:ind w:left="12" w:leftChars="6" w:firstLine="640" w:firstLineChars="200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年6月，全区累计完成一般公共预算支出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167651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万元，比上年同期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增加2510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增长1.52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%。其中主要支出项目有：一般公共服务支出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20625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万元，教育支出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27461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万元，科学技术支出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5240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万元，文化旅游体育与传媒支出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1894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万元，社会保障和就业支出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42122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万元，卫生健康支出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17431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万元，节能环保支出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725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万元，城乡社区支出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11417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万元，农林水支出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19201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万元,交通运输支出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3573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住房保障支出7925万元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。</w:t>
      </w:r>
    </w:p>
    <w:p>
      <w:pPr>
        <w:spacing w:line="620" w:lineRule="exact"/>
        <w:ind w:left="12" w:leftChars="6"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三、上半年财政工作特点</w:t>
      </w:r>
    </w:p>
    <w:p>
      <w:pPr>
        <w:spacing w:line="620" w:lineRule="exact"/>
        <w:ind w:left="12" w:leftChars="6" w:firstLine="640" w:firstLineChars="200"/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今年以来，资阳区财政局坚决落实“各级政府必须过紧日子”的要求，大力压减非急需刚性支出，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乡村振兴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、基本民生等重点领域支出得到保障，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统筹推进疫情防控和经济社会发展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显现积极成效。</w:t>
      </w:r>
    </w:p>
    <w:p>
      <w:pPr>
        <w:spacing w:line="620" w:lineRule="exact"/>
        <w:ind w:left="12" w:leftChars="6" w:firstLine="642" w:firstLineChars="200"/>
        <w:rPr>
          <w:rFonts w:ascii="楷体_GB2312" w:hAnsi="楷体_GB2312" w:eastAsia="楷体_GB2312" w:cs="楷体_GB2312"/>
          <w:b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</w:rPr>
        <w:t>（一）多措并举，严格防控债务风险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  <w:t>一是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highlight w:val="none"/>
          <w:shd w:val="clear" w:color="auto" w:fill="FFFFFF"/>
        </w:rPr>
        <w:t>有效地防控了地方政府性债务风险。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shd w:val="clear" w:color="auto" w:fill="FFFFFF"/>
        </w:rPr>
        <w:t>进一步做实做细了政府隐性债务化解方案，要求全区各债务单位按照一债一策的要求，严格落实化债来源，制定化债计划，确保完成任务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shd w:val="clear" w:color="auto" w:fill="FFFFFF"/>
        </w:rPr>
        <w:t>组织全区各单位开展了地方政府债务管理专题培训，积极争取专项债券，切实做到开前门、堵后门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shd w:val="clear" w:color="auto" w:fill="FFFFFF"/>
        </w:rPr>
        <w:t>定期组织召开了政府债务管理工作联席会议，汇报研究政府债务管理工作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shd w:val="clear" w:color="auto" w:fill="FFFFFF"/>
        </w:rPr>
        <w:t>将防控债务风险工作纳入了2019年度区绩效考核内容，明确考核指标，进一步强化了对各单位债务风险的管控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shd w:val="clear" w:color="auto" w:fill="FFFFFF"/>
        </w:rPr>
        <w:t>对照省委第九巡视组反馈意见，制定了整改方案和整改措施，扎实推进问题整改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并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shd w:val="clear" w:color="auto" w:fill="FFFFFF"/>
        </w:rPr>
        <w:t>提供佐证材料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shd w:val="clear" w:color="auto" w:fill="FFFFFF"/>
        </w:rPr>
        <w:t>及时向市、区汇报整改落实情况,将整改落到实处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shd w:val="clear" w:color="auto" w:fill="FFFFFF"/>
        </w:rPr>
        <w:t>会同发改局及项目单位做好了2021年专项债的申报工作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shd w:val="clear" w:color="auto" w:fill="FFFFFF"/>
        </w:rPr>
        <w:t>积极协调金融机构按照市场化、法治化原则通过自接自盘、替接他盘等“六个一批”措施，合规缓释平台公司到期债务风险，降低债务成本。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  <w:t>二是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highlight w:val="none"/>
          <w:shd w:val="clear" w:color="auto" w:fill="FFFFFF"/>
        </w:rPr>
        <w:t>加大了对创业担保贷款贴息的支持力度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shd w:val="clear" w:color="auto" w:fill="FFFFFF"/>
        </w:rPr>
        <w:t>将创业担保贷款贴息工作纳入了直达资金系统，每季按时拨付贴息资金，并将到人到户的信息录入信息系统，接受上级财政监督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shd w:val="clear" w:color="auto" w:fill="FFFFFF"/>
        </w:rPr>
        <w:t>加大贷款的发放力度，目前已与华融湘江银行达成合作协议，今年新增创业担保贷款的发放工作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shd w:val="clear" w:color="auto" w:fill="FFFFFF"/>
        </w:rPr>
        <w:t>积极向上级财政争取贴息资金，同时对于经办银行按季申报的贷款贴息资金,认真审核，及时拨付，确保贷款贴息资金能够及时足额支付到位。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（二）助力乡村振兴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，切实提高资金使用效益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一是积极争取上级资金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加大本级财政投入。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月底，已争取上级下达我区各类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乡村振兴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15255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年区级财力进一步趋紧年初预算挤出财力，安排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乡村振兴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（含乡村振兴衔接资金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，财政扶贫投入呈稳步增长态势，为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乡村振兴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提供坚实的资金保障。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是加快资金拨付。</w:t>
      </w:r>
      <w:r>
        <w:rPr>
          <w:rFonts w:hint="eastAsia" w:ascii="仿宋_GB2312" w:hAnsi="仿宋_GB2312" w:eastAsia="仿宋_GB2312" w:cs="仿宋_GB2312"/>
          <w:sz w:val="32"/>
          <w:szCs w:val="32"/>
        </w:rPr>
        <w:t>克服资金调度困难，严格资金拨付时限，优先保证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乡村振兴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资金及时拨付，实现了资金拨付“零差错”。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是严格督导检查。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联合区乡村振兴局对脱贫攻坚质量大排查大整改情况、对2021年中央提前下达财政专项扶贫资金的使用和管理情况、项目开施工进度和报账情况进行检查，对检查出的问题汇同区乡村振兴局一起及时深刻剖析原因，采取有效措施狠抓问题整改。对各乡镇退渔禁捕资金使用进行了专项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；及时做好财政扶贫资金监控及财政民生资金在“互联网+监控”的各项工作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四是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以中央脱贫攻坚成效考核反馈问题的整改为主线，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推动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脱贫攻坚成效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我局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合实际，制定了《中央脱贫攻坚成效考核反馈问题整改方案》，紧紧围绕中央考核反馈2个方面5个具体问题，举一反三，全面查摆，逐项逐类分析原因，研究提出整改措施，明确整改时限和要求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）大力推进财政改革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坚持以改革创新为动力，进一步深化财政体制机制改革，推进精细化理财，构建公共财政体系。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一是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继续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强化预算管理。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《预算法》法定程序，精心组织全套全口径预算的编制、批复、公开工作，在此基础上独立试编了“三保”预算，并通过省、市两级的审核，促进了资阳区“六稳”“六保”工作的开展和落实。规范财政供养人员台账管理，积极响应“过紧日子”的思想，进一步压缩“三公”经费和一般性支出。严格预算执行，坚持“无预算不支出、先预算后支出”，除三大攻坚战、应急救灾等支出外，预算执行中原则上不再追加支出，使政府预算管理不断规范，更有效应的对疫情及今后一段时间的复杂形势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二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是全面实施预算绩效管理。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区各行政事业单位进行了单位预算绩效目标申报工作。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高标准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了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年扶贫资金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专项资金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绩效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自评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，完成了202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年农业保险资金绩效评价工作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按时编写完成2021年资阳区政策性农业保险实施方案，督促各保险公司按进度开展农保工作等。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三是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开展资产管理工作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指导全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区各行政事业单位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圆满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了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年资产管理系统数据填报，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并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月上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了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月资产数据。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进行了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单位固定资产审批。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四是规范财政专户管理。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继续清理财政专户的基础上，对照上级要求完善财政专户开立条件和程序，坚决杜决违规设立财政专户的现象。坚持财政专户定期对账工作制度，确保财政资金安全。加大专项资金管理力度，严格执行《资阳区财政局本级财政资金专户第三方对账办法》和《资阳区财政局专项资金管理办法》，坚持专项资金区级领导审批制度，确保专款专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进一步规范了我区财务管理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）着力规范财政管理</w:t>
      </w:r>
    </w:p>
    <w:p>
      <w:pPr>
        <w:spacing w:line="620" w:lineRule="exact"/>
        <w:ind w:left="12" w:leftChars="6" w:firstLine="642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一是推进国库集中支付。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年上半年，进入国库集中支付流程的单位8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个，代理支付银行7家，国库集中支付资金11.78亿元，办理直接支付13171笔，金额11.4亿元，占96.77%。全年纳入工资统发单位82个，1-6月发放在职统发工资0.39亿元。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二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是完善政府采购管理。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2021年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1-6月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共进行政府采购活动37批次，政府采购预算金额6178.22万元，实际采购金额6019.6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万元，节约资金158.59万元，节约率为2.5%。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三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是深化财政投资评审。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上半年财政投资评审中心共评审项目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highlight w:val="none"/>
        </w:rPr>
        <w:t>43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个，送审金额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29621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万元，审定金额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24683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万元，审减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4938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万元，审减率</w:t>
      </w:r>
      <w:r>
        <w:rPr>
          <w:rFonts w:hint="eastAsia" w:ascii="仿宋_GB2312" w:eastAsia="仿宋_GB2312" w:cs="宋体"/>
          <w:color w:val="auto"/>
          <w:kern w:val="0"/>
          <w:sz w:val="32"/>
          <w:szCs w:val="32"/>
          <w:highlight w:val="none"/>
        </w:rPr>
        <w:t>16.67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%。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四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是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进一步规范专项资金管理。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牵头出台了《资阳区财政专项资金管理办法》、《资阳区项目建设指挥部财务管理暂行办法》，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增强财政专项资金分配、使用的科学性和公正性，提高资金使用效益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</w:rPr>
        <w:t>确保财政资金安全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五是</w:t>
      </w:r>
      <w:r>
        <w:rPr>
          <w:rFonts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注重财政监督管理。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坚持日常监督与专项监督并重，重点加强对事关民生的重点专项资金的监督检查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，确保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财政资金安全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有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保障。</w:t>
      </w:r>
    </w:p>
    <w:p>
      <w:pPr>
        <w:spacing w:line="620" w:lineRule="exact"/>
        <w:ind w:left="12" w:leftChars="6"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、存在的问题</w:t>
      </w:r>
    </w:p>
    <w:p>
      <w:pPr>
        <w:spacing w:line="620" w:lineRule="exact"/>
        <w:ind w:left="12" w:leftChars="6"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主任、各位副主任、各位委员，尽管上半年预算执行情况较好，但也存在以下问题：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楷体_GB2312" w:hAnsi="楷体_GB2312" w:eastAsia="楷体_GB2312" w:cs="楷体_GB2312"/>
          <w:b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</w:rPr>
        <w:t>（一）地方可用财力有限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12" w:leftChars="6"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新冠疫情加剧了全球经济萎缩，地方财税收入受到冲击，加上去年以来中央实施更大规范的减税降费政策，财政收支面临全新挑战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。今年预计地方一般预算收入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3.92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亿元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加上一般性转移支付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10.49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亿元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调入资金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2.11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亿元，减上解支出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0.79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亿元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地方可用财力约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15.73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亿元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规模在全市各县（市、区）中处于中下游水平，满足“三保”等刚性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支出后，可用于发展的资金非常有限，收支平衡压力将更加明显。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楷体_GB2312" w:hAnsi="楷体_GB2312" w:eastAsia="楷体_GB2312" w:cs="楷体_GB2312"/>
          <w:b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</w:rPr>
        <w:t>（二）资金调度压力较大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前些年因本级财力有限，同时发展又有需要，形成了较大规模的财政暂付款，困扰财政运转。近三年虽然加大了清理收回力度，仍有超过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0%未清理收回，财政资金调度困难的问题仍未得到有效解决。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楷体_GB2312" w:hAnsi="楷体_GB2312" w:eastAsia="楷体_GB2312" w:cs="楷体_GB2312"/>
          <w:b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color w:val="auto"/>
          <w:sz w:val="32"/>
          <w:szCs w:val="32"/>
          <w:highlight w:val="none"/>
        </w:rPr>
        <w:t>（三）债务形势不乐观</w:t>
      </w:r>
    </w:p>
    <w:p>
      <w:pPr>
        <w:spacing w:line="620" w:lineRule="exact"/>
        <w:ind w:left="12" w:leftChars="6"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政府性债务总量下降幅度仍然不大；综合财力小，债务风险提高到了二类地区，要降为三类，综合财力要达到37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43亿元以上；偿债来源比较单一，偿债能力不强，偿债资金来源主要依赖土地出让收入；资产变现能力不足,政府资产构成中，非金融资产占有较大比例，主要是由楼堂馆所等固定资产和土地储备等构成，这些资产流动性不强，处置比较困难，资产难以变现，很难起到缓解政府性债务压力的作用。</w:t>
      </w:r>
    </w:p>
    <w:p>
      <w:pPr>
        <w:spacing w:line="620" w:lineRule="exact"/>
        <w:ind w:left="12" w:leftChars="6" w:firstLine="645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、下阶段工作措施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1．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齐心协力抓收入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搭建好“三高四新”财源建设专班，用好各项惠企政策，强化征管措施，既要落实好减税降费政策，又要确保完成收入任务，更要适应新要求提高收入质量；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加大立项争资力度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包装好优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质项目承接上级专项资金，为全区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高质量发展提供财力支撑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；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highlight w:val="none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抢抓乡村振兴国家战略机遇，加大项目储备和争资力度，协助拓展农担业务，加快我区乡村振兴步伐。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2．落实“六稳”、“六保”工作任务。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严格执行 “三保”优先的财政资金安排原则，加快涉及“六稳”、“六保”的各类资金拨付进度。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借助预算执行监控系统，切实加强单位用款监控，杜绝任何形式的占用“三保”资金行为的发生。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督促预算单位按照《预算法》和区政府办下发的《关于进一步强化预算约束压实支出责任的通知》要求严格预算执行，树牢“过紧日子”的思想。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3．加大财政统筹力度。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加大商业（商居）用地出让金收入财政留成比例，调入一般预算缓解收支平衡压力。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加大砂石资源等政府性收入财政统筹力度，充实财力。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4．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持续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清理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eastAsia="zh-CN"/>
        </w:rPr>
        <w:t>财政暂付款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逐笔甄别未收回的财政暂付款，分别制定清收计划，逐步缓解库款压力。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加大扣回力度。有财政借款余额的单位，在预算执行中凡是可抵扣的拨款，原则上先抵扣偿还财政借款。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加大催收力度。区财政将定期向欠款单位发送催款函督促还款；区城建投、长春经开区、区棚改指挥部等主要欠款单位应积极筹措资金，主动偿还财政借款，缓解财政资金调度压力。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继续加大暂存款清理力度，将收回的财力用于消化暂付款。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四是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视财力情况适当安排资金消化暂付款。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五是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除上级允许的情形外，不再新增财政出借款。</w:t>
      </w:r>
    </w:p>
    <w:p>
      <w:pPr>
        <w:spacing w:line="620" w:lineRule="exact"/>
        <w:ind w:left="12" w:leftChars="6" w:firstLine="64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5．继续调优支出结构。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是按照中央、省、市要求和区委经济工作会议上提出的目标，坚决完成压减任务。财政部门将加大政策宣传力度，提出压减建议。二是继续做好盘活存量资金和结余转结资金清理使用工作。所有存量资金按财政部规定一律收回财政统筹使用；对于可统筹的结转结余资金，将加大财政统筹力度，缓解收支矛盾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主任、各位副主任、各位委员，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今年是伟大的中国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共产党百年华诞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下阶段，我们将在区委的坚强领导和区人大、区政协的监督支持下，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迎难而上，锐意进取，统筹推进疫情防控和经济社会发展，努力完成全年目标任务。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立足百年大党新起点，继往开来走好新时代长征路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pacing w:line="620" w:lineRule="exact"/>
        <w:ind w:left="12" w:leftChars="6" w:firstLine="63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以上报告，请予审议。</w:t>
      </w:r>
    </w:p>
    <w:p/>
    <w:sectPr>
      <w:footerReference r:id="rId3" w:type="default"/>
      <w:pgSz w:w="11907" w:h="16840" w:orient="landscape"/>
      <w:pgMar w:top="1985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kern w:val="0"/>
        <w:sz w:val="24"/>
        <w:szCs w:val="24"/>
      </w:rPr>
      <w:t xml:space="preserve">- </w:t>
    </w:r>
    <w:r>
      <w:rPr>
        <w:kern w:val="0"/>
        <w:sz w:val="24"/>
        <w:szCs w:val="24"/>
      </w:rPr>
      <w:fldChar w:fldCharType="begin"/>
    </w:r>
    <w:r>
      <w:rPr>
        <w:kern w:val="0"/>
        <w:sz w:val="24"/>
        <w:szCs w:val="24"/>
      </w:rPr>
      <w:instrText xml:space="preserve"> PAGE </w:instrText>
    </w:r>
    <w:r>
      <w:rPr>
        <w:kern w:val="0"/>
        <w:sz w:val="24"/>
        <w:szCs w:val="24"/>
      </w:rPr>
      <w:fldChar w:fldCharType="separate"/>
    </w:r>
    <w:r>
      <w:rPr>
        <w:kern w:val="0"/>
        <w:sz w:val="24"/>
        <w:szCs w:val="24"/>
      </w:rPr>
      <w:t>16</w:t>
    </w:r>
    <w:r>
      <w:rPr>
        <w:kern w:val="0"/>
        <w:sz w:val="24"/>
        <w:szCs w:val="24"/>
      </w:rPr>
      <w:fldChar w:fldCharType="end"/>
    </w:r>
    <w:r>
      <w:rPr>
        <w:kern w:val="0"/>
        <w:sz w:val="24"/>
        <w:szCs w:val="24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85339"/>
    <w:rsid w:val="BEED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引用"/>
    <w:basedOn w:val="1"/>
    <w:next w:val="1"/>
    <w:qFormat/>
    <w:uiPriority w:val="29"/>
    <w:rPr>
      <w:i/>
      <w:i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2021-07-09T16:39:00Z</dcterms:created>
  <dc:creator>Administrator</dc:creator>
  <cp:lastModifiedBy>lx</cp:lastModifiedBy>
  <cp:lastPrinted>2021-07-09T16:40:00Z</cp:lastPrinted>
  <dcterms:modified xsi:type="dcterms:W3CDTF">2025-09-05T18:22:21Z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E5045358E55A4DC6BD02CABE0C742638</vt:lpwstr>
  </property>
</Properties>
</file>