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中国共产党益阳市资阳区纪律检查委员会2021年度预算绩效自评报告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为牢固树立预算绩效理念，进一步规范财政资金管理，提高资金使用效益及部门预算整体绩效目标管理，根据财政部《财政支出绩效评价管理暂行办法》（财预〔2011〕285号）、《湖南省预算绩效管理工作规程（试行）的通知》（湘绩财〔2013〕28号）、《益阳市人民政府关于全面推进预算绩效管理的实施意见》（益政发〔2013〕10号）《益阳市资阳区财政局关于开展2021年度预算绩效自评工作的通知》。我单位遵循“科学规范、公开公正、分类管理、绩效相关”的原则，通过自查收入支出情况等，对本单位2021年度预算绩效情况进行了客观、公正的评价。现将情况报告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中共益阳市资阳区纪律检查委员会、益阳市资阳区监察委员会，办公地址为益阳市资阳区五一西路498号。资阳区纪委监委内设13个部室，内设部室分别是办公室（加挂调研法规室牌子）、组织部、宣传部、党风政风监督室（加挂区人民政府纠正行业不正之风办公室牌子）、信访室、案件监督管理室、第一纪检监察室、第二纪检监察室、第三纪检监察室、第四纪检监察室、第五纪检监察室、案件审理室、纪检监察干部监督室；所属事业单位1个，所属事业单位是资阳区纪委信息中心（财务未独立核算）；另外区委巡察办、区委巡察一组、区委巡察二组全部纳入2021年度区纪委部门预算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二、部门整体支出使用管理情况</w:t>
      </w:r>
    </w:p>
    <w:p>
      <w:pPr>
        <w:keepNext w:val="0"/>
        <w:keepLines w:val="0"/>
        <w:pageBreakBefore w:val="0"/>
        <w:widowControl w:val="0"/>
        <w:kinsoku/>
        <w:wordWrap/>
        <w:overflowPunct/>
        <w:topLinePunct w:val="0"/>
        <w:autoSpaceDE/>
        <w:autoSpaceDN/>
        <w:bidi w:val="0"/>
        <w:adjustRightInd/>
        <w:snapToGrid/>
        <w:spacing w:line="600" w:lineRule="exact"/>
        <w:ind w:firstLine="674" w:firstLineChars="200"/>
        <w:jc w:val="both"/>
        <w:textAlignment w:val="auto"/>
        <w:outlineLvl w:val="9"/>
        <w:rPr>
          <w:rFonts w:hint="eastAsia" w:ascii="楷体_GB2312" w:hAnsi="楷体_GB2312" w:eastAsia="楷体_GB2312" w:cs="楷体_GB2312"/>
          <w:b/>
          <w:bCs w:val="0"/>
          <w:spacing w:val="8"/>
          <w:sz w:val="32"/>
          <w:szCs w:val="32"/>
          <w:lang w:val="en-US" w:eastAsia="zh-CN"/>
        </w:rPr>
      </w:pPr>
      <w:r>
        <w:rPr>
          <w:rFonts w:hint="eastAsia" w:ascii="楷体_GB2312" w:hAnsi="楷体_GB2312" w:eastAsia="楷体_GB2312" w:cs="楷体_GB2312"/>
          <w:b/>
          <w:bCs w:val="0"/>
          <w:spacing w:val="8"/>
          <w:sz w:val="32"/>
          <w:szCs w:val="32"/>
          <w:lang w:val="en-US" w:eastAsia="zh-CN"/>
        </w:rPr>
        <w:t>（一）部门整体收支概况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1. 收入预算：2021年年初预算数1146.70万元，其中，一般公共预算拨款1146.70万元，纳入专户管理的非税收入拨款0万元，上级补助资金安排0万元，附属单位上缴收入安排0万元，事业单位经营服务收入0万元，其他收入0万元，政府性基金拨款0万元，结转结余安排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2. 支出预算：2021年年初预算数1146.70万元，基本支出739.9万元（其中：工资福利支出621.16万元，商品和服务支出117.54万元，对家庭和个人补助支出1.2万元）。工资福利支出主要用于根据国家规定安排的工资性支出以及对个人和家庭补助等人员经费支出；一般商品和服务支出主要用于日常运转的办公费、印刷费、邮电费、差旅费、会议费、福利费、日常维修费、水电费、公务用车费、培训费、公务接待费、工会经费等基本支出；对个人和家庭的补助支出主要用于在职人员住房公积金。项目支出406.8万元，是指单位为完成特定行政工作任务或事业发展目标而发生的支出，包括办案专项、巡察专项、金纪工程、作风建设、政令畅通等专项经费。</w:t>
      </w:r>
    </w:p>
    <w:p>
      <w:pPr>
        <w:keepNext w:val="0"/>
        <w:keepLines w:val="0"/>
        <w:pageBreakBefore w:val="0"/>
        <w:widowControl/>
        <w:kinsoku/>
        <w:wordWrap/>
        <w:overflowPunct/>
        <w:topLinePunct w:val="0"/>
        <w:autoSpaceDE/>
        <w:autoSpaceDN/>
        <w:bidi w:val="0"/>
        <w:adjustRightInd/>
        <w:snapToGrid/>
        <w:spacing w:line="600" w:lineRule="exact"/>
        <w:ind w:firstLine="674"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楷体_GB2312" w:hAnsi="楷体_GB2312" w:eastAsia="楷体_GB2312" w:cs="楷体_GB2312"/>
          <w:b/>
          <w:bCs w:val="0"/>
          <w:spacing w:val="8"/>
          <w:sz w:val="32"/>
          <w:szCs w:val="32"/>
          <w:lang w:val="en-US" w:eastAsia="zh-CN"/>
        </w:rPr>
        <w:t>（二）部门整体支出绩效目标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1. 预决算公开：2021年，按照上级的要求，我委在资阳公众信息网进行了预决算公开。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2. “三公经费”控制情况：本着厉行节约的原则，严格控制“三公经费”支出，取得了良好效果。2021年度“三公”经费财政拨款支出预算为17.8万元（其中，经费拨款安排9.4万元，纳入公共预算管理的非税收入拨款8.4万元），支出决算为62.41万元。其中：公务用车购置及运行维护费支出预算为16.8万元，支出决算为62.41万元，（其中，公务用车购置费用46.36万元，公务用车运行维护费16.05万元）。主要原因：中心工作的监督任务加重及参办省、市纪委专案导致公务用车支出增加，且2021年新购置执法执勤公务用车2辆，价值46.36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3. 内部管理制度建设情况：我委</w:t>
      </w:r>
      <w:r>
        <w:rPr>
          <w:rFonts w:hint="eastAsia" w:ascii="仿宋_GB2312" w:hAnsi="仿宋" w:eastAsia="仿宋_GB2312" w:cs="仿宋"/>
          <w:b w:val="0"/>
          <w:bCs w:val="0"/>
          <w:sz w:val="32"/>
          <w:szCs w:val="32"/>
          <w:lang w:val="en-US" w:eastAsia="zh-CN"/>
        </w:rPr>
        <w:t>严格遵守“三重一大”规定，在原有相对健全的财务管理制度基础上，适时地、针对性的进行了相关制度的增补。制定出台《资阳区纪委监委财务审批与报账程序》，严格财务收支的会计核算和监督程序，规范管理，强化约束，保证财务开支的真实性、合法性、合规性，提高财政预算资金的支出进度和使用效率</w:t>
      </w:r>
      <w:r>
        <w:rPr>
          <w:rFonts w:hint="eastAsia" w:ascii="仿宋_GB2312" w:hAnsi="微软雅黑" w:eastAsia="仿宋_GB2312" w:cs="宋体"/>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74"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楷体_GB2312" w:hAnsi="楷体_GB2312" w:eastAsia="楷体_GB2312" w:cs="楷体_GB2312"/>
          <w:b/>
          <w:bCs w:val="0"/>
          <w:spacing w:val="8"/>
          <w:sz w:val="32"/>
          <w:szCs w:val="32"/>
          <w:lang w:val="en-US" w:eastAsia="zh-CN"/>
        </w:rPr>
        <w:t>（三）部门整体支出情况分析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从整体情况来看，我委严格按照年初预算进行部门整体支出。在支出过程中，坚持“反对浪费、节约开支”的原则，尤其是在专项经费支出上，我们能专款专用，按项目实施计划的进度情况进行资金拨付，实行了先有预算、后有执行的新常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三、绩效评价工作情况</w:t>
      </w:r>
    </w:p>
    <w:p>
      <w:pPr>
        <w:keepNext w:val="0"/>
        <w:keepLines w:val="0"/>
        <w:pageBreakBefore w:val="0"/>
        <w:widowControl/>
        <w:kinsoku/>
        <w:wordWrap/>
        <w:overflowPunct/>
        <w:topLinePunct w:val="0"/>
        <w:autoSpaceDE/>
        <w:autoSpaceDN/>
        <w:bidi w:val="0"/>
        <w:adjustRightInd/>
        <w:snapToGrid/>
        <w:spacing w:line="600" w:lineRule="exact"/>
        <w:ind w:firstLine="674" w:firstLineChars="200"/>
        <w:jc w:val="left"/>
        <w:textAlignment w:val="auto"/>
        <w:outlineLvl w:val="9"/>
        <w:rPr>
          <w:rFonts w:hint="eastAsia" w:ascii="楷体_GB2312" w:hAnsi="楷体_GB2312" w:eastAsia="楷体_GB2312" w:cs="楷体_GB2312"/>
          <w:b/>
          <w:bCs w:val="0"/>
          <w:spacing w:val="8"/>
          <w:sz w:val="32"/>
          <w:szCs w:val="32"/>
          <w:lang w:val="en-US" w:eastAsia="zh-CN"/>
        </w:rPr>
      </w:pPr>
      <w:r>
        <w:rPr>
          <w:rFonts w:hint="eastAsia" w:ascii="楷体_GB2312" w:hAnsi="楷体_GB2312" w:eastAsia="楷体_GB2312" w:cs="楷体_GB2312"/>
          <w:b/>
          <w:bCs w:val="0"/>
          <w:spacing w:val="8"/>
          <w:sz w:val="32"/>
          <w:szCs w:val="32"/>
          <w:lang w:val="en-US" w:eastAsia="zh-CN"/>
        </w:rPr>
        <w:t>（一）绩效评价目的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此次绩效评价的目的是：严格落实《预算法》及省、市、区绩效管理工作的有关规定，进一步规范财政资金管理，牢固树立预算绩效理念，通过预算绩效自评，完善制度、创新机制，提高财政资金使用的规范性、安全性和有效性，促进纪检监察事业的发展。</w:t>
      </w:r>
    </w:p>
    <w:p>
      <w:pPr>
        <w:keepNext w:val="0"/>
        <w:keepLines w:val="0"/>
        <w:pageBreakBefore w:val="0"/>
        <w:widowControl/>
        <w:kinsoku/>
        <w:wordWrap/>
        <w:overflowPunct/>
        <w:topLinePunct w:val="0"/>
        <w:autoSpaceDE/>
        <w:autoSpaceDN/>
        <w:bidi w:val="0"/>
        <w:adjustRightInd/>
        <w:snapToGrid/>
        <w:spacing w:line="600" w:lineRule="exact"/>
        <w:ind w:firstLine="674"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楷体_GB2312" w:hAnsi="楷体_GB2312" w:eastAsia="楷体_GB2312" w:cs="楷体_GB2312"/>
          <w:b/>
          <w:bCs w:val="0"/>
          <w:spacing w:val="8"/>
          <w:sz w:val="32"/>
          <w:szCs w:val="32"/>
          <w:lang w:val="en-US" w:eastAsia="zh-CN"/>
        </w:rPr>
        <w:t>（二）绩效评价的主要过程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根据绩效评价的要求，我委严格进行自评自查。在自评过程中发现问题，查找原因，及时纠正偏差，为下一步工作夯实基础。</w:t>
      </w:r>
    </w:p>
    <w:p>
      <w:pPr>
        <w:keepNext w:val="0"/>
        <w:keepLines w:val="0"/>
        <w:pageBreakBefore w:val="0"/>
        <w:widowControl/>
        <w:kinsoku/>
        <w:wordWrap/>
        <w:overflowPunct/>
        <w:topLinePunct w:val="0"/>
        <w:autoSpaceDE/>
        <w:autoSpaceDN/>
        <w:bidi w:val="0"/>
        <w:adjustRightInd/>
        <w:snapToGrid/>
        <w:spacing w:line="600" w:lineRule="exact"/>
        <w:ind w:firstLine="674" w:firstLineChars="200"/>
        <w:jc w:val="left"/>
        <w:textAlignment w:val="auto"/>
        <w:outlineLvl w:val="9"/>
        <w:rPr>
          <w:rFonts w:hint="eastAsia" w:ascii="楷体_GB2312" w:hAnsi="楷体_GB2312" w:eastAsia="楷体_GB2312" w:cs="楷体_GB2312"/>
          <w:b/>
          <w:bCs w:val="0"/>
          <w:spacing w:val="8"/>
          <w:sz w:val="32"/>
          <w:szCs w:val="32"/>
          <w:lang w:val="en-US" w:eastAsia="zh-CN"/>
        </w:rPr>
      </w:pPr>
      <w:r>
        <w:rPr>
          <w:rFonts w:hint="eastAsia" w:ascii="楷体_GB2312" w:hAnsi="楷体_GB2312" w:eastAsia="楷体_GB2312" w:cs="楷体_GB2312"/>
          <w:b/>
          <w:bCs w:val="0"/>
          <w:spacing w:val="8"/>
          <w:sz w:val="32"/>
          <w:szCs w:val="32"/>
          <w:lang w:val="en-US" w:eastAsia="zh-CN"/>
        </w:rPr>
        <w:t>（三）主要绩效及评价结论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1. 精准开展政治监督，践行“两个维护”坚决有力。一是坚决贯彻“两个落到实处”。以强化政治监督为中心，确保习近平总书记重要指示批示落到实处，确保全面从严治党新要求落到实处。聚焦习近平总书记重要讲话、重要指示批示和考察湖南重要讲话精神加强监督检查，拉条挂账、专班推进，开展督查82次，立行立改问题42个。下沉一线开展疫情防控督查，监督整改问题286个，处理8人。深入推进“洞庭清波”专项行动及禁捕退捕专项监督，开展常态督查13次，立案3人，问责9人，守护好一江碧水。二是压实管党治党政治责任。协助区委出台加强对“一把手”和领导班子监督的主体责任和监督责任清单，细化分解任务，压实“两个责任”。对照清单加强监督检查，约谈14人，诫勉6人，谈话提醒15人。抓住“关键少数”牛鼻子，在全市创新开展科局级单位“一把手”向纪委委员述责述廉评议，强化成果运用，督促“一把手”切实履行“第一责任人”职责。以“廉政家访”为切入点，区级领导带头到各部门单位“一把手”家中上门进行家访，开展廉政家访154次，收集意见建议67条。三是用铁纪维护换届风气。把加强换届纪律监督作为检验政治监督效果的试金石，开展“拉关系、打招呼”等选人用人不正之风专项整治，派出10个现场督查组进行全方位全过程监督，及时发现和纠正换届中的各种偏差，廉政审查相关人员2530人，提出否决暂缓意见75人，确保了全区换届工作风清气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2. 一体推进“三不”，治理腐败效能不断增强。一是执纪执法从严。坚持“严”的主基调，对违纪违法问题“零容忍”。全年共处置问题线索396件，立案143件，党纪政务处分125人，其中区管干部17人，追缴违纪资金1150万元。运用“四种形态”处理401人次，其中第一、二种形态占比90%，实现监督执纪由“惩治极少数”向“管住大多数”拓展。办理留置案3件，协助省市纪委监委办理省体彩中心相关人员严重违纪违法案等。严守案件质量生命线和办案安全底线，全年开展走读式谈话225人次，确保办案安全“零”事故。二是政治巡察从紧。出台巡察与纪检监察监督贯通融合13项制度，开展巡察3轮，发现并反馈问题156个，高质量完成第五届区委任期内巡察全覆盖。对省委第十巡视组反馈意见的整改落实开展“回头看”，约谈整改落实不力单位主要负责人2人，确保反馈问题全面整改到位。三是以案促改从实。下发纪律检查建议书38份，督促相关单位建立健全制度6项。做实“后半篇文章”，拍摄《不可逾越的红线》，深刻剖析典型案例8个；组织观看《不可触碰的底线3》等廉政教育警示片，累计教育1.2万余人次。召开农口系统警示教育大会，通报案情，分析原因，堵塞漏洞，真正起到查处一案、警醒一片、治理一域的作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3. 突出人民至上，基层“微腐败”有效整治。一是全面护航乡村振兴。开展“一领域一专题”治理，抓实过渡期专项监督，巩固拓展脱贫攻坚成果，制定10个领域10项监督清单。开展督查8次，党纪政务处分27人，追缴资金45万余元。开展惠民惠农财政补贴资金专项监督，党纪政务处分7人，诫勉1人。二是开展社保、医保、粮食购销、工程建设领域招投标专项监督。起底社保问题线索15件，党纪政务处分8人。“清廉医保”专项监督查处25人，党纪政务处分12人，追缴违纪资金39万余元。粮食购销领域腐败问题专项整治处理问题线索7件，立案5人；高标准农田专项整治立案7人，党纪政务处分7人。工程建设领域招投标专项治理立案6人，党纪政务处分2人。三是破除“保护伞”。常态化开展扫黑除恶专项斗争，协同开展政法队伍教育整顿，受理问题线索18件，立案17人，党纪政务处分16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4. 坚持纠“四风”树新风并举，作风建设成果深化拓展。一是集中治理作风顽疾。严格执行中央八项规定及其实施细则精神，紧盯重要时间节点，严肃查处违规收送红包礼金、公车私用、私车公养、公款旅游等隐形变异问题。深入机关食堂、公共餐饮场所开展督查，推动治理餐饮浪费行为。部署开展“强政治、正作风、优环境、助振兴”四大专项行动，发现问题79个，党纪政务处分63人，组织处理23人。开展违规吃喝问题专项整治，查处问题8个，处理27人。靶向整治形式主义官僚主义，查处问题25个，党纪政务处分43人。二是持续优化营商环境。大力实施“亲清政商·活力资阳”主题活动，班子成员带头走访联系重点企业项目，推动解决问题14个，查处11人。严格落实“三个区分开来”，为4名受到不实举报的党员干部澄清正名，激励党员干部在现代化建设大局中担当作为。三是大力弘扬廉洁文化、清风正气。在全市率先开通“清廉资阳”视频号、抖音号，改版微信公众号，传播“红心向党、勇毅前行”主基调，全年累计推送信息148期544条；发布短视频8期，累计浏览量达5万余人。坚持精品、优品原则，在省级及以上媒体上稿116篇次，在市级媒体上稿472篇次，名列全市前茅。组织14个单位648人次前往廉政教育基地参观学习。《非遗里的清廉》《清风盈袖 明月入怀》等视频被中纪委网站首页推送。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5. 加强自身建设，纪检监察铁军战斗力进一步提高。一是提升能力素养。以政治建设为统领，认真开展党史学习教育</w:t>
      </w:r>
      <w:bookmarkStart w:id="0" w:name="_GoBack"/>
      <w:bookmarkEnd w:id="0"/>
      <w:r>
        <w:rPr>
          <w:rFonts w:hint="eastAsia" w:ascii="仿宋_GB2312" w:hAnsi="微软雅黑" w:eastAsia="仿宋_GB2312" w:cs="宋体"/>
          <w:kern w:val="0"/>
          <w:sz w:val="32"/>
          <w:szCs w:val="32"/>
          <w:lang w:val="en-US" w:eastAsia="zh-CN"/>
        </w:rPr>
        <w:t>，区纪委监委理论中心组集中扩大学习12次。对标对表开展全员培训，跟进学习新法规新制度，举办“清风学堂·学思践悟”7期，累计参学人数3100余人次。突出岗位练兵，以案代训33人次。二是激发队伍活力。广泛开展谈心谈话、读书分享、廉政微宣讲等活动，积极参加市区文体竞赛，绽放资阳风采。开展办案一线干部家属走访慰问活动，强化对办案干部的关心关怀。加强干部培养选拔，提拔重用干部16人，交流使用17人，向省市输送年轻干部5人。三是严格内部管理。严格执行省纪委“十二条负面清单”，规范队伍“三化”建设，坚决做到“三防”“四慎”。全面落实日常监督和个人重大事项报告制度，经常打扫庭院、清除害群之马，严防“灯下黑”,涉及纪检监察干部信访件全部核实整改到位。</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74" w:firstLineChars="200"/>
        <w:jc w:val="left"/>
        <w:textAlignment w:val="auto"/>
        <w:outlineLvl w:val="9"/>
        <w:rPr>
          <w:rFonts w:hint="eastAsia" w:ascii="楷体_GB2312" w:hAnsi="楷体_GB2312" w:eastAsia="楷体_GB2312" w:cs="楷体_GB2312"/>
          <w:b/>
          <w:bCs w:val="0"/>
          <w:spacing w:val="8"/>
          <w:sz w:val="32"/>
          <w:szCs w:val="32"/>
          <w:lang w:val="en-US" w:eastAsia="zh-CN"/>
        </w:rPr>
      </w:pPr>
      <w:r>
        <w:rPr>
          <w:rFonts w:hint="eastAsia" w:ascii="楷体_GB2312" w:hAnsi="楷体_GB2312" w:eastAsia="楷体_GB2312" w:cs="楷体_GB2312"/>
          <w:b/>
          <w:bCs w:val="0"/>
          <w:spacing w:val="8"/>
          <w:sz w:val="32"/>
          <w:szCs w:val="32"/>
          <w:lang w:val="en-US" w:eastAsia="zh-CN"/>
        </w:rPr>
        <w:t>存在的主要问题</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政策学习有待加强，对《预算法》、《行政单位会计制度》等政策学习面不广、深入度不高。</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预算编制和预算管理还需进一步细化和加强，严格审核各项经费的支出，提高资金使用效率。</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0E4D6"/>
    <w:multiLevelType w:val="singleLevel"/>
    <w:tmpl w:val="DE60E4D6"/>
    <w:lvl w:ilvl="0" w:tentative="0">
      <w:start w:val="4"/>
      <w:numFmt w:val="chineseCounting"/>
      <w:suff w:val="nothing"/>
      <w:lvlText w:val="%1、"/>
      <w:lvlJc w:val="left"/>
      <w:rPr>
        <w:rFonts w:hint="eastAsia"/>
      </w:rPr>
    </w:lvl>
  </w:abstractNum>
  <w:abstractNum w:abstractNumId="1">
    <w:nsid w:val="EF91B943"/>
    <w:multiLevelType w:val="singleLevel"/>
    <w:tmpl w:val="EF91B94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zc1M2Y1ODRkMTExMGEwMDA0NDUzNTVmZmMyNzYifQ=="/>
  </w:docVars>
  <w:rsids>
    <w:rsidRoot w:val="00000000"/>
    <w:rsid w:val="27F80232"/>
    <w:rsid w:val="283B15B8"/>
    <w:rsid w:val="2FE766AD"/>
    <w:rsid w:val="3C547CF1"/>
    <w:rsid w:val="420B2D03"/>
    <w:rsid w:val="468B3DA5"/>
    <w:rsid w:val="56E80C87"/>
    <w:rsid w:val="5FA61AD0"/>
    <w:rsid w:val="600234B8"/>
    <w:rsid w:val="74D45B5D"/>
    <w:rsid w:val="DBDC7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5279</Words>
  <Characters>5511</Characters>
  <Lines>0</Lines>
  <Paragraphs>0</Paragraphs>
  <TotalTime>1</TotalTime>
  <ScaleCrop>false</ScaleCrop>
  <LinksUpToDate>false</LinksUpToDate>
  <CharactersWithSpaces>5519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lx</cp:lastModifiedBy>
  <dcterms:modified xsi:type="dcterms:W3CDTF">2025-09-05T18:08:49Z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12B709676ABF4C3498C711460703A1C3</vt:lpwstr>
  </property>
</Properties>
</file>