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B908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仿宋" w:hAnsi="仿宋" w:eastAsia="仿宋" w:cs="仿宋"/>
          <w:spacing w:val="-6"/>
          <w:sz w:val="31"/>
          <w:szCs w:val="31"/>
        </w:rPr>
      </w:pPr>
    </w:p>
    <w:p w14:paraId="544CE386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298" w:firstLineChars="1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附件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5</w:t>
      </w:r>
    </w:p>
    <w:p w14:paraId="19813135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仿宋" w:hAnsi="仿宋" w:eastAsia="仿宋" w:cs="仿宋"/>
          <w:sz w:val="31"/>
          <w:szCs w:val="31"/>
        </w:rPr>
      </w:pPr>
    </w:p>
    <w:p w14:paraId="573BB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  <w:t>2024年度益阳市资阳区城市管理和综合执法局</w:t>
      </w:r>
    </w:p>
    <w:p w14:paraId="0A87C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napToGrid/>
          <w:kern w:val="2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  <w:t>直属二大队部门整体支出绩效自评报告</w:t>
      </w:r>
    </w:p>
    <w:p w14:paraId="77ADD5FE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sz w:val="36"/>
          <w:szCs w:val="36"/>
        </w:rPr>
      </w:pPr>
    </w:p>
    <w:p w14:paraId="17BCD20E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64D29597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3BBC598F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325BDFC3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46E40F91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2EA3FF6B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4CBE4DDF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39FD97E1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3892F5B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710" w:firstLine="1116" w:firstLineChars="300"/>
        <w:rPr>
          <w:rFonts w:ascii="仿宋" w:hAnsi="仿宋" w:eastAsia="仿宋" w:cs="仿宋"/>
          <w:spacing w:val="11"/>
          <w:sz w:val="35"/>
          <w:szCs w:val="35"/>
        </w:rPr>
      </w:pPr>
    </w:p>
    <w:p w14:paraId="3071187B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710" w:firstLine="1116" w:firstLineChars="300"/>
        <w:rPr>
          <w:rFonts w:ascii="仿宋" w:hAnsi="仿宋" w:eastAsia="仿宋" w:cs="仿宋"/>
          <w:spacing w:val="11"/>
          <w:sz w:val="35"/>
          <w:szCs w:val="35"/>
        </w:rPr>
      </w:pPr>
    </w:p>
    <w:p w14:paraId="65F0AF19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710" w:firstLine="1488" w:firstLineChars="400"/>
        <w:rPr>
          <w:rFonts w:ascii="仿宋" w:hAnsi="仿宋" w:eastAsia="仿宋" w:cs="仿宋"/>
          <w:spacing w:val="11"/>
          <w:sz w:val="35"/>
          <w:szCs w:val="35"/>
        </w:rPr>
      </w:pPr>
    </w:p>
    <w:p w14:paraId="136EFA4A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710" w:firstLine="1488" w:firstLineChars="400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11"/>
          <w:sz w:val="35"/>
          <w:szCs w:val="35"/>
        </w:rPr>
        <w:t>部门（单位）名称</w:t>
      </w:r>
      <w:r>
        <w:rPr>
          <w:rFonts w:ascii="仿宋" w:hAnsi="仿宋" w:eastAsia="仿宋" w:cs="仿宋"/>
          <w:spacing w:val="-19"/>
          <w:sz w:val="35"/>
          <w:szCs w:val="35"/>
        </w:rPr>
        <w:t>：</w:t>
      </w:r>
      <w:r>
        <w:rPr>
          <w:rFonts w:ascii="仿宋" w:hAnsi="仿宋" w:eastAsia="仿宋" w:cs="仿宋"/>
          <w:spacing w:val="15"/>
          <w:sz w:val="35"/>
          <w:szCs w:val="35"/>
        </w:rPr>
        <w:t xml:space="preserve"> </w:t>
      </w:r>
      <w:r>
        <w:rPr>
          <w:rFonts w:ascii="仿宋" w:hAnsi="仿宋" w:eastAsia="仿宋" w:cs="仿宋"/>
          <w:spacing w:val="-19"/>
          <w:sz w:val="35"/>
          <w:szCs w:val="35"/>
          <w:u w:val="single" w:color="auto"/>
        </w:rPr>
        <w:t>（</w:t>
      </w:r>
      <w:r>
        <w:rPr>
          <w:rFonts w:ascii="仿宋" w:hAnsi="仿宋" w:eastAsia="仿宋" w:cs="仿宋"/>
          <w:spacing w:val="11"/>
          <w:sz w:val="35"/>
          <w:szCs w:val="35"/>
          <w:u w:val="single" w:color="auto"/>
        </w:rPr>
        <w:t>盖章）</w:t>
      </w:r>
      <w:r>
        <w:rPr>
          <w:rFonts w:ascii="仿宋" w:hAnsi="仿宋" w:eastAsia="仿宋" w:cs="仿宋"/>
          <w:sz w:val="35"/>
          <w:szCs w:val="35"/>
          <w:u w:val="single" w:color="auto"/>
        </w:rPr>
        <w:t xml:space="preserve">        </w:t>
      </w:r>
    </w:p>
    <w:p w14:paraId="34AE8896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5FCC432D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21"/>
        </w:rPr>
      </w:pPr>
    </w:p>
    <w:p w14:paraId="1AD17CAB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3140" w:firstLineChars="1000"/>
        <w:rPr>
          <w:rFonts w:ascii="仿宋" w:hAnsi="仿宋" w:eastAsia="仿宋" w:cs="仿宋"/>
          <w:sz w:val="35"/>
          <w:szCs w:val="35"/>
        </w:rPr>
      </w:pPr>
      <w:r>
        <w:rPr>
          <w:rFonts w:hint="eastAsia" w:ascii="仿宋" w:hAnsi="仿宋" w:eastAsia="仿宋" w:cs="仿宋"/>
          <w:spacing w:val="-18"/>
          <w:sz w:val="35"/>
          <w:szCs w:val="35"/>
          <w:lang w:val="en-US" w:eastAsia="zh-CN"/>
        </w:rPr>
        <w:t xml:space="preserve">2025 </w:t>
      </w:r>
      <w:r>
        <w:rPr>
          <w:rFonts w:ascii="仿宋" w:hAnsi="仿宋" w:eastAsia="仿宋" w:cs="仿宋"/>
          <w:spacing w:val="-18"/>
          <w:sz w:val="35"/>
          <w:szCs w:val="35"/>
        </w:rPr>
        <w:t>年</w:t>
      </w:r>
      <w:r>
        <w:rPr>
          <w:rFonts w:ascii="仿宋" w:hAnsi="仿宋" w:eastAsia="仿宋" w:cs="仿宋"/>
          <w:spacing w:val="19"/>
          <w:sz w:val="35"/>
          <w:szCs w:val="35"/>
        </w:rPr>
        <w:t xml:space="preserve"> </w:t>
      </w:r>
      <w:r>
        <w:rPr>
          <w:rFonts w:hint="eastAsia" w:ascii="仿宋" w:hAnsi="仿宋" w:eastAsia="仿宋" w:cs="仿宋"/>
          <w:spacing w:val="19"/>
          <w:sz w:val="35"/>
          <w:szCs w:val="35"/>
          <w:lang w:val="en-US" w:eastAsia="zh-CN"/>
        </w:rPr>
        <w:t>5</w:t>
      </w:r>
      <w:r>
        <w:rPr>
          <w:rFonts w:ascii="仿宋" w:hAnsi="仿宋" w:eastAsia="仿宋" w:cs="仿宋"/>
          <w:spacing w:val="19"/>
          <w:sz w:val="35"/>
          <w:szCs w:val="35"/>
        </w:rPr>
        <w:t xml:space="preserve"> </w:t>
      </w:r>
      <w:r>
        <w:rPr>
          <w:rFonts w:ascii="仿宋" w:hAnsi="仿宋" w:eastAsia="仿宋" w:cs="仿宋"/>
          <w:spacing w:val="-18"/>
          <w:sz w:val="35"/>
          <w:szCs w:val="35"/>
        </w:rPr>
        <w:t>月</w:t>
      </w:r>
      <w:r>
        <w:rPr>
          <w:rFonts w:ascii="仿宋" w:hAnsi="仿宋" w:eastAsia="仿宋" w:cs="仿宋"/>
          <w:spacing w:val="38"/>
          <w:sz w:val="35"/>
          <w:szCs w:val="35"/>
        </w:rPr>
        <w:t xml:space="preserve"> </w:t>
      </w:r>
      <w:r>
        <w:rPr>
          <w:rFonts w:hint="eastAsia" w:ascii="仿宋" w:hAnsi="仿宋" w:eastAsia="仿宋" w:cs="仿宋"/>
          <w:spacing w:val="38"/>
          <w:sz w:val="35"/>
          <w:szCs w:val="35"/>
          <w:lang w:val="en-US" w:eastAsia="zh-CN"/>
        </w:rPr>
        <w:t>20</w:t>
      </w:r>
      <w:r>
        <w:rPr>
          <w:rFonts w:ascii="仿宋" w:hAnsi="仿宋" w:eastAsia="仿宋" w:cs="仿宋"/>
          <w:spacing w:val="38"/>
          <w:sz w:val="35"/>
          <w:szCs w:val="35"/>
        </w:rPr>
        <w:t xml:space="preserve"> </w:t>
      </w:r>
      <w:r>
        <w:rPr>
          <w:rFonts w:ascii="仿宋" w:hAnsi="仿宋" w:eastAsia="仿宋" w:cs="仿宋"/>
          <w:spacing w:val="-18"/>
          <w:sz w:val="35"/>
          <w:szCs w:val="35"/>
        </w:rPr>
        <w:t>日</w:t>
      </w:r>
    </w:p>
    <w:p w14:paraId="3981262F">
      <w:pPr>
        <w:pStyle w:val="4"/>
        <w:bidi w:val="0"/>
        <w:ind w:left="0" w:leftChars="0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 w14:paraId="7244EE4A">
      <w:pPr>
        <w:pStyle w:val="4"/>
        <w:bidi w:val="0"/>
        <w:ind w:left="0" w:leftChars="0" w:firstLine="1446" w:firstLineChars="400"/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 w14:paraId="488D7249">
      <w:pPr>
        <w:pStyle w:val="4"/>
        <w:bidi w:val="0"/>
        <w:ind w:left="0" w:leftChars="0" w:firstLine="1446" w:firstLineChars="400"/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 w14:paraId="1A683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</w:pPr>
    </w:p>
    <w:p w14:paraId="340D0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</w:pPr>
    </w:p>
    <w:p w14:paraId="6E658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  <w:t>2024年度益阳市资阳区城市管理和综合执法局</w:t>
      </w:r>
    </w:p>
    <w:p w14:paraId="708CA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napToGrid/>
          <w:kern w:val="2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6"/>
          <w:lang w:eastAsia="zh-CN"/>
        </w:rPr>
        <w:t>直属二大队部门整体支出绩效自评报告</w:t>
      </w:r>
    </w:p>
    <w:p w14:paraId="1880B6DE">
      <w:pPr>
        <w:pStyle w:val="4"/>
        <w:bidi w:val="0"/>
        <w:ind w:left="0" w:leftChars="0" w:firstLine="2168" w:firstLineChars="60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 w14:paraId="7884E51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35" w:firstLine="668" w:firstLineChars="200"/>
        <w:rPr>
          <w:rFonts w:ascii="黑体" w:hAnsi="黑体" w:eastAsia="黑体" w:cs="黑体"/>
          <w:spacing w:val="7"/>
          <w:sz w:val="32"/>
          <w:szCs w:val="32"/>
        </w:rPr>
      </w:pPr>
    </w:p>
    <w:p w14:paraId="648906DC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35" w:firstLine="668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一、部门概况</w:t>
      </w:r>
    </w:p>
    <w:p w14:paraId="5DCDE5E9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29" w:firstLine="659" w:firstLineChars="200"/>
        <w:jc w:val="both"/>
        <w:rPr>
          <w:rFonts w:hint="eastAsia" w:ascii="楷体" w:hAnsi="楷体" w:eastAsia="楷体" w:cs="楷体"/>
          <w:b/>
          <w:bCs/>
          <w:spacing w:val="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4"/>
          <w:sz w:val="32"/>
          <w:szCs w:val="32"/>
        </w:rPr>
        <w:t>（一）简要介绍</w:t>
      </w:r>
      <w:r>
        <w:rPr>
          <w:rFonts w:hint="eastAsia" w:ascii="楷体" w:hAnsi="楷体" w:eastAsia="楷体" w:cs="楷体"/>
          <w:b/>
          <w:bCs/>
          <w:spacing w:val="-41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pacing w:val="4"/>
          <w:sz w:val="32"/>
          <w:szCs w:val="32"/>
        </w:rPr>
        <w:t>202</w:t>
      </w:r>
      <w:r>
        <w:rPr>
          <w:rFonts w:hint="eastAsia" w:ascii="楷体" w:hAnsi="楷体" w:eastAsia="楷体" w:cs="楷体"/>
          <w:b/>
          <w:bCs/>
          <w:spacing w:val="4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spacing w:val="-47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pacing w:val="4"/>
          <w:sz w:val="32"/>
          <w:szCs w:val="32"/>
        </w:rPr>
        <w:t>年度重点工作计划</w:t>
      </w:r>
    </w:p>
    <w:p w14:paraId="4DA04A6F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在2024年的工作中，将做好以下几个方面工作：</w:t>
      </w:r>
    </w:p>
    <w:p w14:paraId="137D1D4B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759" w:leftChars="345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一是强化网格化管控。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一步加强与各乡镇、街道、长春经开区联系，完善街道（长春经开区）、社区（村）的违建管控网格化体系，完善绩效考核办法，强化网格化的监督管理责任，确保履职到位，尽最大努力将违建遏制在萌芽状态，做到早发现、早处置，确保新发违建为零。</w:t>
      </w:r>
    </w:p>
    <w:p w14:paraId="073B53DB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二是强化舆论宣传。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联合各乡镇、街道、经开区等责任单位，充分发挥主观能动性，积极主动地做好防控违建方面的宣传工作，充分发挥报纸电视网络媒体作用，积极宣传违法建设治理的相关政策，向全社会曝光违建典型，形成人人支持、参与、监督违法建设治理工作的良好氛围。</w:t>
      </w:r>
    </w:p>
    <w:p w14:paraId="75666925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三是进一步加大违建打击力度</w:t>
      </w:r>
      <w:r>
        <w:rPr>
          <w:rFonts w:hint="eastAsia" w:cs="仿宋"/>
          <w:b/>
          <w:bCs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深入分析违建成因，探讨多方发力，通过多种手段，有效遏制违建，将违建消除在萌芽状态，降低经济损失，为群众的违建投入做减法，为区域经济发展献一份力。</w:t>
      </w:r>
    </w:p>
    <w:p w14:paraId="4337DF6A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988" w:firstLineChars="300"/>
        <w:jc w:val="both"/>
        <w:rPr>
          <w:rFonts w:hint="eastAsia" w:ascii="楷体" w:hAnsi="楷体" w:eastAsia="楷体" w:cs="楷体"/>
          <w:b/>
          <w:bCs/>
          <w:spacing w:val="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4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pacing w:val="4"/>
          <w:sz w:val="32"/>
          <w:szCs w:val="32"/>
        </w:rPr>
        <w:t>部门整体支出规模、使用方向、主要内容和涉及范围</w:t>
      </w:r>
    </w:p>
    <w:p w14:paraId="5D77F511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我单位2024年收到财政资金</w:t>
      </w:r>
      <w:r>
        <w:rPr>
          <w:rFonts w:hint="eastAsia" w:cs="仿宋"/>
          <w:color w:val="auto"/>
          <w:sz w:val="32"/>
          <w:szCs w:val="32"/>
          <w:lang w:val="en-US" w:eastAsia="zh-CN"/>
        </w:rPr>
        <w:t>890.33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万元，预算数</w:t>
      </w:r>
      <w:r>
        <w:rPr>
          <w:rFonts w:hint="eastAsia" w:cs="仿宋"/>
          <w:color w:val="auto"/>
          <w:sz w:val="32"/>
          <w:szCs w:val="32"/>
          <w:lang w:val="en-US" w:eastAsia="zh-CN"/>
        </w:rPr>
        <w:t>914.59万元，结余24.26万元转作下年（因12月还有费用未支出）。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其中基本支出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510.7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万元，项目支出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379.63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万元；2024年实际支出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890.33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，其中基本支出510.7万元，项目支出379.63万元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。经费主要用于保障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全体干职工工资的正常发放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，单位职工五险一金的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正常缴纳，</w:t>
      </w:r>
      <w:r>
        <w:rPr>
          <w:rFonts w:hint="eastAsia" w:cs="仿宋"/>
          <w:color w:val="auto"/>
          <w:sz w:val="32"/>
          <w:szCs w:val="32"/>
          <w:lang w:val="en-US" w:eastAsia="zh-CN"/>
        </w:rPr>
        <w:t>执法执勤车辆的正常运行，城市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路灯电费的正常缴纳</w:t>
      </w:r>
      <w:r>
        <w:rPr>
          <w:rFonts w:hint="eastAsia" w:cs="仿宋"/>
          <w:color w:val="auto"/>
          <w:sz w:val="32"/>
          <w:szCs w:val="32"/>
          <w:lang w:val="en-US" w:eastAsia="zh-CN"/>
        </w:rPr>
        <w:t>等活动方面的费用。</w:t>
      </w:r>
    </w:p>
    <w:p w14:paraId="61B4F5A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1344" w:firstLineChars="400"/>
        <w:jc w:val="both"/>
        <w:rPr>
          <w:rFonts w:ascii="黑体" w:hAnsi="黑体" w:eastAsia="黑体" w:cs="黑体"/>
          <w:spacing w:val="8"/>
          <w:sz w:val="31"/>
          <w:szCs w:val="31"/>
        </w:rPr>
      </w:pP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二、</w:t>
      </w:r>
      <w:r>
        <w:rPr>
          <w:rFonts w:ascii="黑体" w:hAnsi="黑体" w:eastAsia="黑体" w:cs="黑体"/>
          <w:spacing w:val="8"/>
          <w:sz w:val="32"/>
          <w:szCs w:val="32"/>
        </w:rPr>
        <w:t>一般公共预算支出情况</w:t>
      </w:r>
    </w:p>
    <w:p w14:paraId="3C35EB40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2024年财政拨款收入决算总计为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890.33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万元。其中：一般公共财政拨款收入</w:t>
      </w:r>
      <w:r>
        <w:rPr>
          <w:rFonts w:hint="eastAsia" w:cs="仿宋"/>
          <w:color w:val="auto"/>
          <w:sz w:val="32"/>
          <w:szCs w:val="32"/>
          <w:lang w:val="en-US" w:eastAsia="zh-CN"/>
        </w:rPr>
        <w:t>755.75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万元，其他收入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134.59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万元。决算数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于年初预算数</w:t>
      </w:r>
      <w:r>
        <w:rPr>
          <w:rFonts w:hint="eastAsia" w:cs="仿宋"/>
          <w:color w:val="auto"/>
          <w:sz w:val="32"/>
          <w:szCs w:val="32"/>
          <w:lang w:val="en-US" w:eastAsia="zh-CN"/>
        </w:rPr>
        <w:t>24.26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万元，主要原因是年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底12月还有费用未支付，来年1月会支付完。</w:t>
      </w:r>
    </w:p>
    <w:p w14:paraId="2348C58A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2024年财政拨款支出决算总计为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890.33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万元。其中：一般公共财政拨款支出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755.75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万元，其他支出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134.59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万元。决算数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于年初预算数</w:t>
      </w:r>
      <w:r>
        <w:rPr>
          <w:rFonts w:hint="eastAsia" w:cs="仿宋"/>
          <w:color w:val="auto"/>
          <w:sz w:val="32"/>
          <w:szCs w:val="32"/>
          <w:lang w:val="en-US" w:eastAsia="zh-CN"/>
        </w:rPr>
        <w:t>24.26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万元，主要原因是年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底12月还有费用未支付，</w:t>
      </w:r>
      <w:bookmarkStart w:id="0" w:name="_GoBack"/>
      <w:bookmarkEnd w:id="0"/>
      <w:r>
        <w:rPr>
          <w:rFonts w:hint="eastAsia" w:cs="仿宋"/>
          <w:color w:val="auto"/>
          <w:sz w:val="32"/>
          <w:szCs w:val="32"/>
          <w:lang w:val="en-US" w:eastAsia="zh-CN"/>
        </w:rPr>
        <w:t>来年1月会支付完。</w:t>
      </w:r>
    </w:p>
    <w:p w14:paraId="18ED1BFC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ascii="黑体" w:hAnsi="黑体" w:eastAsia="黑体" w:cs="黑体"/>
          <w:spacing w:val="8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其中：基本支出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510.7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万元（人员经费支出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456.69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万元、日常公用经费支出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54.01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万元），项目支出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379.63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万元，主要用于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城市路灯电费支出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 w14:paraId="4F6BE03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1006" w:firstLineChars="300"/>
        <w:jc w:val="both"/>
        <w:rPr>
          <w:rFonts w:hint="eastAsia" w:ascii="楷体" w:hAnsi="楷体" w:eastAsia="楷体" w:cs="楷体"/>
          <w:b/>
          <w:bCs/>
          <w:spacing w:val="7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pacing w:val="7"/>
          <w:sz w:val="32"/>
          <w:szCs w:val="32"/>
          <w:highlight w:val="none"/>
        </w:rPr>
        <w:t>（一）基本支出情况</w:t>
      </w:r>
    </w:p>
    <w:p w14:paraId="3193C418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2024年基本支出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510.7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万元，其中人员经费</w:t>
      </w:r>
      <w:r>
        <w:rPr>
          <w:rFonts w:hint="eastAsia" w:cs="仿宋"/>
          <w:color w:val="auto"/>
          <w:sz w:val="32"/>
          <w:szCs w:val="32"/>
          <w:lang w:val="en-US" w:eastAsia="zh-CN"/>
        </w:rPr>
        <w:t>456.69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,主要用于单位的基本工资、津贴补贴、奖金、伙食补助费、绩效工资、机关事业单位基本养老保险缴费、职业年金缴费、职工基本医疗保险缴费、公务员医疗补助缴费、其他社会保障缴费、住房公积金、其他工资福利支出。日常公用经费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54.01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万元，主要用于办公费、印刷费、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咨询费、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差旅费、维修（护）费、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专用燃料费、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劳务费、工会经费、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福利费、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其他交通费、其他商品和服务支出、办公设备购置等支出。</w:t>
      </w:r>
    </w:p>
    <w:p w14:paraId="4E4CD3C0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29" w:firstLine="335" w:firstLineChars="100"/>
        <w:jc w:val="both"/>
        <w:rPr>
          <w:rFonts w:hint="eastAsia" w:ascii="楷体" w:hAnsi="楷体" w:eastAsia="楷体" w:cs="楷体"/>
          <w:b/>
          <w:bCs/>
          <w:spacing w:val="7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7"/>
          <w:sz w:val="32"/>
          <w:szCs w:val="32"/>
        </w:rPr>
        <w:t>（二）项目支出情况</w:t>
      </w:r>
    </w:p>
    <w:p w14:paraId="69B8B79E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 年度区级专项资金分配安排和使用管理情况,专项资金 名称必须注明。</w:t>
      </w:r>
    </w:p>
    <w:p w14:paraId="37F0D6A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2024年项目支出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379.63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万元，主要用于</w:t>
      </w:r>
      <w:r>
        <w:rPr>
          <w:rFonts w:hint="eastAsia" w:cs="仿宋"/>
          <w:color w:val="auto"/>
          <w:sz w:val="32"/>
          <w:szCs w:val="32"/>
          <w:lang w:val="en-US" w:eastAsia="zh-CN"/>
        </w:rPr>
        <w:t>支付城市路灯电费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方面。</w:t>
      </w:r>
    </w:p>
    <w:p w14:paraId="340C0FC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1344" w:firstLineChars="400"/>
        <w:jc w:val="both"/>
        <w:rPr>
          <w:rFonts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三、</w:t>
      </w:r>
      <w:r>
        <w:rPr>
          <w:rFonts w:ascii="黑体" w:hAnsi="黑体" w:eastAsia="黑体" w:cs="黑体"/>
          <w:spacing w:val="8"/>
          <w:sz w:val="32"/>
          <w:szCs w:val="32"/>
        </w:rPr>
        <w:t>部门整体支出绩效情况</w:t>
      </w:r>
    </w:p>
    <w:p w14:paraId="599E2C09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38" w:leftChars="290" w:right="121" w:firstLine="339" w:firstLineChars="100"/>
        <w:jc w:val="both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9"/>
          <w:sz w:val="32"/>
          <w:szCs w:val="32"/>
        </w:rPr>
        <w:t xml:space="preserve">（一）总结归纳本部门（单位）预算支出的绩效目标完成情 </w:t>
      </w:r>
      <w:r>
        <w:rPr>
          <w:rFonts w:hint="eastAsia" w:ascii="楷体" w:hAnsi="楷体" w:eastAsia="楷体" w:cs="楷体"/>
          <w:b/>
          <w:bCs/>
          <w:spacing w:val="7"/>
          <w:sz w:val="32"/>
          <w:szCs w:val="32"/>
        </w:rPr>
        <w:t>况，实现产出和取得效益的情况</w:t>
      </w:r>
    </w:p>
    <w:p w14:paraId="31224E68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1、广泛开展宣传活动。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充分利用媒体、车辆宣传、宣传资料、违建巡查的机会开展宣传工作，把法律政策入村入组入户，最大限度争取群众的理解支持和配合。对于每次的拆违行动，及时通过资水之阳等微信公众号进行宣传报道，扩大拆违效应。</w:t>
      </w:r>
    </w:p>
    <w:p w14:paraId="05F7BEC0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2、完成存量违建处置工作。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严格按照市违建整治办“全市存量违建台账资料报送业务培训会”会议要求，开展整治违法建设三年专项行动存量违建摸排统计工作，按照时间节点完成上报工作，并严格执行2024年完成存量违建处置达到汇总表100%的处置目标。目前，存量违建处置率已达100%。</w:t>
      </w:r>
    </w:p>
    <w:p w14:paraId="19B73BDC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3、大力开展拆违工作。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我大队严格按照“三年专项行动”整体部署要求，对新发违建抓早抓小快查快处，做到发现一处、坚决拆除一处；对存量违建及时摸排建档，并对标对表逐步归零，目前已完成存量违建整治100%的工作目标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。一是严控新违建发生。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2024年全年共拆除新发违建12处1293平方米，较往年大幅下降，我区违建形势得到明显改善。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二是存量违建清零。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在前两年存量违建摸底和整治的基础上，2024年全力做好存量违建分类处置，并加大力度，并配合其他重点项目，积极拆除这些历史遗留问题。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①开展安全隐患排查整治。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春节假前，我市遭遇极端雨雪冰冻天气，对钢结构的简易棚亭，带来了额外的承重压力，极易造成坍塌事故。全员出动，紧急疏散了零担区内约1000名人民群众；经过连续三天通宵达旦的加班加点，共转移出约100余家商户的经营设施设备；并于2月8日将存在安全隐患的17间大型棚亭的98处门面予以拆除，总面积约3400平方米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②开展重点项目违建整治。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对严重影响会龙山大桥建设的龚某的12间临街门面予以强制拆除。</w:t>
      </w:r>
    </w:p>
    <w:p w14:paraId="6C79B9EB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4、城市建成区屋顶棚架集中排查整治工作情况。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经过摸排，我区屋顶棚架总数为124处，屋顶棚架总面积5528㎡。其中重大隐患8处，面积290㎡，均是居民区等人流密集区；一般隐患2处，面积70㎡，位于主次干道两侧；通过宣传引导，重大隐患已全部拆除到位，一般隐患已加固修复，确保人民群众生命财产安全。</w:t>
      </w:r>
    </w:p>
    <w:p w14:paraId="0C2D9765">
      <w:pPr>
        <w:ind w:firstLine="640"/>
        <w:jc w:val="both"/>
        <w:rPr>
          <w:rFonts w:hint="eastAsia" w:ascii="黑体" w:hAnsi="黑体" w:eastAsia="黑体"/>
          <w:sz w:val="32"/>
          <w:szCs w:val="32"/>
        </w:rPr>
      </w:pPr>
    </w:p>
    <w:p w14:paraId="58F5E1E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1012" w:firstLineChars="300"/>
        <w:jc w:val="both"/>
        <w:rPr>
          <w:rFonts w:hint="eastAsia" w:ascii="楷体" w:hAnsi="楷体" w:eastAsia="楷体" w:cs="楷体"/>
          <w:b/>
          <w:bCs/>
          <w:spacing w:val="8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8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pacing w:val="8"/>
          <w:sz w:val="32"/>
          <w:szCs w:val="32"/>
        </w:rPr>
        <w:t>未实现既定绩效目标或未完成指标任务的分析说明</w:t>
      </w:r>
    </w:p>
    <w:p w14:paraId="26E7FD3C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对照年初设定的绩效目标 ，本单位绩效自评结果较好，通过实施定期的绩效评估，及时发现并纠正执行过程中的问题，确保绩效目标的最终实现。</w:t>
      </w:r>
    </w:p>
    <w:p w14:paraId="426405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8" w:leftChars="290" w:firstLine="337" w:firstLineChars="100"/>
        <w:jc w:val="both"/>
        <w:textAlignment w:val="baseline"/>
        <w:rPr>
          <w:rFonts w:hint="eastAsia" w:ascii="楷体" w:hAnsi="楷体" w:eastAsia="楷体" w:cs="楷体"/>
          <w:b/>
          <w:bCs/>
          <w:spacing w:val="8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8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pacing w:val="8"/>
          <w:sz w:val="32"/>
          <w:szCs w:val="32"/>
        </w:rPr>
        <w:t xml:space="preserve">围绕部门（单位）职责、行业发展规划， 以预算资金 </w:t>
      </w:r>
      <w:r>
        <w:rPr>
          <w:rFonts w:hint="eastAsia" w:ascii="楷体" w:hAnsi="楷体" w:eastAsia="楷体" w:cs="楷体"/>
          <w:b/>
          <w:bCs/>
          <w:spacing w:val="8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pacing w:val="8"/>
          <w:sz w:val="32"/>
          <w:szCs w:val="32"/>
        </w:rPr>
        <w:t>管理为主线，总结部门（单位）资产管理和开展业务情况，从运 行成本、管理效率、履职效能、社会效应、可持续发展能力和服 务对象满意度等方面，衡量部门（单位）整体及核心业务实施效果</w:t>
      </w:r>
    </w:p>
    <w:p w14:paraId="1620E7AD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本单位资产设有专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门人员将单位所有资产全部录入固定资产信息系统,实行动态管理。资产配置严格按照规定程序报批，坚持资产配备与单位履行职能需要相适应，坚持资产管理与预算管理相结合。资产利用率高，资产配置基本合理，人均占有办公室使用面积、人均占有通用设备数量等指标均在正常范围。</w:t>
      </w:r>
    </w:p>
    <w:p w14:paraId="79433320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right="121" w:firstLine="1018" w:firstLineChars="300"/>
        <w:jc w:val="both"/>
        <w:rPr>
          <w:rFonts w:hint="eastAsia" w:ascii="楷体" w:hAnsi="楷体" w:eastAsia="楷体" w:cs="楷体"/>
          <w:b/>
          <w:bCs/>
          <w:spacing w:val="9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9"/>
          <w:sz w:val="32"/>
          <w:szCs w:val="32"/>
        </w:rPr>
        <w:t>（四）加强部门整体支出绩效管理的举措</w:t>
      </w:r>
    </w:p>
    <w:p w14:paraId="0B686793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建立完善的经费绩效管理体系，明确绩效目标，构建科学的绩效目标体系，规范绩效预算编制等。</w:t>
      </w:r>
    </w:p>
    <w:p w14:paraId="0071503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1336" w:firstLineChars="400"/>
        <w:jc w:val="both"/>
        <w:rPr>
          <w:rFonts w:ascii="黑体" w:hAnsi="黑体" w:eastAsia="黑体" w:cs="黑体"/>
          <w:spacing w:val="7"/>
          <w:sz w:val="32"/>
          <w:szCs w:val="32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四、</w:t>
      </w:r>
      <w:r>
        <w:rPr>
          <w:rFonts w:ascii="黑体" w:hAnsi="黑体" w:eastAsia="黑体" w:cs="黑体"/>
          <w:spacing w:val="7"/>
          <w:sz w:val="32"/>
          <w:szCs w:val="32"/>
        </w:rPr>
        <w:t>总体评价和自评得分情况</w:t>
      </w:r>
    </w:p>
    <w:p w14:paraId="156A2C1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4DC33B82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763AAC5F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按要求的时限和格式在规定公开门户网站及时完整公开绩效自</w:t>
      </w:r>
    </w:p>
    <w:p w14:paraId="02C9CC5F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0" w:firstLineChars="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信息。完善相关管理办法，规范固定资产的采购、使用及处置。固定资产配置合理、账务管理规范、账实相符、处置规范。根据部门项目支出情况，制定完善项目资金管理办法，做到部门重点项目支出有据可依。</w:t>
      </w:r>
    </w:p>
    <w:p w14:paraId="5FC981EC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2024年度整体支出绩效自评得分9</w:t>
      </w:r>
      <w:r>
        <w:rPr>
          <w:rFonts w:hint="eastAsia" w:cs="仿宋"/>
          <w:color w:val="auto"/>
          <w:sz w:val="32"/>
          <w:szCs w:val="32"/>
          <w:lang w:val="en-US" w:eastAsia="zh-CN"/>
        </w:rPr>
        <w:t>8.73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分。</w:t>
      </w:r>
    </w:p>
    <w:p w14:paraId="1CAF715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1336" w:firstLineChars="400"/>
        <w:jc w:val="both"/>
        <w:rPr>
          <w:rFonts w:ascii="黑体" w:hAnsi="黑体" w:eastAsia="黑体" w:cs="黑体"/>
          <w:spacing w:val="7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五、存在的问题及原因分析</w:t>
      </w:r>
    </w:p>
    <w:p w14:paraId="15D85328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主要反映各种预算支出执行偏离绩效目标的情况，并分析其原因。</w:t>
      </w:r>
    </w:p>
    <w:p w14:paraId="7B8DB99F">
      <w:pPr>
        <w:keepNext w:val="0"/>
        <w:keepLines w:val="0"/>
        <w:pageBreakBefore w:val="0"/>
        <w:widowControl/>
        <w:numPr>
          <w:numId w:val="0"/>
        </w:numPr>
        <w:wordWrap/>
        <w:overflowPunct/>
        <w:topLinePunct w:val="0"/>
        <w:bidi w:val="0"/>
        <w:adjustRightInd w:val="0"/>
        <w:snapToGrid w:val="0"/>
        <w:spacing w:line="560" w:lineRule="exact"/>
        <w:ind w:left="759" w:leftChars="345" w:right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整体自评表偏离情况：</w:t>
      </w:r>
      <w:r>
        <w:rPr>
          <w:rFonts w:hint="eastAsia" w:cs="仿宋"/>
          <w:color w:val="auto"/>
          <w:sz w:val="32"/>
          <w:szCs w:val="32"/>
          <w:lang w:val="en-US" w:eastAsia="zh-CN"/>
        </w:rPr>
        <w:t>降低路灯运维成本偏低：路灯日常运维成本主要包括电费支出和定期维护费用，其中电费占比较高，维护成本受故障率影响较大。常规维护（灯具清洗、线路检查等），故障维修（单灯故障需24小时内修复、线路故障需48小时内），备件更换成本因灯具类型而异，所以人工费及材料成本高。</w:t>
      </w:r>
    </w:p>
    <w:p w14:paraId="061DF66F">
      <w:pPr>
        <w:keepNext w:val="0"/>
        <w:keepLines w:val="0"/>
        <w:pageBreakBefore w:val="0"/>
        <w:widowControl/>
        <w:numPr>
          <w:numId w:val="0"/>
        </w:numPr>
        <w:wordWrap/>
        <w:overflowPunct/>
        <w:topLinePunct w:val="0"/>
        <w:bidi w:val="0"/>
        <w:adjustRightInd w:val="0"/>
        <w:snapToGrid w:val="0"/>
        <w:spacing w:line="560" w:lineRule="exact"/>
        <w:ind w:leftChars="200" w:right="0" w:rightChars="0" w:firstLine="960" w:firstLineChars="3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2、直属二大队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2024年度整体支出未偏离绩效目标</w:t>
      </w:r>
    </w:p>
    <w:p w14:paraId="28E4DC21">
      <w:pPr>
        <w:keepNext w:val="0"/>
        <w:keepLines w:val="0"/>
        <w:pageBreakBefore w:val="0"/>
        <w:numPr>
          <w:numId w:val="0"/>
        </w:numPr>
        <w:wordWrap/>
        <w:overflowPunct/>
        <w:topLinePunct w:val="0"/>
        <w:bidi w:val="0"/>
        <w:spacing w:line="560" w:lineRule="exact"/>
        <w:ind w:left="660" w:leftChars="0" w:right="0" w:rightChars="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 xml:space="preserve">    六、</w:t>
      </w:r>
      <w:r>
        <w:rPr>
          <w:rFonts w:ascii="黑体" w:hAnsi="黑体" w:eastAsia="黑体" w:cs="黑体"/>
          <w:spacing w:val="7"/>
          <w:sz w:val="32"/>
          <w:szCs w:val="32"/>
        </w:rPr>
        <w:t>下一步改进措施</w:t>
      </w:r>
    </w:p>
    <w:p w14:paraId="12F3B921">
      <w:pPr>
        <w:keepNext w:val="0"/>
        <w:keepLines w:val="0"/>
        <w:pageBreakBefore w:val="0"/>
        <w:widowControl/>
        <w:numPr>
          <w:numId w:val="0"/>
        </w:numPr>
        <w:wordWrap/>
        <w:overflowPunct/>
        <w:topLinePunct w:val="0"/>
        <w:bidi w:val="0"/>
        <w:adjustRightInd w:val="0"/>
        <w:snapToGrid w:val="0"/>
        <w:spacing w:line="560" w:lineRule="exact"/>
        <w:ind w:leftChars="300" w:right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color w:val="auto"/>
          <w:sz w:val="32"/>
          <w:szCs w:val="32"/>
          <w:highlight w:val="none"/>
          <w:lang w:val="en-US" w:eastAsia="zh-CN"/>
        </w:rPr>
        <w:t xml:space="preserve"> 1、需要安装智能路灯监控系统，因路灯控制系统通过自动监测和管理，能够及时发现并处理故障，减少人工和车辆的维护费用，还能有效预防白天非正常亮灯，避免大量的人力物力投入。</w:t>
      </w:r>
      <w:r>
        <w:rPr>
          <w:rFonts w:hint="default" w:ascii="微软雅黑" w:hAnsi="微软雅黑" w:eastAsia="微软雅黑" w:cs="微软雅黑"/>
          <w:color w:val="auto"/>
          <w:sz w:val="32"/>
          <w:szCs w:val="32"/>
          <w:highlight w:val="none"/>
          <w:lang w:val="en-US" w:eastAsia="zh-CN"/>
        </w:rPr>
        <w:t>①</w:t>
      </w:r>
      <w:r>
        <w:rPr>
          <w:rFonts w:hint="eastAsia" w:cs="仿宋"/>
          <w:color w:val="auto"/>
          <w:sz w:val="32"/>
          <w:szCs w:val="32"/>
          <w:highlight w:val="none"/>
          <w:lang w:val="en-US" w:eastAsia="zh-CN"/>
        </w:rPr>
        <w:t>通过智能监控系统的综合管理，节电率可提升30%以上，平均节电率可达30-40%，通过智能路灯控制系统可节省大量的电费支出，为城市管理者带来了显著的节能经济效益。</w:t>
      </w:r>
      <w:r>
        <w:rPr>
          <w:rFonts w:hint="default" w:ascii="微软雅黑" w:hAnsi="微软雅黑" w:eastAsia="微软雅黑" w:cs="微软雅黑"/>
          <w:color w:val="auto"/>
          <w:sz w:val="32"/>
          <w:szCs w:val="32"/>
          <w:highlight w:val="none"/>
          <w:lang w:val="en-US" w:eastAsia="zh-CN"/>
        </w:rPr>
        <w:t>②</w:t>
      </w:r>
      <w:r>
        <w:rPr>
          <w:rFonts w:hint="eastAsia" w:cs="仿宋"/>
          <w:color w:val="auto"/>
          <w:sz w:val="32"/>
          <w:szCs w:val="32"/>
          <w:highlight w:val="none"/>
          <w:lang w:val="en-US" w:eastAsia="zh-CN"/>
        </w:rPr>
        <w:t>对路灯实行精细化科学管理，合理准确调度，推进城市路灯日常照明由“按时启闭”向按需启闭“转变。</w:t>
      </w:r>
      <w:r>
        <w:rPr>
          <w:rFonts w:hint="default" w:ascii="微软雅黑" w:hAnsi="微软雅黑" w:eastAsia="微软雅黑" w:cs="微软雅黑"/>
          <w:color w:val="auto"/>
          <w:sz w:val="32"/>
          <w:szCs w:val="32"/>
          <w:highlight w:val="none"/>
          <w:lang w:val="en-US" w:eastAsia="zh-CN"/>
        </w:rPr>
        <w:t>③</w:t>
      </w:r>
      <w:r>
        <w:rPr>
          <w:rFonts w:hint="eastAsia" w:cs="仿宋"/>
          <w:color w:val="auto"/>
          <w:sz w:val="32"/>
          <w:szCs w:val="32"/>
          <w:highlight w:val="none"/>
          <w:lang w:val="en-US" w:eastAsia="zh-CN"/>
        </w:rPr>
        <w:t>对偏僻路段可实行定时或间隔开闭灯，这样且方便群众出行也能节能。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  <w:highlight w:val="none"/>
          <w:lang w:val="en-US" w:eastAsia="zh-CN"/>
        </w:rPr>
        <w:t>④</w:t>
      </w:r>
      <w:r>
        <w:rPr>
          <w:rFonts w:hint="eastAsia" w:cs="仿宋"/>
          <w:color w:val="auto"/>
          <w:sz w:val="32"/>
          <w:szCs w:val="32"/>
          <w:highlight w:val="none"/>
          <w:lang w:val="en-US" w:eastAsia="zh-CN"/>
        </w:rPr>
        <w:t>加强路灯设备的维护和更新，降低能耗，减少电费支出。</w:t>
      </w:r>
    </w:p>
    <w:p w14:paraId="6346902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1336" w:firstLineChars="400"/>
        <w:jc w:val="both"/>
        <w:rPr>
          <w:rFonts w:ascii="黑体" w:hAnsi="黑体" w:eastAsia="黑体" w:cs="黑体"/>
          <w:spacing w:val="7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七、整体支出绩效自评结果拟应用和公开情况</w:t>
      </w:r>
    </w:p>
    <w:p w14:paraId="6C35369F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960" w:firstLineChars="3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我单位逐步建立绩效评价与部门预算相结合的结果应用机制，采取项目预期绩效目标申报制度，强化评价结果在部门预算编制和执行中的应用，实现绩效评价结果在部门预算编制和执行中的应用，促进财政资金的合理分配与有效使用。</w:t>
      </w:r>
    </w:p>
    <w:p w14:paraId="4FB1A7B1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按照益阳市资阳区财政局相关部门的通知要求，我单位2024年整体绩效支出自评报告在益阳市资阳区人民政府网站公开，向社会公开了本部门的预算信息、决算信息、部门绩效目标和部门整体绩效自评情况，数据完整、真实、准确、接受社会监督。</w:t>
      </w:r>
    </w:p>
    <w:p w14:paraId="5D834D93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2ED51DBB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报告需要以下附件：</w:t>
      </w:r>
    </w:p>
    <w:p w14:paraId="2729A6B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1.部门整体支出绩效评价基础数据表</w:t>
      </w:r>
    </w:p>
    <w:p w14:paraId="5C95C10E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2.部门整体支出绩效自评表</w:t>
      </w:r>
    </w:p>
    <w:p w14:paraId="170B4C2D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1280" w:firstLineChars="4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3.项目支出绩效自评表</w:t>
      </w:r>
    </w:p>
    <w:p w14:paraId="002358B0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638" w:leftChars="290" w:firstLine="640" w:firstLineChars="200"/>
        <w:jc w:val="both"/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4.其他必要材料（当年度预算绩效目标申报表、单位年度工 作总结、预决算报表、有关表彰奖励复印件等）及与自评报告、 基础表、自评表内容相符的相关佐证材料（佐证资料必须列目录， 与 自评表指标对应）</w:t>
      </w:r>
    </w:p>
    <w:p w14:paraId="2609D2F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640" w:firstLineChars="200"/>
        <w:jc w:val="both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16A4030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640" w:firstLineChars="20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3F8391B5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640" w:firstLineChars="20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698BE925">
      <w:pPr>
        <w:pStyle w:val="3"/>
        <w:spacing w:before="3"/>
        <w:jc w:val="both"/>
        <w:rPr>
          <w:sz w:val="41"/>
        </w:rPr>
      </w:pPr>
    </w:p>
    <w:p w14:paraId="7195AE55">
      <w:pPr>
        <w:spacing w:before="63"/>
        <w:ind w:left="0" w:right="1" w:firstLine="0"/>
        <w:jc w:val="both"/>
        <w:rPr>
          <w:rFonts w:ascii="Calibri"/>
          <w:sz w:val="18"/>
        </w:rPr>
      </w:pPr>
    </w:p>
    <w:sectPr>
      <w:footerReference r:id="rId5" w:type="default"/>
      <w:pgSz w:w="11910" w:h="16840"/>
      <w:pgMar w:top="1580" w:right="840" w:bottom="280" w:left="84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59719"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YzNjM1MWQ2OTIyNGIwMzdiMjU3NjMwNzE0YzMzM2EifQ=="/>
  </w:docVars>
  <w:rsids>
    <w:rsidRoot w:val="00000000"/>
    <w:rsid w:val="03BD3D36"/>
    <w:rsid w:val="04D37589"/>
    <w:rsid w:val="04FE1048"/>
    <w:rsid w:val="05B42F17"/>
    <w:rsid w:val="06AE17B6"/>
    <w:rsid w:val="06FF01C2"/>
    <w:rsid w:val="08D72B24"/>
    <w:rsid w:val="090C00F0"/>
    <w:rsid w:val="095C5D9F"/>
    <w:rsid w:val="09BE25B6"/>
    <w:rsid w:val="0AB66BBC"/>
    <w:rsid w:val="0B6C26DF"/>
    <w:rsid w:val="0B88742E"/>
    <w:rsid w:val="0BC828B0"/>
    <w:rsid w:val="0BF028A5"/>
    <w:rsid w:val="0BF16C73"/>
    <w:rsid w:val="0D0C3638"/>
    <w:rsid w:val="0E39045D"/>
    <w:rsid w:val="0E76345F"/>
    <w:rsid w:val="0EF91A2E"/>
    <w:rsid w:val="109B53FF"/>
    <w:rsid w:val="118A0FD0"/>
    <w:rsid w:val="119A3E27"/>
    <w:rsid w:val="11F40E6F"/>
    <w:rsid w:val="126D73F2"/>
    <w:rsid w:val="13241D59"/>
    <w:rsid w:val="144C6FE7"/>
    <w:rsid w:val="14C36CD2"/>
    <w:rsid w:val="153100E0"/>
    <w:rsid w:val="153B4ABB"/>
    <w:rsid w:val="15661082"/>
    <w:rsid w:val="173F47E7"/>
    <w:rsid w:val="18221F62"/>
    <w:rsid w:val="188E665D"/>
    <w:rsid w:val="18C354F3"/>
    <w:rsid w:val="1AB97E2B"/>
    <w:rsid w:val="1AEB5268"/>
    <w:rsid w:val="1B4951CA"/>
    <w:rsid w:val="1B610FF3"/>
    <w:rsid w:val="1BF172C8"/>
    <w:rsid w:val="1E7E3AFC"/>
    <w:rsid w:val="1EB40FB9"/>
    <w:rsid w:val="22B32E1E"/>
    <w:rsid w:val="22E026E2"/>
    <w:rsid w:val="22F83FEB"/>
    <w:rsid w:val="23FF3832"/>
    <w:rsid w:val="24790E1C"/>
    <w:rsid w:val="251F7F55"/>
    <w:rsid w:val="25565E93"/>
    <w:rsid w:val="25CD5C03"/>
    <w:rsid w:val="25FA62CC"/>
    <w:rsid w:val="26E74AA2"/>
    <w:rsid w:val="28321D4D"/>
    <w:rsid w:val="285238F2"/>
    <w:rsid w:val="28C130D1"/>
    <w:rsid w:val="2A265F75"/>
    <w:rsid w:val="2B4308BA"/>
    <w:rsid w:val="2B5841C1"/>
    <w:rsid w:val="2D214A86"/>
    <w:rsid w:val="2D653D1D"/>
    <w:rsid w:val="2EEE2746"/>
    <w:rsid w:val="2F854E58"/>
    <w:rsid w:val="2FC968E8"/>
    <w:rsid w:val="31197F4E"/>
    <w:rsid w:val="32BA750F"/>
    <w:rsid w:val="32BF657F"/>
    <w:rsid w:val="331A6404"/>
    <w:rsid w:val="33266952"/>
    <w:rsid w:val="33337C2B"/>
    <w:rsid w:val="33661445"/>
    <w:rsid w:val="35521BC3"/>
    <w:rsid w:val="357065AB"/>
    <w:rsid w:val="36C95F72"/>
    <w:rsid w:val="38CD4AFB"/>
    <w:rsid w:val="38E0053B"/>
    <w:rsid w:val="38FD63A7"/>
    <w:rsid w:val="3950297B"/>
    <w:rsid w:val="3A3C4ABF"/>
    <w:rsid w:val="3B79050B"/>
    <w:rsid w:val="3BB77E01"/>
    <w:rsid w:val="3BD038FF"/>
    <w:rsid w:val="3C553E04"/>
    <w:rsid w:val="3D5F545C"/>
    <w:rsid w:val="3D9A41C5"/>
    <w:rsid w:val="400022D9"/>
    <w:rsid w:val="40041DC9"/>
    <w:rsid w:val="407231D7"/>
    <w:rsid w:val="40D73EFD"/>
    <w:rsid w:val="41273A47"/>
    <w:rsid w:val="41B0497E"/>
    <w:rsid w:val="43450C80"/>
    <w:rsid w:val="4447497A"/>
    <w:rsid w:val="45041776"/>
    <w:rsid w:val="460D6A04"/>
    <w:rsid w:val="470E1780"/>
    <w:rsid w:val="47887784"/>
    <w:rsid w:val="49A07007"/>
    <w:rsid w:val="49AA1C33"/>
    <w:rsid w:val="4A404346"/>
    <w:rsid w:val="4B541447"/>
    <w:rsid w:val="4B5736F5"/>
    <w:rsid w:val="4BC23E1F"/>
    <w:rsid w:val="4BFC429C"/>
    <w:rsid w:val="4C390EDB"/>
    <w:rsid w:val="501E3A64"/>
    <w:rsid w:val="50267B3A"/>
    <w:rsid w:val="50531056"/>
    <w:rsid w:val="5082112D"/>
    <w:rsid w:val="512D36C3"/>
    <w:rsid w:val="52C976A5"/>
    <w:rsid w:val="53116E11"/>
    <w:rsid w:val="53E86429"/>
    <w:rsid w:val="54AB6112"/>
    <w:rsid w:val="54AD6A7C"/>
    <w:rsid w:val="54F80E20"/>
    <w:rsid w:val="550128F0"/>
    <w:rsid w:val="564009F8"/>
    <w:rsid w:val="56766BB5"/>
    <w:rsid w:val="577E200A"/>
    <w:rsid w:val="59875AED"/>
    <w:rsid w:val="5A6165BC"/>
    <w:rsid w:val="5A6B2D19"/>
    <w:rsid w:val="5AC409E1"/>
    <w:rsid w:val="5BCC1717"/>
    <w:rsid w:val="5C485468"/>
    <w:rsid w:val="5D080CF3"/>
    <w:rsid w:val="5FA439A0"/>
    <w:rsid w:val="61135EB8"/>
    <w:rsid w:val="612B3FBB"/>
    <w:rsid w:val="61565DA5"/>
    <w:rsid w:val="61CE4424"/>
    <w:rsid w:val="623D1B7C"/>
    <w:rsid w:val="62B62320"/>
    <w:rsid w:val="62C134AF"/>
    <w:rsid w:val="635E2806"/>
    <w:rsid w:val="64186691"/>
    <w:rsid w:val="64E03CD7"/>
    <w:rsid w:val="650A7757"/>
    <w:rsid w:val="66887BDD"/>
    <w:rsid w:val="66FE3167"/>
    <w:rsid w:val="67884D6E"/>
    <w:rsid w:val="67955879"/>
    <w:rsid w:val="68F96D9F"/>
    <w:rsid w:val="69782BE2"/>
    <w:rsid w:val="69F63B4A"/>
    <w:rsid w:val="6B352EA6"/>
    <w:rsid w:val="6C31107C"/>
    <w:rsid w:val="6D7D00CE"/>
    <w:rsid w:val="6DE170D3"/>
    <w:rsid w:val="6E284373"/>
    <w:rsid w:val="6EFB2469"/>
    <w:rsid w:val="6F1D3D63"/>
    <w:rsid w:val="70A05974"/>
    <w:rsid w:val="70FA674D"/>
    <w:rsid w:val="714842F2"/>
    <w:rsid w:val="71810C1C"/>
    <w:rsid w:val="720C15F3"/>
    <w:rsid w:val="72377C1B"/>
    <w:rsid w:val="727641AD"/>
    <w:rsid w:val="73AC2C12"/>
    <w:rsid w:val="73C23D6D"/>
    <w:rsid w:val="75D876D4"/>
    <w:rsid w:val="763E0E8A"/>
    <w:rsid w:val="771D3195"/>
    <w:rsid w:val="77A03606"/>
    <w:rsid w:val="77E078C2"/>
    <w:rsid w:val="78DE4720"/>
    <w:rsid w:val="78DF2421"/>
    <w:rsid w:val="79313B2A"/>
    <w:rsid w:val="7A095961"/>
    <w:rsid w:val="7A2B5BC9"/>
    <w:rsid w:val="7A5E0F4A"/>
    <w:rsid w:val="7B095F0A"/>
    <w:rsid w:val="7B7470FC"/>
    <w:rsid w:val="7B9D0A82"/>
    <w:rsid w:val="7BE14690"/>
    <w:rsid w:val="7D9D293A"/>
    <w:rsid w:val="7E1B5C4F"/>
    <w:rsid w:val="7EB4618D"/>
    <w:rsid w:val="7EB73ECF"/>
    <w:rsid w:val="7EC5039A"/>
    <w:rsid w:val="7F070B46"/>
    <w:rsid w:val="7F286B7B"/>
    <w:rsid w:val="7FB4040F"/>
    <w:rsid w:val="7FF876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520"/>
      <w:outlineLvl w:val="1"/>
    </w:pPr>
    <w:rPr>
      <w:rFonts w:ascii="微软雅黑" w:hAnsi="微软雅黑" w:eastAsia="微软雅黑" w:cs="微软雅黑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184"/>
      <w:ind w:left="1927" w:right="1884" w:firstLine="693"/>
    </w:pPr>
    <w:rPr>
      <w:rFonts w:ascii="Arial Unicode MS" w:hAnsi="Arial Unicode MS" w:eastAsia="Arial Unicode MS" w:cs="Arial Unicode MS"/>
      <w:sz w:val="44"/>
      <w:szCs w:val="4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136</Words>
  <Characters>152</Characters>
  <TotalTime>0</TotalTime>
  <ScaleCrop>false</ScaleCrop>
  <LinksUpToDate>false</LinksUpToDate>
  <CharactersWithSpaces>169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2024-05-28T02:04:00Z</dcterms:created>
  <dc:creator>Administrator</dc:creator>
  <cp:lastModifiedBy>Administrator</cp:lastModifiedBy>
  <dcterms:modified xsi:type="dcterms:W3CDTF">2025-10-18T12:29:42Z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2024-05-28T00:00:00Z</vt:filetime>
  </property>
  <property fmtid="{D5CDD505-2E9C-101B-9397-08002B2CF9AE}" pid="5" name="KSOProductBuildVer">
    <vt:lpwstr>2052-12.1.0.23125</vt:lpwstr>
  </property>
  <property fmtid="{D5CDD505-2E9C-101B-9397-08002B2CF9AE}" pid="6" name="ICV">
    <vt:lpwstr>0278DE94D9C44CE3ABB39AF35EE84F20_12</vt:lpwstr>
  </property>
  <property fmtid="{D5CDD505-2E9C-101B-9397-08002B2CF9AE}" pid="7" name="KSOTemplateDocerSaveRecord">
    <vt:lpwstr>eyJoZGlkIjoiNzU4Yzk4ODJmMGVmMGMwZTQyYzcyMjk1ZGFjMjNmNWEifQ==</vt:lpwstr>
  </property>
</Properties>
</file>