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 w:hAnsi="仿宋" w:eastAsia="仿宋" w:cs="仿宋"/>
          <w:kern w:val="0"/>
          <w:sz w:val="32"/>
          <w:szCs w:val="32"/>
          <w:lang w:val="en-US" w:eastAsia="zh-CN"/>
        </w:rPr>
      </w:pPr>
      <w:r>
        <w:rPr>
          <w:rFonts w:hint="eastAsia" w:ascii="仿宋" w:hAnsi="仿宋" w:eastAsia="仿宋" w:cs="仿宋"/>
          <w:kern w:val="0"/>
          <w:sz w:val="32"/>
          <w:szCs w:val="32"/>
        </w:rPr>
        <w:t>附件</w:t>
      </w:r>
      <w:r>
        <w:rPr>
          <w:rFonts w:hint="eastAsia" w:ascii="仿宋" w:hAnsi="仿宋" w:eastAsia="仿宋" w:cs="仿宋"/>
          <w:kern w:val="0"/>
          <w:sz w:val="32"/>
          <w:szCs w:val="32"/>
          <w:lang w:val="en-US" w:eastAsia="zh-CN"/>
        </w:rPr>
        <w:t>5</w:t>
      </w:r>
    </w:p>
    <w:p>
      <w:pPr>
        <w:jc w:val="center"/>
        <w:rPr>
          <w:rFonts w:hint="eastAsia" w:ascii="仿宋" w:hAnsi="仿宋" w:eastAsia="仿宋" w:cs="仿宋"/>
          <w:sz w:val="44"/>
          <w:szCs w:val="44"/>
        </w:rPr>
      </w:pPr>
      <w:r>
        <w:rPr>
          <w:rFonts w:hint="eastAsia" w:ascii="仿宋" w:hAnsi="仿宋" w:eastAsia="仿宋" w:cs="仿宋"/>
          <w:sz w:val="44"/>
          <w:szCs w:val="44"/>
          <w:lang w:val="en-US" w:eastAsia="zh-CN"/>
        </w:rPr>
        <w:t>2024</w:t>
      </w:r>
      <w:r>
        <w:rPr>
          <w:rFonts w:hint="eastAsia" w:ascii="仿宋" w:hAnsi="仿宋" w:eastAsia="仿宋" w:cs="仿宋"/>
          <w:sz w:val="44"/>
          <w:szCs w:val="44"/>
        </w:rPr>
        <w:t>年度环境卫生服务中心部门整体支出</w:t>
      </w:r>
    </w:p>
    <w:p>
      <w:pPr>
        <w:jc w:val="center"/>
        <w:rPr>
          <w:rFonts w:hint="eastAsia" w:ascii="仿宋" w:hAnsi="仿宋" w:eastAsia="仿宋" w:cs="仿宋"/>
          <w:sz w:val="44"/>
          <w:szCs w:val="44"/>
        </w:rPr>
      </w:pPr>
      <w:r>
        <w:rPr>
          <w:rFonts w:hint="eastAsia" w:ascii="仿宋" w:hAnsi="仿宋" w:eastAsia="仿宋" w:cs="仿宋"/>
          <w:sz w:val="44"/>
          <w:szCs w:val="44"/>
        </w:rPr>
        <w:t>绩效自评报告</w:t>
      </w: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p>
    <w:p>
      <w:pPr>
        <w:ind w:firstLine="880" w:firstLineChars="200"/>
        <w:jc w:val="center"/>
        <w:rPr>
          <w:rFonts w:hint="eastAsia" w:ascii="仿宋" w:hAnsi="仿宋" w:eastAsia="仿宋" w:cs="仿宋"/>
          <w:sz w:val="44"/>
          <w:szCs w:val="44"/>
        </w:rPr>
      </w:pPr>
    </w:p>
    <w:p>
      <w:pPr>
        <w:ind w:firstLine="880" w:firstLineChars="200"/>
        <w:jc w:val="center"/>
        <w:rPr>
          <w:rFonts w:hint="eastAsia" w:ascii="仿宋" w:hAnsi="仿宋" w:eastAsia="仿宋" w:cs="仿宋"/>
          <w:sz w:val="44"/>
          <w:szCs w:val="44"/>
        </w:rPr>
      </w:pPr>
    </w:p>
    <w:p>
      <w:pPr>
        <w:ind w:firstLine="880" w:firstLineChars="200"/>
        <w:jc w:val="center"/>
        <w:rPr>
          <w:rFonts w:hint="eastAsia" w:ascii="仿宋" w:hAnsi="仿宋" w:eastAsia="仿宋" w:cs="仿宋"/>
          <w:sz w:val="44"/>
          <w:szCs w:val="44"/>
        </w:rPr>
      </w:pPr>
    </w:p>
    <w:p>
      <w:pPr>
        <w:ind w:firstLine="720" w:firstLineChars="200"/>
        <w:jc w:val="both"/>
        <w:rPr>
          <w:rFonts w:hint="eastAsia" w:ascii="仿宋" w:hAnsi="仿宋" w:eastAsia="仿宋" w:cs="仿宋"/>
          <w:sz w:val="36"/>
          <w:szCs w:val="36"/>
          <w:lang w:eastAsia="zh-CN"/>
        </w:rPr>
      </w:pPr>
    </w:p>
    <w:p>
      <w:pPr>
        <w:ind w:firstLine="720" w:firstLineChars="200"/>
        <w:jc w:val="both"/>
        <w:rPr>
          <w:rFonts w:hint="eastAsia" w:ascii="仿宋" w:hAnsi="仿宋" w:eastAsia="仿宋" w:cs="仿宋"/>
          <w:sz w:val="36"/>
          <w:szCs w:val="36"/>
          <w:lang w:eastAsia="zh-CN"/>
        </w:rPr>
      </w:pPr>
    </w:p>
    <w:p>
      <w:pPr>
        <w:ind w:firstLine="720" w:firstLineChars="200"/>
        <w:jc w:val="both"/>
        <w:rPr>
          <w:rFonts w:hint="eastAsia" w:ascii="仿宋" w:hAnsi="仿宋" w:eastAsia="仿宋" w:cs="仿宋"/>
          <w:sz w:val="36"/>
          <w:szCs w:val="36"/>
          <w:u w:val="single"/>
          <w:lang w:val="en-US" w:eastAsia="zh-CN"/>
        </w:rPr>
      </w:pPr>
      <w:r>
        <w:rPr>
          <w:rFonts w:hint="eastAsia" w:ascii="仿宋" w:hAnsi="仿宋" w:eastAsia="仿宋" w:cs="仿宋"/>
          <w:sz w:val="36"/>
          <w:szCs w:val="36"/>
          <w:lang w:eastAsia="zh-CN"/>
        </w:rPr>
        <w:t>部门（</w:t>
      </w:r>
      <w:r>
        <w:rPr>
          <w:rFonts w:hint="eastAsia" w:ascii="仿宋" w:hAnsi="仿宋" w:eastAsia="仿宋" w:cs="仿宋"/>
          <w:sz w:val="36"/>
          <w:szCs w:val="36"/>
        </w:rPr>
        <w:t>单位</w:t>
      </w:r>
      <w:r>
        <w:rPr>
          <w:rFonts w:hint="eastAsia" w:ascii="仿宋" w:hAnsi="仿宋" w:eastAsia="仿宋" w:cs="仿宋"/>
          <w:sz w:val="36"/>
          <w:szCs w:val="36"/>
          <w:lang w:eastAsia="zh-CN"/>
        </w:rPr>
        <w:t>）</w:t>
      </w:r>
      <w:r>
        <w:rPr>
          <w:rFonts w:hint="eastAsia" w:ascii="仿宋" w:hAnsi="仿宋" w:eastAsia="仿宋" w:cs="仿宋"/>
          <w:sz w:val="36"/>
          <w:szCs w:val="36"/>
        </w:rPr>
        <w:t>名称：</w:t>
      </w:r>
      <w:r>
        <w:rPr>
          <w:rFonts w:hint="eastAsia" w:ascii="仿宋" w:hAnsi="仿宋" w:eastAsia="仿宋" w:cs="仿宋"/>
          <w:sz w:val="36"/>
          <w:szCs w:val="36"/>
          <w:lang w:val="en-US" w:eastAsia="zh-CN"/>
        </w:rPr>
        <w:t xml:space="preserve"> </w:t>
      </w:r>
      <w:r>
        <w:rPr>
          <w:rFonts w:hint="eastAsia" w:ascii="仿宋" w:hAnsi="仿宋" w:eastAsia="仿宋" w:cs="仿宋"/>
          <w:sz w:val="36"/>
          <w:szCs w:val="36"/>
          <w:u w:val="single"/>
        </w:rPr>
        <w:t>（盖章）</w:t>
      </w:r>
      <w:r>
        <w:rPr>
          <w:rFonts w:hint="eastAsia" w:ascii="仿宋" w:hAnsi="仿宋" w:eastAsia="仿宋" w:cs="仿宋"/>
          <w:sz w:val="36"/>
          <w:szCs w:val="36"/>
          <w:u w:val="single"/>
          <w:lang w:val="en-US" w:eastAsia="zh-CN"/>
        </w:rPr>
        <w:t xml:space="preserve">       </w:t>
      </w:r>
    </w:p>
    <w:p>
      <w:pPr>
        <w:ind w:firstLine="3240" w:firstLineChars="900"/>
        <w:jc w:val="both"/>
        <w:rPr>
          <w:rFonts w:hint="eastAsia" w:ascii="仿宋" w:hAnsi="仿宋" w:eastAsia="仿宋" w:cs="仿宋"/>
          <w:sz w:val="36"/>
          <w:szCs w:val="36"/>
          <w:u w:val="none"/>
          <w:lang w:val="en-US" w:eastAsia="zh-CN"/>
        </w:rPr>
      </w:pPr>
    </w:p>
    <w:p>
      <w:pPr>
        <w:ind w:firstLine="3240" w:firstLineChars="900"/>
        <w:jc w:val="both"/>
        <w:rPr>
          <w:rFonts w:hint="eastAsia" w:ascii="仿宋" w:hAnsi="仿宋" w:eastAsia="仿宋" w:cs="仿宋"/>
          <w:sz w:val="36"/>
          <w:szCs w:val="36"/>
          <w:u w:val="single"/>
          <w:lang w:val="en-US" w:eastAsia="zh-CN"/>
        </w:rPr>
      </w:pPr>
      <w:r>
        <w:rPr>
          <w:rFonts w:hint="eastAsia" w:ascii="仿宋" w:hAnsi="仿宋" w:eastAsia="仿宋" w:cs="仿宋"/>
          <w:sz w:val="36"/>
          <w:szCs w:val="36"/>
          <w:u w:val="none"/>
          <w:lang w:val="en-US" w:eastAsia="zh-CN"/>
        </w:rPr>
        <w:t>2025年5月30日</w:t>
      </w: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（此页为封面）</w:t>
      </w:r>
    </w:p>
    <w:p>
      <w:pPr>
        <w:spacing w:line="560" w:lineRule="exact"/>
        <w:ind w:firstLine="360" w:firstLineChars="100"/>
        <w:jc w:val="center"/>
        <w:rPr>
          <w:rFonts w:hint="eastAsia" w:ascii="仿宋" w:hAnsi="仿宋" w:eastAsia="仿宋" w:cs="仿宋"/>
          <w:sz w:val="36"/>
          <w:szCs w:val="36"/>
          <w:lang w:val="en-US" w:eastAsia="zh-CN"/>
        </w:rPr>
      </w:pPr>
    </w:p>
    <w:p>
      <w:pPr>
        <w:spacing w:line="600" w:lineRule="exact"/>
        <w:ind w:firstLine="1928" w:firstLineChars="600"/>
        <w:jc w:val="both"/>
        <w:rPr>
          <w:rFonts w:hint="eastAsia" w:ascii="仿宋_GB2312" w:hAnsi="仿宋_GB2312" w:eastAsia="仿宋_GB2312" w:cs="仿宋_GB2312"/>
          <w:b/>
          <w:bCs/>
          <w:kern w:val="0"/>
          <w:sz w:val="32"/>
          <w:szCs w:val="32"/>
          <w:lang w:val="en-US" w:eastAsia="zh-CN" w:bidi="ar-SA"/>
        </w:rPr>
      </w:pPr>
    </w:p>
    <w:p>
      <w:pPr>
        <w:spacing w:line="600" w:lineRule="exact"/>
        <w:ind w:firstLine="321" w:firstLineChars="100"/>
        <w:jc w:val="left"/>
        <w:rPr>
          <w:rFonts w:hint="eastAsia" w:ascii="仿宋_GB2312" w:hAnsi="仿宋_GB2312" w:eastAsia="仿宋_GB2312" w:cs="仿宋_GB2312"/>
          <w:b/>
          <w:bCs/>
          <w:kern w:val="0"/>
          <w:sz w:val="32"/>
          <w:szCs w:val="32"/>
          <w:lang w:val="en-US" w:eastAsia="zh-CN" w:bidi="ar-SA"/>
        </w:rPr>
      </w:pPr>
      <w:r>
        <w:rPr>
          <w:rFonts w:hint="eastAsia" w:ascii="仿宋_GB2312" w:hAnsi="仿宋_GB2312" w:cs="仿宋_GB2312"/>
          <w:b/>
          <w:bCs/>
          <w:kern w:val="0"/>
          <w:sz w:val="32"/>
          <w:szCs w:val="32"/>
          <w:lang w:val="en-US" w:eastAsia="zh-CN" w:bidi="ar-SA"/>
        </w:rPr>
        <w:t>2024</w:t>
      </w:r>
      <w:r>
        <w:rPr>
          <w:rFonts w:hint="eastAsia" w:ascii="仿宋_GB2312" w:hAnsi="仿宋_GB2312" w:eastAsia="仿宋_GB2312" w:cs="仿宋_GB2312"/>
          <w:b/>
          <w:bCs/>
          <w:kern w:val="0"/>
          <w:sz w:val="32"/>
          <w:szCs w:val="32"/>
          <w:lang w:val="en-US" w:eastAsia="zh-CN" w:bidi="ar-SA"/>
        </w:rPr>
        <w:t>年度环境卫生服务中心部门整体支出绩效自评报告</w:t>
      </w:r>
    </w:p>
    <w:p>
      <w:pPr>
        <w:spacing w:line="600" w:lineRule="exact"/>
        <w:ind w:firstLine="627" w:firstLineChars="196"/>
        <w:rPr>
          <w:rFonts w:hint="eastAsia" w:ascii="仿宋_GB2312" w:hAnsi="仿宋_GB2312" w:eastAsia="仿宋_GB2312" w:cs="仿宋_GB2312"/>
          <w:kern w:val="0"/>
          <w:sz w:val="32"/>
          <w:szCs w:val="32"/>
          <w:lang w:val="en-US" w:eastAsia="zh-CN" w:bidi="ar-SA"/>
        </w:rPr>
      </w:pPr>
    </w:p>
    <w:p>
      <w:pPr>
        <w:widowControl/>
        <w:numPr>
          <w:ilvl w:val="0"/>
          <w:numId w:val="1"/>
        </w:numPr>
        <w:autoSpaceDN w:val="0"/>
        <w:spacing w:line="540" w:lineRule="exact"/>
        <w:ind w:firstLine="64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部门概况</w:t>
      </w:r>
    </w:p>
    <w:p>
      <w:pPr>
        <w:ind w:firstLine="640" w:firstLineChars="200"/>
      </w:pPr>
      <w:r>
        <w:rPr>
          <w:rFonts w:hint="eastAsia" w:ascii="仿宋" w:hAnsi="仿宋" w:eastAsia="仿宋"/>
          <w:sz w:val="32"/>
          <w:szCs w:val="32"/>
        </w:rPr>
        <w:t>本中心是隶属资阳区城市管理和综合执法局的差额拨款事业单位，在预、决算中属一级预算单位。截止202</w:t>
      </w:r>
      <w:r>
        <w:rPr>
          <w:rFonts w:hint="eastAsia" w:ascii="仿宋" w:hAnsi="仿宋" w:eastAsia="仿宋"/>
          <w:sz w:val="32"/>
          <w:szCs w:val="32"/>
          <w:lang w:val="en-US" w:eastAsia="zh-CN"/>
        </w:rPr>
        <w:t>4</w:t>
      </w:r>
      <w:r>
        <w:rPr>
          <w:rFonts w:hint="eastAsia" w:ascii="仿宋" w:hAnsi="仿宋" w:eastAsia="仿宋"/>
          <w:sz w:val="32"/>
          <w:szCs w:val="32"/>
        </w:rPr>
        <w:t>年底，本中心在编人员9</w:t>
      </w:r>
      <w:r>
        <w:rPr>
          <w:rFonts w:hint="eastAsia" w:ascii="仿宋" w:hAnsi="仿宋" w:eastAsia="仿宋"/>
          <w:sz w:val="32"/>
          <w:szCs w:val="32"/>
          <w:lang w:val="en-US" w:eastAsia="zh-CN"/>
        </w:rPr>
        <w:t>6</w:t>
      </w:r>
      <w:r>
        <w:rPr>
          <w:rFonts w:hint="eastAsia" w:ascii="仿宋" w:hAnsi="仿宋" w:eastAsia="仿宋"/>
          <w:sz w:val="32"/>
          <w:szCs w:val="32"/>
        </w:rPr>
        <w:t>人，其中</w:t>
      </w:r>
      <w:r>
        <w:rPr>
          <w:rFonts w:hint="eastAsia" w:ascii="仿宋" w:hAnsi="仿宋" w:eastAsia="仿宋"/>
          <w:sz w:val="32"/>
          <w:szCs w:val="32"/>
          <w:lang w:eastAsia="zh-CN"/>
        </w:rPr>
        <w:t>全额拨款</w:t>
      </w:r>
      <w:r>
        <w:rPr>
          <w:rFonts w:hint="eastAsia" w:ascii="仿宋" w:hAnsi="仿宋" w:eastAsia="仿宋"/>
          <w:sz w:val="32"/>
          <w:szCs w:val="32"/>
          <w:lang w:val="en-US" w:eastAsia="zh-CN"/>
        </w:rPr>
        <w:t>1人、</w:t>
      </w:r>
      <w:r>
        <w:rPr>
          <w:rFonts w:hint="eastAsia" w:ascii="仿宋" w:hAnsi="仿宋" w:eastAsia="仿宋"/>
          <w:sz w:val="32"/>
          <w:szCs w:val="32"/>
        </w:rPr>
        <w:t>差额拨款7</w:t>
      </w:r>
      <w:r>
        <w:rPr>
          <w:rFonts w:hint="eastAsia" w:ascii="仿宋" w:hAnsi="仿宋" w:eastAsia="仿宋"/>
          <w:sz w:val="32"/>
          <w:szCs w:val="32"/>
          <w:lang w:val="en-US" w:eastAsia="zh-CN"/>
        </w:rPr>
        <w:t>1</w:t>
      </w:r>
      <w:r>
        <w:rPr>
          <w:rFonts w:hint="eastAsia" w:ascii="仿宋" w:hAnsi="仿宋" w:eastAsia="仿宋"/>
          <w:sz w:val="32"/>
          <w:szCs w:val="32"/>
        </w:rPr>
        <w:t>人，自收自支24人，退休人员92人，遗属4人，另有长期临聘人员3</w:t>
      </w:r>
      <w:r>
        <w:rPr>
          <w:rFonts w:hint="eastAsia" w:ascii="仿宋" w:hAnsi="仿宋" w:eastAsia="仿宋"/>
          <w:sz w:val="32"/>
          <w:szCs w:val="32"/>
          <w:lang w:val="en-US" w:eastAsia="zh-CN"/>
        </w:rPr>
        <w:t>50</w:t>
      </w:r>
      <w:r>
        <w:rPr>
          <w:rFonts w:hint="eastAsia" w:ascii="仿宋" w:hAnsi="仿宋" w:eastAsia="仿宋"/>
          <w:sz w:val="32"/>
          <w:szCs w:val="32"/>
        </w:rPr>
        <w:t>人左右。内设机构1</w:t>
      </w:r>
      <w:r>
        <w:rPr>
          <w:rFonts w:hint="eastAsia" w:ascii="仿宋" w:hAnsi="仿宋" w:eastAsia="仿宋"/>
          <w:sz w:val="32"/>
          <w:szCs w:val="32"/>
          <w:lang w:val="en-US" w:eastAsia="zh-CN"/>
        </w:rPr>
        <w:t>2</w:t>
      </w:r>
      <w:r>
        <w:rPr>
          <w:rFonts w:hint="eastAsia" w:ascii="仿宋" w:hAnsi="仿宋" w:eastAsia="仿宋"/>
          <w:sz w:val="32"/>
          <w:szCs w:val="32"/>
        </w:rPr>
        <w:t>个，分别为综合办公室、督查科、机械化作业一队、机械化作业二队、机械化作业三队、收费一队、收费二队、渣土监察队、清扫一所、清扫二所、清扫三所、公厕管理所。</w:t>
      </w:r>
      <w:bookmarkStart w:id="0" w:name="_GoBack"/>
      <w:bookmarkEnd w:id="0"/>
    </w:p>
    <w:p>
      <w:pPr>
        <w:spacing w:line="600" w:lineRule="exact"/>
        <w:ind w:firstLine="627" w:firstLineChars="196"/>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（一）202</w:t>
      </w:r>
      <w:r>
        <w:rPr>
          <w:rFonts w:hint="eastAsia" w:ascii="仿宋_GB2312" w:hAnsi="仿宋_GB2312" w:cs="仿宋_GB2312"/>
          <w:kern w:val="0"/>
          <w:sz w:val="32"/>
          <w:szCs w:val="32"/>
          <w:lang w:val="en-US" w:eastAsia="zh-CN" w:bidi="ar-SA"/>
        </w:rPr>
        <w:t>4</w:t>
      </w:r>
      <w:r>
        <w:rPr>
          <w:rFonts w:hint="eastAsia" w:ascii="仿宋_GB2312" w:hAnsi="仿宋_GB2312" w:eastAsia="仿宋_GB2312" w:cs="仿宋_GB2312"/>
          <w:kern w:val="0"/>
          <w:sz w:val="32"/>
          <w:szCs w:val="32"/>
          <w:lang w:val="en-US" w:eastAsia="zh-CN" w:bidi="ar-SA"/>
        </w:rPr>
        <w:t>年度重点工作计划；</w:t>
      </w:r>
    </w:p>
    <w:p>
      <w:pPr>
        <w:ind w:firstLine="640" w:firstLineChars="200"/>
        <w:rPr>
          <w:rFonts w:hint="eastAsia" w:ascii="仿宋" w:hAnsi="仿宋" w:eastAsia="仿宋_GB2312"/>
          <w:sz w:val="32"/>
          <w:szCs w:val="32"/>
          <w:lang w:eastAsia="zh-CN"/>
        </w:rPr>
      </w:pPr>
      <w:r>
        <w:rPr>
          <w:rFonts w:hint="eastAsia" w:ascii="仿宋" w:hAnsi="仿宋" w:eastAsia="仿宋"/>
          <w:sz w:val="32"/>
          <w:szCs w:val="32"/>
          <w:lang w:val="en-US" w:eastAsia="zh-CN"/>
        </w:rPr>
        <w:t>1</w:t>
      </w:r>
      <w:r>
        <w:rPr>
          <w:rFonts w:hint="eastAsia" w:ascii="仿宋" w:hAnsi="仿宋" w:eastAsia="仿宋"/>
          <w:sz w:val="32"/>
          <w:szCs w:val="32"/>
        </w:rPr>
        <w:t>、资阳城区、319国道3公里近郊段、益沅公路11.8公里资阳段和会龙山、西流湾2座跨江大桥共5</w:t>
      </w:r>
      <w:r>
        <w:rPr>
          <w:rFonts w:hint="eastAsia" w:ascii="仿宋" w:hAnsi="仿宋" w:eastAsia="仿宋"/>
          <w:sz w:val="32"/>
          <w:szCs w:val="32"/>
          <w:lang w:val="en-US" w:eastAsia="zh-CN"/>
        </w:rPr>
        <w:t>15</w:t>
      </w:r>
      <w:r>
        <w:rPr>
          <w:rFonts w:hint="eastAsia" w:ascii="仿宋" w:hAnsi="仿宋" w:eastAsia="仿宋"/>
          <w:sz w:val="32"/>
          <w:szCs w:val="32"/>
        </w:rPr>
        <w:t>万平方米道路、广场、桥梁及绿化带的清扫保洁，47座城市公厕、22座城乡垃圾中转站的清洁、管理、维护以及166座公交站亭、</w:t>
      </w:r>
      <w:r>
        <w:rPr>
          <w:rFonts w:hint="eastAsia" w:ascii="仿宋_GB2312" w:hAnsi="仿宋_GB2312" w:eastAsia="仿宋_GB2312" w:cs="仿宋_GB2312"/>
          <w:sz w:val="32"/>
          <w:szCs w:val="32"/>
          <w:lang w:val="en-US" w:eastAsia="zh-CN"/>
        </w:rPr>
        <w:t>172个街头景观小品、21800</w:t>
      </w:r>
      <w:r>
        <w:rPr>
          <w:rFonts w:hint="eastAsia" w:ascii="仿宋_GB2312" w:hAnsi="仿宋_GB2312" w:eastAsia="仿宋_GB2312" w:cs="仿宋_GB2312"/>
          <w:sz w:val="32"/>
          <w:szCs w:val="32"/>
        </w:rPr>
        <w:t>多米交通隔离（护）栏</w:t>
      </w:r>
      <w:r>
        <w:rPr>
          <w:rFonts w:hint="eastAsia" w:ascii="仿宋" w:hAnsi="仿宋" w:eastAsia="仿宋"/>
          <w:sz w:val="32"/>
          <w:szCs w:val="32"/>
        </w:rPr>
        <w:t>、2000个便民垃圾桶的</w:t>
      </w:r>
      <w:r>
        <w:rPr>
          <w:rFonts w:hint="eastAsia" w:ascii="仿宋_GB2312" w:hAnsi="仿宋_GB2312" w:eastAsia="仿宋_GB2312" w:cs="仿宋_GB2312"/>
          <w:sz w:val="32"/>
          <w:szCs w:val="32"/>
        </w:rPr>
        <w:t>扫、擦、抹、洗</w:t>
      </w:r>
      <w:r>
        <w:rPr>
          <w:rFonts w:hint="eastAsia" w:ascii="仿宋_GB2312" w:hAnsi="仿宋_GB2312" w:eastAsia="仿宋_GB2312" w:cs="仿宋_GB2312"/>
          <w:sz w:val="32"/>
          <w:szCs w:val="32"/>
          <w:lang w:eastAsia="zh-CN"/>
        </w:rPr>
        <w:t>。</w:t>
      </w:r>
    </w:p>
    <w:p>
      <w:pPr>
        <w:ind w:firstLine="640" w:firstLineChars="200"/>
        <w:rPr>
          <w:rFonts w:hint="eastAsia" w:ascii="仿宋" w:hAnsi="仿宋" w:eastAsia="仿宋"/>
          <w:sz w:val="32"/>
          <w:szCs w:val="32"/>
          <w:lang w:val="en-US" w:eastAsia="zh-CN"/>
        </w:rPr>
      </w:pPr>
      <w:r>
        <w:rPr>
          <w:rFonts w:hint="eastAsia" w:ascii="仿宋" w:hAnsi="仿宋" w:eastAsia="仿宋"/>
          <w:sz w:val="32"/>
          <w:szCs w:val="32"/>
        </w:rPr>
        <w:t>2、清理、清运城乡生活垃圾</w:t>
      </w:r>
      <w:r>
        <w:rPr>
          <w:rFonts w:hint="eastAsia" w:ascii="仿宋" w:hAnsi="仿宋" w:eastAsia="仿宋"/>
          <w:sz w:val="32"/>
          <w:szCs w:val="32"/>
          <w:lang w:eastAsia="zh-CN"/>
        </w:rPr>
        <w:t>。</w:t>
      </w:r>
      <w:r>
        <w:rPr>
          <w:rFonts w:hint="eastAsia" w:ascii="仿宋" w:hAnsi="仿宋" w:eastAsia="仿宋"/>
          <w:sz w:val="32"/>
          <w:szCs w:val="32"/>
          <w:lang w:val="en-US" w:eastAsia="zh-CN"/>
        </w:rPr>
        <w:t xml:space="preserve">                             </w:t>
      </w:r>
    </w:p>
    <w:p>
      <w:pPr>
        <w:ind w:firstLine="640" w:firstLineChars="200"/>
        <w:rPr>
          <w:rFonts w:ascii="仿宋" w:hAnsi="仿宋" w:eastAsia="仿宋"/>
          <w:sz w:val="32"/>
          <w:szCs w:val="32"/>
        </w:rPr>
      </w:pPr>
      <w:r>
        <w:rPr>
          <w:rFonts w:hint="eastAsia" w:ascii="仿宋" w:hAnsi="仿宋" w:eastAsia="仿宋"/>
          <w:sz w:val="32"/>
          <w:szCs w:val="32"/>
        </w:rPr>
        <w:t>3、收取资阳城区规划内行政事业单位、社会团体、企业及市场经营单位的垃圾处理费；收取城区临街门店、露天市场、集贸市场、夜市、漫酒、加工作坊、流动摊担、废品店、煤店、招待所、酒店、短期性摊位的垃圾处理费及基建、装修、装饰垃圾处理费。</w:t>
      </w:r>
    </w:p>
    <w:p>
      <w:pPr>
        <w:ind w:firstLine="640" w:firstLineChars="200"/>
        <w:rPr>
          <w:rFonts w:hint="eastAsia"/>
          <w:lang w:val="en-US" w:eastAsia="zh-CN"/>
        </w:rPr>
      </w:pPr>
      <w:r>
        <w:rPr>
          <w:rFonts w:hint="eastAsia" w:ascii="仿宋" w:hAnsi="仿宋" w:eastAsia="仿宋"/>
          <w:sz w:val="32"/>
          <w:szCs w:val="32"/>
        </w:rPr>
        <w:t>4、全区渣土监察工作，牵头</w:t>
      </w:r>
      <w:r>
        <w:rPr>
          <w:rFonts w:hint="eastAsia" w:ascii="仿宋" w:hAnsi="仿宋" w:eastAsia="仿宋"/>
          <w:sz w:val="32"/>
          <w:szCs w:val="32"/>
          <w:lang w:eastAsia="zh-CN"/>
        </w:rPr>
        <w:t>力推</w:t>
      </w:r>
      <w:r>
        <w:rPr>
          <w:rFonts w:hint="eastAsia" w:ascii="仿宋" w:hAnsi="仿宋" w:eastAsia="仿宋"/>
          <w:sz w:val="32"/>
          <w:szCs w:val="32"/>
        </w:rPr>
        <w:t>全区垃圾分类，协助蓝天保卫战，监管城市黑臭水体，支援乡村振兴</w:t>
      </w:r>
      <w:r>
        <w:rPr>
          <w:rFonts w:hint="eastAsia" w:ascii="仿宋" w:hAnsi="仿宋" w:eastAsia="仿宋"/>
          <w:sz w:val="32"/>
          <w:szCs w:val="32"/>
          <w:lang w:eastAsia="zh-CN"/>
        </w:rPr>
        <w:t>，及时按质</w:t>
      </w:r>
      <w:r>
        <w:rPr>
          <w:rFonts w:hint="eastAsia" w:ascii="仿宋" w:hAnsi="仿宋" w:eastAsia="仿宋" w:cs="仿宋"/>
          <w:sz w:val="32"/>
          <w:szCs w:val="32"/>
          <w:lang w:val="en-US" w:eastAsia="zh-CN"/>
        </w:rPr>
        <w:t>完成上级交付的各种临时任务。</w:t>
      </w:r>
    </w:p>
    <w:p>
      <w:pPr>
        <w:spacing w:line="600" w:lineRule="exact"/>
        <w:ind w:firstLine="627" w:firstLineChars="196"/>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（二）部门整体支出规模、使用方向、主要内容和涉及范围。</w:t>
      </w:r>
    </w:p>
    <w:p>
      <w:pPr>
        <w:ind w:left="0" w:leftChars="0" w:firstLine="640" w:firstLineChars="200"/>
        <w:rPr>
          <w:rFonts w:hint="eastAsia" w:ascii="仿宋" w:hAnsi="仿宋" w:eastAsia="仿宋"/>
          <w:sz w:val="32"/>
          <w:szCs w:val="32"/>
          <w:lang w:val="en-US" w:eastAsia="zh-CN"/>
        </w:rPr>
      </w:pPr>
      <w:r>
        <w:rPr>
          <w:rFonts w:hint="eastAsia" w:ascii="仿宋" w:hAnsi="仿宋" w:eastAsia="仿宋"/>
          <w:sz w:val="32"/>
          <w:szCs w:val="32"/>
        </w:rPr>
        <w:t>202</w:t>
      </w:r>
      <w:r>
        <w:rPr>
          <w:rFonts w:hint="eastAsia" w:ascii="仿宋" w:hAnsi="仿宋" w:eastAsia="仿宋"/>
          <w:sz w:val="32"/>
          <w:szCs w:val="32"/>
          <w:lang w:val="en-US" w:eastAsia="zh-CN"/>
        </w:rPr>
        <w:t>4部门整体支出5536.53万元。</w:t>
      </w:r>
    </w:p>
    <w:p>
      <w:pPr>
        <w:ind w:left="0" w:leftChars="0"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1.基本支出2827.02万元；包含机关事业单位基本养老保险缴费支出50.63万元、机关事业单位职业年金经费支出25.31万元、其他社会保障和就业支出13.80万元、事业单位医疗支出33.86万元、其他城乡社区管理事务支出14.10万元、城乡社区环境卫生支出1949.34万元、其他城乡社区卫生支出702.01万元、住房公积金支出37.97万元。主要用于工资福利支出2545.92万元、商品和服务支出223.47万元、对个人和家庭补助支出52.66万元、资本性支出4.97万元。</w:t>
      </w:r>
    </w:p>
    <w:p>
      <w:pPr>
        <w:ind w:left="0" w:leftChars="0"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2、项目支出2709.51万元。包含其他节能环保支出1050万元、城乡社区环境卫生1050.28万元、其他国有土地使用权出让收入安排支出85.76万元、城市环境卫生86万元、其他城市基础设施配套安排支出220.83万元、其他城乡社区支出216.64万元，主要用于商品和服务支出2062.45万元、资本性支出647.06万元。</w:t>
      </w:r>
    </w:p>
    <w:p>
      <w:pPr>
        <w:widowControl/>
        <w:autoSpaceDN w:val="0"/>
        <w:spacing w:line="560" w:lineRule="exact"/>
        <w:ind w:firstLine="645"/>
        <w:rPr>
          <w:rFonts w:ascii="黑体" w:hAnsi="黑体" w:eastAsia="黑体" w:cs="黑体"/>
          <w:b w:val="0"/>
          <w:bCs w:val="0"/>
          <w:sz w:val="32"/>
          <w:szCs w:val="32"/>
        </w:rPr>
      </w:pPr>
      <w:r>
        <w:rPr>
          <w:rFonts w:hint="eastAsia" w:ascii="黑体" w:hAnsi="黑体" w:eastAsia="黑体" w:cs="黑体"/>
          <w:b w:val="0"/>
          <w:bCs w:val="0"/>
          <w:color w:val="000000"/>
          <w:kern w:val="0"/>
          <w:sz w:val="32"/>
          <w:szCs w:val="32"/>
        </w:rPr>
        <w:t>二、</w:t>
      </w:r>
      <w:r>
        <w:rPr>
          <w:rFonts w:hint="eastAsia" w:ascii="黑体" w:hAnsi="黑体" w:eastAsia="黑体" w:cs="黑体"/>
          <w:b w:val="0"/>
          <w:bCs w:val="0"/>
          <w:sz w:val="32"/>
          <w:szCs w:val="32"/>
        </w:rPr>
        <w:t>一般公共预算支出情况</w:t>
      </w:r>
    </w:p>
    <w:p>
      <w:pPr>
        <w:spacing w:line="600" w:lineRule="exact"/>
        <w:ind w:firstLine="627" w:firstLineChars="196"/>
        <w:jc w:val="left"/>
        <w:rPr>
          <w:rFonts w:hint="eastAsia" w:ascii="仿宋_GB2312" w:hAnsi="仿宋_GB2312" w:eastAsia="仿宋_GB2312" w:cs="仿宋_GB2312"/>
          <w:b w:val="0"/>
          <w:bCs w:val="0"/>
          <w:kern w:val="0"/>
          <w:sz w:val="32"/>
          <w:szCs w:val="32"/>
          <w:lang w:val="en-US" w:eastAsia="zh-CN" w:bidi="ar-SA"/>
        </w:rPr>
      </w:pPr>
      <w:r>
        <w:rPr>
          <w:rFonts w:hint="eastAsia" w:ascii="仿宋_GB2312" w:hAnsi="仿宋_GB2312" w:eastAsia="仿宋_GB2312" w:cs="仿宋_GB2312"/>
          <w:b w:val="0"/>
          <w:bCs w:val="0"/>
          <w:kern w:val="0"/>
          <w:sz w:val="32"/>
          <w:szCs w:val="32"/>
          <w:lang w:val="en-US" w:eastAsia="zh-CN" w:bidi="ar-SA"/>
        </w:rPr>
        <w:t>（一）基本支出情况</w:t>
      </w:r>
    </w:p>
    <w:p>
      <w:pPr>
        <w:ind w:left="0" w:leftChars="0"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2024年一般公共预算支出中基本支出1797万元。包括人员经费支出1647.26万元，商品和服务支出112.36万元，对个人和家庭补助支出32.66万元，资本性支出4.72万元。</w:t>
      </w:r>
    </w:p>
    <w:p>
      <w:pPr>
        <w:spacing w:line="600" w:lineRule="exact"/>
        <w:ind w:firstLine="627" w:firstLineChars="196"/>
        <w:jc w:val="left"/>
        <w:rPr>
          <w:rFonts w:hint="default" w:ascii="仿宋_GB2312" w:hAnsi="仿宋_GB2312" w:eastAsia="仿宋_GB2312" w:cs="仿宋_GB2312"/>
          <w:b w:val="0"/>
          <w:bCs w:val="0"/>
          <w:kern w:val="0"/>
          <w:sz w:val="32"/>
          <w:szCs w:val="32"/>
          <w:lang w:val="en-US" w:eastAsia="zh-CN" w:bidi="ar-SA"/>
        </w:rPr>
      </w:pPr>
      <w:r>
        <w:rPr>
          <w:rFonts w:hint="eastAsia" w:ascii="仿宋_GB2312" w:hAnsi="仿宋_GB2312" w:eastAsia="仿宋_GB2312" w:cs="仿宋_GB2312"/>
          <w:b w:val="0"/>
          <w:bCs w:val="0"/>
          <w:kern w:val="0"/>
          <w:sz w:val="32"/>
          <w:szCs w:val="32"/>
          <w:lang w:val="en-US" w:eastAsia="zh-CN" w:bidi="ar-SA"/>
        </w:rPr>
        <w:t>（二）项目支出情况</w:t>
      </w:r>
    </w:p>
    <w:p>
      <w:pPr>
        <w:numPr>
          <w:ilvl w:val="0"/>
          <w:numId w:val="0"/>
        </w:numPr>
        <w:ind w:firstLine="640" w:firstLineChars="200"/>
        <w:rPr>
          <w:rFonts w:ascii="仿宋" w:hAnsi="仿宋" w:eastAsia="仿宋"/>
          <w:color w:val="FF0000"/>
          <w:sz w:val="32"/>
          <w:szCs w:val="32"/>
        </w:rPr>
      </w:pPr>
      <w:r>
        <w:rPr>
          <w:rFonts w:hint="eastAsia" w:ascii="仿宋" w:hAnsi="仿宋" w:eastAsia="仿宋"/>
          <w:color w:val="000000" w:themeColor="text1"/>
          <w:sz w:val="32"/>
          <w:szCs w:val="32"/>
          <w:lang w:val="en-US" w:eastAsia="zh-CN"/>
          <w14:textFill>
            <w14:solidFill>
              <w14:schemeClr w14:val="tx1"/>
            </w14:solidFill>
          </w14:textFill>
        </w:rPr>
        <w:t>2024年一般公共预算支出中</w:t>
      </w:r>
      <w:r>
        <w:rPr>
          <w:rFonts w:hint="eastAsia" w:ascii="仿宋" w:hAnsi="仿宋" w:eastAsia="仿宋"/>
          <w:color w:val="000000" w:themeColor="text1"/>
          <w:sz w:val="32"/>
          <w:szCs w:val="32"/>
          <w14:textFill>
            <w14:solidFill>
              <w14:schemeClr w14:val="tx1"/>
            </w14:solidFill>
          </w14:textFill>
        </w:rPr>
        <w:t>项目支出2</w:t>
      </w:r>
      <w:r>
        <w:rPr>
          <w:rFonts w:hint="eastAsia" w:ascii="仿宋" w:hAnsi="仿宋" w:eastAsia="仿宋"/>
          <w:color w:val="000000" w:themeColor="text1"/>
          <w:sz w:val="32"/>
          <w:szCs w:val="32"/>
          <w:lang w:val="en-US" w:eastAsia="zh-CN"/>
          <w14:textFill>
            <w14:solidFill>
              <w14:schemeClr w14:val="tx1"/>
            </w14:solidFill>
          </w14:textFill>
        </w:rPr>
        <w:t>240</w:t>
      </w:r>
      <w:r>
        <w:rPr>
          <w:rFonts w:hint="eastAsia" w:ascii="仿宋" w:hAnsi="仿宋" w:eastAsia="仿宋"/>
          <w:color w:val="000000" w:themeColor="text1"/>
          <w:sz w:val="32"/>
          <w:szCs w:val="32"/>
          <w14:textFill>
            <w14:solidFill>
              <w14:schemeClr w14:val="tx1"/>
            </w14:solidFill>
          </w14:textFill>
        </w:rPr>
        <w:t>万元，其中主次干道</w:t>
      </w:r>
      <w:r>
        <w:rPr>
          <w:rFonts w:hint="eastAsia" w:ascii="仿宋" w:hAnsi="仿宋" w:eastAsia="仿宋"/>
          <w:color w:val="000000" w:themeColor="text1"/>
          <w:sz w:val="32"/>
          <w:szCs w:val="32"/>
          <w:lang w:eastAsia="zh-CN"/>
          <w14:textFill>
            <w14:solidFill>
              <w14:schemeClr w14:val="tx1"/>
            </w14:solidFill>
          </w14:textFill>
        </w:rPr>
        <w:t>、背街小巷</w:t>
      </w:r>
      <w:r>
        <w:rPr>
          <w:rFonts w:hint="eastAsia" w:ascii="仿宋" w:hAnsi="仿宋" w:eastAsia="仿宋"/>
          <w:color w:val="000000" w:themeColor="text1"/>
          <w:sz w:val="32"/>
          <w:szCs w:val="32"/>
          <w14:textFill>
            <w14:solidFill>
              <w14:schemeClr w14:val="tx1"/>
            </w14:solidFill>
          </w14:textFill>
        </w:rPr>
        <w:t>清扫保洁支出</w:t>
      </w:r>
      <w:r>
        <w:rPr>
          <w:rFonts w:hint="eastAsia" w:ascii="仿宋" w:hAnsi="仿宋" w:eastAsia="仿宋"/>
          <w:color w:val="000000" w:themeColor="text1"/>
          <w:sz w:val="32"/>
          <w:szCs w:val="32"/>
          <w:lang w:val="en-US" w:eastAsia="zh-CN"/>
          <w14:textFill>
            <w14:solidFill>
              <w14:schemeClr w14:val="tx1"/>
            </w14:solidFill>
          </w14:textFill>
        </w:rPr>
        <w:t>876.10</w:t>
      </w:r>
      <w:r>
        <w:rPr>
          <w:rFonts w:hint="eastAsia" w:ascii="仿宋" w:hAnsi="仿宋" w:eastAsia="仿宋"/>
          <w:color w:val="000000" w:themeColor="text1"/>
          <w:sz w:val="32"/>
          <w:szCs w:val="32"/>
          <w14:textFill>
            <w14:solidFill>
              <w14:schemeClr w14:val="tx1"/>
            </w14:solidFill>
          </w14:textFill>
        </w:rPr>
        <w:t>万元，垃圾台站</w:t>
      </w:r>
      <w:r>
        <w:rPr>
          <w:rFonts w:hint="eastAsia" w:ascii="仿宋" w:hAnsi="仿宋" w:eastAsia="仿宋"/>
          <w:sz w:val="32"/>
          <w:szCs w:val="32"/>
        </w:rPr>
        <w:t>及站厕维修维护3</w:t>
      </w:r>
      <w:r>
        <w:rPr>
          <w:rFonts w:hint="eastAsia" w:ascii="仿宋" w:hAnsi="仿宋" w:eastAsia="仿宋"/>
          <w:sz w:val="32"/>
          <w:szCs w:val="32"/>
          <w:lang w:val="en-US" w:eastAsia="zh-CN"/>
        </w:rPr>
        <w:t>13.90</w:t>
      </w:r>
      <w:r>
        <w:rPr>
          <w:rFonts w:hint="eastAsia" w:ascii="仿宋" w:hAnsi="仿宋" w:eastAsia="仿宋"/>
          <w:sz w:val="32"/>
          <w:szCs w:val="32"/>
        </w:rPr>
        <w:t>万元</w:t>
      </w:r>
      <w:r>
        <w:rPr>
          <w:rFonts w:hint="eastAsia" w:ascii="仿宋" w:hAnsi="仿宋" w:eastAsia="仿宋"/>
          <w:sz w:val="32"/>
          <w:szCs w:val="32"/>
          <w:lang w:eastAsia="zh-CN"/>
        </w:rPr>
        <w:t>，生活垃圾分类和处理设施建设项目支出</w:t>
      </w:r>
      <w:r>
        <w:rPr>
          <w:rFonts w:hint="eastAsia" w:ascii="仿宋" w:hAnsi="仿宋" w:eastAsia="仿宋"/>
          <w:sz w:val="32"/>
          <w:szCs w:val="32"/>
          <w:lang w:val="en-US" w:eastAsia="zh-CN"/>
        </w:rPr>
        <w:t>1050万元</w:t>
      </w:r>
      <w:r>
        <w:rPr>
          <w:rFonts w:hint="eastAsia" w:ascii="仿宋" w:hAnsi="仿宋" w:eastAsia="仿宋"/>
          <w:sz w:val="32"/>
          <w:szCs w:val="32"/>
        </w:rPr>
        <w:t>。</w:t>
      </w:r>
    </w:p>
    <w:p>
      <w:pPr>
        <w:widowControl/>
        <w:autoSpaceDN w:val="0"/>
        <w:spacing w:line="54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三、部门整体支出绩效情况</w:t>
      </w:r>
    </w:p>
    <w:p>
      <w:pPr>
        <w:numPr>
          <w:ilvl w:val="0"/>
          <w:numId w:val="0"/>
        </w:numPr>
        <w:ind w:firstLine="640" w:firstLineChars="200"/>
        <w:rPr>
          <w:rFonts w:hint="default" w:ascii="仿宋" w:hAnsi="仿宋" w:eastAsia="仿宋"/>
          <w:sz w:val="32"/>
          <w:szCs w:val="32"/>
          <w:lang w:val="en-US" w:eastAsia="zh-CN"/>
        </w:rPr>
      </w:pPr>
      <w:r>
        <w:rPr>
          <w:rFonts w:hint="eastAsia"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年在区委、区政府坚强领导以及全体干职工的共同努力下，资阳区环卫服务中心整体绩效目标已全部完成。</w:t>
      </w:r>
      <w:r>
        <w:rPr>
          <w:rFonts w:hint="eastAsia" w:ascii="楷体" w:hAnsi="楷体" w:eastAsia="楷体" w:cs="楷体"/>
          <w:b w:val="0"/>
          <w:bCs w:val="0"/>
          <w:sz w:val="32"/>
          <w:szCs w:val="32"/>
          <w:lang w:val="en-US" w:eastAsia="zh-CN"/>
        </w:rPr>
        <w:t>抓好主责主业</w:t>
      </w:r>
      <w:r>
        <w:rPr>
          <w:rFonts w:hint="eastAsia" w:ascii="楷体" w:hAnsi="楷体" w:eastAsia="楷体" w:cs="楷体"/>
          <w:b/>
          <w:bCs/>
          <w:sz w:val="32"/>
          <w:szCs w:val="32"/>
          <w:lang w:val="en-US" w:eastAsia="zh-CN"/>
        </w:rPr>
        <w:t>,</w:t>
      </w:r>
      <w:r>
        <w:rPr>
          <w:rFonts w:hint="eastAsia" w:ascii="仿宋" w:hAnsi="仿宋" w:eastAsia="仿宋"/>
          <w:sz w:val="32"/>
          <w:szCs w:val="32"/>
        </w:rPr>
        <w:t>创文巩卫</w:t>
      </w:r>
      <w:r>
        <w:rPr>
          <w:rFonts w:hint="eastAsia" w:ascii="仿宋" w:hAnsi="仿宋" w:eastAsia="仿宋"/>
          <w:sz w:val="32"/>
          <w:szCs w:val="32"/>
          <w:lang w:eastAsia="zh-CN"/>
        </w:rPr>
        <w:t>工作</w:t>
      </w:r>
      <w:r>
        <w:rPr>
          <w:rFonts w:hint="eastAsia" w:ascii="仿宋" w:hAnsi="仿宋" w:eastAsia="仿宋"/>
          <w:sz w:val="32"/>
          <w:szCs w:val="32"/>
        </w:rPr>
        <w:t>高质量承担起来，环境卫生不断满足市民越来越高的心理预测，清扫保洁覆盖率、垃圾收运及时率100%。垃圾分类</w:t>
      </w:r>
      <w:r>
        <w:rPr>
          <w:rFonts w:hint="eastAsia" w:ascii="仿宋" w:hAnsi="仿宋" w:eastAsia="仿宋"/>
          <w:sz w:val="32"/>
          <w:szCs w:val="32"/>
          <w:lang w:eastAsia="zh-CN"/>
        </w:rPr>
        <w:t>工作</w:t>
      </w:r>
      <w:r>
        <w:rPr>
          <w:rFonts w:hint="eastAsia" w:ascii="仿宋" w:hAnsi="仿宋" w:eastAsia="仿宋"/>
          <w:sz w:val="32"/>
          <w:szCs w:val="32"/>
        </w:rPr>
        <w:t>走在全市前列，蓝天保卫战不打折扣，切实负起了城区黑臭水体督办工作，在全球经济整体不景气的情况下，垃圾处理费征收已基本完成。其他</w:t>
      </w:r>
      <w:r>
        <w:rPr>
          <w:rFonts w:hint="eastAsia" w:ascii="仿宋" w:hAnsi="仿宋" w:eastAsia="仿宋"/>
          <w:sz w:val="32"/>
          <w:szCs w:val="32"/>
          <w:lang w:eastAsia="zh-CN"/>
        </w:rPr>
        <w:t>党建、</w:t>
      </w:r>
      <w:r>
        <w:rPr>
          <w:rFonts w:hint="eastAsia" w:ascii="仿宋" w:hAnsi="仿宋" w:eastAsia="仿宋"/>
          <w:sz w:val="32"/>
          <w:szCs w:val="32"/>
        </w:rPr>
        <w:t>综治、安全、信访、妇女、工会等各项工作扎实有效，上级下达各项指示、任务能快速、高效贯彻执行落实到位。</w:t>
      </w:r>
      <w:r>
        <w:rPr>
          <w:rFonts w:hint="eastAsia" w:ascii="仿宋" w:hAnsi="仿宋" w:eastAsia="仿宋"/>
          <w:sz w:val="32"/>
          <w:szCs w:val="32"/>
          <w:lang w:val="en-US" w:eastAsia="zh-CN"/>
        </w:rPr>
        <w:t xml:space="preserve">      </w:t>
      </w:r>
    </w:p>
    <w:p>
      <w:pPr>
        <w:ind w:firstLine="643" w:firstLineChars="200"/>
        <w:rPr>
          <w:rFonts w:ascii="仿宋" w:hAnsi="仿宋" w:eastAsia="仿宋"/>
          <w:b/>
          <w:sz w:val="32"/>
          <w:szCs w:val="32"/>
        </w:rPr>
      </w:pPr>
      <w:r>
        <w:rPr>
          <w:rFonts w:hint="eastAsia" w:ascii="仿宋" w:hAnsi="仿宋" w:eastAsia="仿宋"/>
          <w:b/>
          <w:sz w:val="32"/>
          <w:szCs w:val="32"/>
        </w:rPr>
        <w:t>（一）经济效益指标完成情况</w:t>
      </w:r>
    </w:p>
    <w:p>
      <w:pPr>
        <w:ind w:firstLine="620" w:firstLineChars="194"/>
        <w:rPr>
          <w:rFonts w:ascii="仿宋" w:hAnsi="仿宋" w:eastAsia="仿宋"/>
          <w:sz w:val="32"/>
          <w:szCs w:val="32"/>
        </w:rPr>
      </w:pPr>
      <w:r>
        <w:rPr>
          <w:rFonts w:hint="eastAsia" w:ascii="仿宋" w:hAnsi="仿宋" w:eastAsia="仿宋"/>
          <w:sz w:val="32"/>
          <w:szCs w:val="32"/>
        </w:rPr>
        <w:t>区环卫服务中心以较少的劳动耗费取得了较大的清扫保洁服务成果。202</w:t>
      </w:r>
      <w:r>
        <w:rPr>
          <w:rFonts w:hint="eastAsia" w:ascii="仿宋" w:hAnsi="仿宋" w:eastAsia="仿宋"/>
          <w:sz w:val="32"/>
          <w:szCs w:val="32"/>
          <w:lang w:val="en-US" w:eastAsia="zh-CN"/>
        </w:rPr>
        <w:t>4</w:t>
      </w:r>
      <w:r>
        <w:rPr>
          <w:rFonts w:hint="eastAsia" w:ascii="仿宋" w:hAnsi="仿宋" w:eastAsia="仿宋"/>
          <w:sz w:val="32"/>
          <w:szCs w:val="32"/>
        </w:rPr>
        <w:t>年，清扫保洁项目支出</w:t>
      </w:r>
      <w:r>
        <w:rPr>
          <w:rFonts w:hint="eastAsia" w:ascii="仿宋" w:hAnsi="仿宋" w:eastAsia="仿宋"/>
          <w:sz w:val="32"/>
          <w:szCs w:val="32"/>
          <w:lang w:val="en-US" w:eastAsia="zh-CN"/>
        </w:rPr>
        <w:t>1659.51</w:t>
      </w:r>
      <w:r>
        <w:rPr>
          <w:rFonts w:hint="eastAsia" w:ascii="仿宋" w:hAnsi="仿宋" w:eastAsia="仿宋"/>
          <w:sz w:val="32"/>
          <w:szCs w:val="32"/>
        </w:rPr>
        <w:t>万元，按清扫保洁服务面积5</w:t>
      </w:r>
      <w:r>
        <w:rPr>
          <w:rFonts w:hint="eastAsia" w:ascii="仿宋" w:hAnsi="仿宋" w:eastAsia="仿宋"/>
          <w:sz w:val="32"/>
          <w:szCs w:val="32"/>
          <w:lang w:val="en-US" w:eastAsia="zh-CN"/>
        </w:rPr>
        <w:t>15</w:t>
      </w:r>
      <w:r>
        <w:rPr>
          <w:rFonts w:hint="eastAsia" w:ascii="仿宋" w:hAnsi="仿宋" w:eastAsia="仿宋"/>
          <w:sz w:val="32"/>
          <w:szCs w:val="32"/>
        </w:rPr>
        <w:t>万平方米计算，实际单位人工清扫保洁费用定额为3.</w:t>
      </w:r>
      <w:r>
        <w:rPr>
          <w:rFonts w:hint="eastAsia" w:ascii="仿宋" w:hAnsi="仿宋" w:eastAsia="仿宋"/>
          <w:sz w:val="32"/>
          <w:szCs w:val="32"/>
          <w:lang w:val="en-US" w:eastAsia="zh-CN"/>
        </w:rPr>
        <w:t>22</w:t>
      </w:r>
      <w:r>
        <w:rPr>
          <w:rFonts w:hint="eastAsia" w:ascii="仿宋" w:hAnsi="仿宋" w:eastAsia="仿宋"/>
          <w:sz w:val="32"/>
          <w:szCs w:val="32"/>
        </w:rPr>
        <w:t>元/平方米·年，远远低于省颁布人工清扫保洁费用定额标准14.571元/平方米·年，经济效益明显。</w:t>
      </w:r>
    </w:p>
    <w:p>
      <w:pPr>
        <w:ind w:firstLine="643" w:firstLineChars="200"/>
        <w:rPr>
          <w:rFonts w:hint="eastAsia" w:ascii="仿宋" w:hAnsi="仿宋" w:eastAsia="仿宋"/>
          <w:b/>
          <w:sz w:val="32"/>
          <w:szCs w:val="32"/>
          <w:lang w:eastAsia="zh-CN"/>
        </w:rPr>
      </w:pPr>
      <w:r>
        <w:rPr>
          <w:rFonts w:hint="eastAsia" w:ascii="仿宋" w:hAnsi="仿宋" w:eastAsia="仿宋"/>
          <w:b/>
          <w:sz w:val="32"/>
          <w:szCs w:val="32"/>
        </w:rPr>
        <w:t>（二）社会效益</w:t>
      </w:r>
      <w:r>
        <w:rPr>
          <w:rFonts w:hint="eastAsia" w:ascii="仿宋" w:hAnsi="仿宋" w:eastAsia="仿宋"/>
          <w:b/>
          <w:sz w:val="32"/>
          <w:szCs w:val="32"/>
          <w:lang w:eastAsia="zh-CN"/>
        </w:rPr>
        <w:t>指标完成情况</w:t>
      </w:r>
    </w:p>
    <w:p>
      <w:pPr>
        <w:numPr>
          <w:ilvl w:val="0"/>
          <w:numId w:val="0"/>
        </w:numPr>
        <w:ind w:firstLine="640"/>
        <w:rPr>
          <w:rFonts w:ascii="仿宋" w:hAnsi="仿宋" w:eastAsia="仿宋"/>
          <w:b/>
          <w:sz w:val="32"/>
          <w:szCs w:val="32"/>
        </w:rPr>
      </w:pPr>
      <w:r>
        <w:rPr>
          <w:rFonts w:hint="eastAsia"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年，本中心工作在全市中心城区三区的综合考核中，得到了政府和广大市民的一致认可</w:t>
      </w:r>
      <w:r>
        <w:rPr>
          <w:rFonts w:hint="eastAsia" w:ascii="仿宋" w:hAnsi="仿宋" w:eastAsia="仿宋"/>
          <w:sz w:val="32"/>
          <w:szCs w:val="32"/>
          <w:lang w:eastAsia="zh-CN"/>
        </w:rPr>
        <w:t>。</w:t>
      </w:r>
      <w:r>
        <w:rPr>
          <w:rFonts w:hint="eastAsia" w:ascii="仿宋" w:hAnsi="仿宋" w:eastAsia="仿宋" w:cs="仿宋"/>
          <w:b w:val="0"/>
          <w:bCs w:val="0"/>
          <w:sz w:val="32"/>
          <w:szCs w:val="32"/>
          <w:lang w:val="en-US" w:eastAsia="zh-CN"/>
        </w:rPr>
        <w:t>今年3月14、15日</w:t>
      </w:r>
      <w:r>
        <w:rPr>
          <w:rFonts w:hint="eastAsia" w:ascii="仿宋" w:hAnsi="仿宋" w:eastAsia="仿宋" w:cs="仿宋"/>
          <w:sz w:val="32"/>
          <w:szCs w:val="32"/>
          <w:lang w:val="en-US" w:eastAsia="zh-CN"/>
        </w:rPr>
        <w:t>承办了2023年湖南省住建行业（机动清扫工）技能竞赛益阳赛区工作，2名职工分别获得益阳赛区男子组和女子组第一名。在创文巩卫的各个时间节点和国庆期间、明清古巷开园期间，安排专人重点维护，设置移动公厕方便群众。垃圾分类继续走在全市前列。</w:t>
      </w:r>
      <w:r>
        <w:rPr>
          <w:rFonts w:hint="eastAsia" w:ascii="仿宋" w:hAnsi="仿宋" w:eastAsia="仿宋"/>
          <w:sz w:val="32"/>
          <w:szCs w:val="32"/>
        </w:rPr>
        <w:t>通过参与、宣传、指导，正在改变社会混合投放垃圾旧习，带动和引导社会养成垃圾分类投放新习惯</w:t>
      </w:r>
      <w:r>
        <w:rPr>
          <w:rFonts w:hint="eastAsia" w:ascii="仿宋" w:hAnsi="仿宋" w:eastAsia="仿宋"/>
          <w:sz w:val="32"/>
          <w:szCs w:val="32"/>
          <w:lang w:eastAsia="zh-CN"/>
        </w:rPr>
        <w:t>，</w:t>
      </w:r>
      <w:r>
        <w:rPr>
          <w:rFonts w:hint="eastAsia" w:ascii="仿宋" w:hAnsi="仿宋" w:eastAsia="仿宋" w:cs="仿宋"/>
          <w:sz w:val="32"/>
          <w:szCs w:val="32"/>
          <w:lang w:val="en-US" w:eastAsia="zh-CN"/>
        </w:rPr>
        <w:t>自导自拍的《垃圾分类“弹一弹”》在省垃圾分类创意大赛中获银奖。驻村帮扶工作正常稳定高效，对其中</w:t>
      </w:r>
      <w:r>
        <w:rPr>
          <w:rFonts w:hint="eastAsia" w:ascii="仿宋" w:hAnsi="仿宋" w:eastAsia="仿宋" w:cs="仿宋"/>
          <w:color w:val="000000" w:themeColor="text1"/>
          <w:sz w:val="32"/>
          <w:szCs w:val="32"/>
          <w:lang w:val="en-US" w:eastAsia="zh-CN"/>
          <w14:textFill>
            <w14:solidFill>
              <w14:schemeClr w14:val="tx1"/>
            </w14:solidFill>
          </w14:textFill>
        </w:rPr>
        <w:t>的事实孤儿作</w:t>
      </w:r>
      <w:r>
        <w:rPr>
          <w:rFonts w:hint="eastAsia" w:ascii="仿宋" w:hAnsi="仿宋" w:eastAsia="仿宋" w:cs="仿宋"/>
          <w:sz w:val="32"/>
          <w:szCs w:val="32"/>
          <w:lang w:val="en-US" w:eastAsia="zh-CN"/>
        </w:rPr>
        <w:t>了重点帮扶。对“智慧城管”和市环卫工作群的工作要求，回复及时高效。</w:t>
      </w:r>
    </w:p>
    <w:p>
      <w:pPr>
        <w:ind w:firstLine="643" w:firstLineChars="200"/>
        <w:rPr>
          <w:rFonts w:ascii="仿宋" w:hAnsi="仿宋" w:eastAsia="仿宋"/>
          <w:b/>
          <w:sz w:val="32"/>
          <w:szCs w:val="32"/>
        </w:rPr>
      </w:pPr>
      <w:r>
        <w:rPr>
          <w:rFonts w:hint="eastAsia" w:ascii="仿宋" w:hAnsi="仿宋" w:eastAsia="仿宋"/>
          <w:b/>
          <w:sz w:val="32"/>
          <w:szCs w:val="32"/>
        </w:rPr>
        <w:t>（三）生态环境效益指标完成情况</w:t>
      </w:r>
    </w:p>
    <w:p>
      <w:pPr>
        <w:ind w:firstLine="640" w:firstLineChars="200"/>
        <w:rPr>
          <w:rFonts w:ascii="仿宋" w:hAnsi="仿宋" w:eastAsia="仿宋"/>
          <w:b/>
          <w:sz w:val="32"/>
          <w:szCs w:val="32"/>
        </w:rPr>
      </w:pPr>
      <w:r>
        <w:rPr>
          <w:rFonts w:hint="eastAsia" w:ascii="仿宋" w:hAnsi="仿宋" w:eastAsia="仿宋" w:cs="仿宋"/>
          <w:b w:val="0"/>
          <w:bCs w:val="0"/>
          <w:sz w:val="32"/>
          <w:szCs w:val="32"/>
          <w:lang w:val="en-US" w:eastAsia="zh-CN"/>
        </w:rPr>
        <w:t>自始至终监管城区黑臭水体，将黑臭水体岸上清扫保洁与垃圾清运纳入环境卫生日常督查，共安排6名专职保洁人员清扫保洁、2条垃圾收集线路进行垃圾收集；</w:t>
      </w:r>
      <w:r>
        <w:rPr>
          <w:rFonts w:hint="eastAsia" w:ascii="仿宋_GB2312" w:hAnsi="仿宋_GB2312" w:eastAsia="仿宋_GB2312" w:cs="仿宋_GB2312"/>
          <w:sz w:val="32"/>
          <w:szCs w:val="32"/>
          <w:lang w:val="en-US" w:eastAsia="zh-CN"/>
        </w:rPr>
        <w:t>确保每月1次巡河，并形成巡河记录12份以上，对发现的问题，积极与上级相关部门或责任部门对接，重点加快白马山渠水体更换、渠体清淤与周边管网的雨水混接的排查与清淤，做好岸坡垃圾治理工作，助力“洞庭清波”。</w:t>
      </w:r>
      <w:r>
        <w:rPr>
          <w:rFonts w:hint="eastAsia" w:ascii="仿宋" w:hAnsi="仿宋" w:eastAsia="仿宋"/>
          <w:sz w:val="32"/>
          <w:szCs w:val="32"/>
        </w:rPr>
        <w:t>全年“5+2”“两头黑”“人扫+机扫”“人洗+机洗”“人运+车运”，“创卫巩卫”效果良好。地面冲（清）洗+空中抑尘，使街面无扬尘上天，空中扬尘下地，为蓝天保卫战做出了积极贡献。专人和专用设备高压清洗，垃圾中转站、垃圾容器和公交站台与城市宣传  （标牌），洗、擦、抹“城市家具”清洁卫生；地面油污用烧碱冲洗，保持城市天天见本色见新色；交通标线日日清洗，路面黑白分明；对乡镇和外单位的清洗请求，以城乡一体化的大局观，支援乡村振兴，做到有求必应，应必高效；公厕专人管理，粪水经三格式化粪池发酵后，排入城市污水管网，沉渣运往市里指定的专门定点作无害化处置。</w:t>
      </w:r>
    </w:p>
    <w:p>
      <w:pPr>
        <w:ind w:firstLine="643" w:firstLineChars="200"/>
        <w:rPr>
          <w:rFonts w:ascii="仿宋" w:hAnsi="仿宋" w:eastAsia="仿宋"/>
          <w:sz w:val="32"/>
          <w:szCs w:val="32"/>
          <w:highlight w:val="yellow"/>
        </w:rPr>
      </w:pPr>
      <w:r>
        <w:rPr>
          <w:rFonts w:hint="eastAsia" w:ascii="仿宋" w:hAnsi="仿宋" w:eastAsia="仿宋"/>
          <w:b/>
          <w:sz w:val="32"/>
          <w:szCs w:val="32"/>
        </w:rPr>
        <w:t>（四）可持续影响指标。</w:t>
      </w:r>
      <w:r>
        <w:rPr>
          <w:rFonts w:hint="eastAsia" w:ascii="仿宋" w:hAnsi="仿宋" w:eastAsia="仿宋"/>
          <w:sz w:val="32"/>
          <w:szCs w:val="32"/>
        </w:rPr>
        <w:t>注重可持续发展，大力推进城市更新</w:t>
      </w:r>
      <w:r>
        <w:rPr>
          <w:rFonts w:hint="eastAsia" w:ascii="仿宋" w:hAnsi="仿宋" w:eastAsia="仿宋"/>
          <w:sz w:val="32"/>
          <w:szCs w:val="32"/>
          <w:lang w:val="en-US" w:eastAsia="zh-CN"/>
        </w:rPr>
        <w:t>.</w:t>
      </w:r>
      <w:r>
        <w:rPr>
          <w:rFonts w:hint="eastAsia" w:ascii="仿宋_GB2312" w:hAnsi="仿宋_GB2312" w:eastAsia="仿宋_GB2312" w:cs="仿宋_GB2312"/>
          <w:sz w:val="32"/>
          <w:szCs w:val="32"/>
          <w:lang w:val="en-US" w:eastAsia="zh-CN"/>
        </w:rPr>
        <w:t>落实好《益沅桃城镇群2024年城市基础设施建设计划》，《2024年城市资金维护计划》，利用好国家“城市以旧换新”政策，争取国家资金，双管齐下，建设维护好我区的城市环卫基础设施。添置10台环卫车辆、垃圾分类桶3000个、垃圾分类箱50个、其他垃圾中转站设备更新3套、其他垃圾中转站配件更换15座、其他垃圾中转站维修改造5座、其他垃圾中转站渗漏液处理设备1套、“厕所革命”公厕改造5座、环卫智慧平台建设1套、主次干道撤桶果皮箱800套、环卫驿站5座。</w:t>
      </w:r>
      <w:r>
        <w:rPr>
          <w:rFonts w:hint="eastAsia" w:ascii="仿宋" w:hAnsi="仿宋" w:eastAsia="仿宋"/>
          <w:sz w:val="32"/>
          <w:szCs w:val="32"/>
          <w:highlight w:val="none"/>
        </w:rPr>
        <w:t>城市服务功能得到了可持续增强。</w:t>
      </w:r>
    </w:p>
    <w:p>
      <w:pPr>
        <w:widowControl/>
        <w:autoSpaceDN w:val="0"/>
        <w:spacing w:line="540" w:lineRule="exact"/>
        <w:ind w:firstLine="643" w:firstLineChars="200"/>
        <w:rPr>
          <w:rFonts w:hint="eastAsia" w:ascii="黑体" w:hAnsi="黑体" w:eastAsia="黑体" w:cs="宋体"/>
          <w:color w:val="000000"/>
          <w:kern w:val="0"/>
          <w:sz w:val="32"/>
          <w:szCs w:val="32"/>
        </w:rPr>
      </w:pPr>
      <w:r>
        <w:rPr>
          <w:rFonts w:hint="eastAsia" w:ascii="仿宋" w:hAnsi="仿宋" w:eastAsia="仿宋"/>
          <w:b/>
          <w:sz w:val="32"/>
          <w:szCs w:val="32"/>
        </w:rPr>
        <w:t>（五）服务对象满意度。</w:t>
      </w:r>
      <w:r>
        <w:rPr>
          <w:rFonts w:hint="eastAsia" w:ascii="仿宋" w:hAnsi="仿宋" w:eastAsia="仿宋"/>
          <w:sz w:val="32"/>
          <w:szCs w:val="32"/>
        </w:rPr>
        <w:t>清扫保洁服务到了居民的房前屋后与左右墙角，群众的幸福感、获得感稳步提升，全年无群众对环境卫生的投诉；在创文巩卫群众满意度调查中，均为“满意”。</w:t>
      </w:r>
    </w:p>
    <w:p>
      <w:pPr>
        <w:pStyle w:val="8"/>
        <w:widowControl/>
        <w:spacing w:line="600" w:lineRule="exact"/>
        <w:ind w:left="0" w:leftChars="0" w:firstLine="320" w:firstLineChars="100"/>
        <w:jc w:val="left"/>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 xml:space="preserve">  四、总体评价和自评得分情况</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color w:val="auto"/>
          <w:lang w:val="en-US" w:eastAsia="zh-CN"/>
        </w:rPr>
      </w:pPr>
      <w:r>
        <w:rPr>
          <w:rFonts w:hint="eastAsia" w:ascii="仿宋_GB2312" w:hAnsi="仿宋_GB2312" w:eastAsia="仿宋_GB2312" w:cs="仿宋_GB2312"/>
          <w:b w:val="0"/>
          <w:bCs w:val="0"/>
          <w:color w:val="auto"/>
          <w:sz w:val="32"/>
          <w:szCs w:val="32"/>
          <w:lang w:val="en-US" w:eastAsia="zh-CN"/>
        </w:rPr>
        <w:t>2024年，我中心通过积极作为，强化制度建设，增强内部管理，较好的完成了年度工作目标根据部门整体支出绩效评价指标体系。根据部门整体支出绩效评价指标体系，我单位2024年度评价得分为98分。</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lang w:val="en-US" w:eastAsia="zh-CN"/>
        </w:rPr>
      </w:pPr>
      <w:r>
        <w:rPr>
          <w:rFonts w:hint="eastAsia" w:ascii="仿宋_GB2312" w:hAnsi="仿宋_GB2312" w:eastAsia="仿宋_GB2312" w:cs="仿宋_GB2312"/>
          <w:b w:val="0"/>
          <w:bCs w:val="0"/>
          <w:color w:val="auto"/>
          <w:sz w:val="32"/>
          <w:szCs w:val="32"/>
          <w:lang w:val="en-US" w:eastAsia="zh-CN"/>
        </w:rPr>
        <w:t>通过绩效自评，进一步掌握了资金使用情况和取得的效果， 总结了专项资金管理经验，认识到了工作中存在的问题和不足， 为今后完善年初预算编制、加强资金使用管理、健全资金支出项目、提高资金绩效管理、加大资金使用效益工作提供了重要的参考依据绩效自评结果公开情况。</w:t>
      </w:r>
    </w:p>
    <w:p>
      <w:pPr>
        <w:pStyle w:val="8"/>
        <w:widowControl/>
        <w:spacing w:line="600" w:lineRule="exact"/>
        <w:ind w:firstLine="640"/>
        <w:jc w:val="left"/>
        <w:rPr>
          <w:rFonts w:ascii="Times New Roman" w:hAnsi="Times New Roman" w:eastAsia="黑体"/>
          <w:sz w:val="32"/>
          <w:szCs w:val="32"/>
        </w:rPr>
      </w:pPr>
      <w:r>
        <w:rPr>
          <w:rFonts w:hint="eastAsia" w:ascii="黑体" w:hAnsi="黑体" w:eastAsia="黑体" w:cs="宋体"/>
          <w:color w:val="000000"/>
          <w:kern w:val="0"/>
          <w:sz w:val="32"/>
          <w:szCs w:val="32"/>
        </w:rPr>
        <w:t>五、</w:t>
      </w:r>
      <w:r>
        <w:rPr>
          <w:rFonts w:hint="eastAsia" w:ascii="Times New Roman" w:hAnsi="Times New Roman" w:eastAsia="黑体"/>
          <w:sz w:val="32"/>
          <w:szCs w:val="32"/>
        </w:rPr>
        <w:t>存在的问题及原因分析</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lang w:val="en-US" w:eastAsia="zh-CN"/>
        </w:rPr>
      </w:pPr>
      <w:r>
        <w:rPr>
          <w:rFonts w:hint="eastAsia"/>
          <w:lang w:val="en-US" w:eastAsia="zh-CN"/>
        </w:rPr>
        <w:t>年初预算编制时，项目预算要进一步细化，要科学设置绩效评估指标体系。</w:t>
      </w:r>
    </w:p>
    <w:p>
      <w:pPr>
        <w:pStyle w:val="8"/>
        <w:widowControl/>
        <w:spacing w:line="600" w:lineRule="exact"/>
        <w:ind w:firstLine="640"/>
        <w:jc w:val="left"/>
        <w:rPr>
          <w:rFonts w:hint="eastAsia" w:ascii="Times New Roman" w:hAnsi="Times New Roman" w:cs="Times New Roman"/>
          <w:lang w:val="en-US" w:eastAsia="zh-CN"/>
        </w:rPr>
      </w:pPr>
      <w:r>
        <w:rPr>
          <w:rFonts w:hint="eastAsia" w:ascii="Times New Roman" w:hAnsi="Times New Roman" w:cs="Times New Roman"/>
          <w:lang w:val="en-US" w:eastAsia="zh-CN"/>
        </w:rPr>
        <w:t>预算执行工作重视不够，年底因手续不齐全、资金不完善等原因造成资金无法支付，造成资金滞留结转下年再支出。</w:t>
      </w:r>
    </w:p>
    <w:p>
      <w:pPr>
        <w:pStyle w:val="8"/>
        <w:widowControl/>
        <w:numPr>
          <w:ilvl w:val="0"/>
          <w:numId w:val="2"/>
        </w:numPr>
        <w:spacing w:line="600" w:lineRule="exact"/>
        <w:ind w:firstLine="640"/>
        <w:jc w:val="left"/>
        <w:rPr>
          <w:rFonts w:hint="eastAsia" w:eastAsia="黑体"/>
          <w:b/>
          <w:bCs/>
          <w:sz w:val="32"/>
          <w:szCs w:val="32"/>
        </w:rPr>
      </w:pPr>
      <w:r>
        <w:rPr>
          <w:rFonts w:hint="eastAsia" w:eastAsia="黑体"/>
          <w:b/>
          <w:bCs/>
          <w:sz w:val="32"/>
          <w:szCs w:val="32"/>
        </w:rPr>
        <w:t>下一步改进措施</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w:t>
      </w:r>
      <w:r>
        <w:rPr>
          <w:rFonts w:hint="eastAsia" w:ascii="仿宋_GB2312" w:hAnsi="仿宋_GB2312" w:cs="仿宋_GB2312"/>
          <w:b w:val="0"/>
          <w:bCs w:val="0"/>
          <w:color w:val="auto"/>
          <w:sz w:val="32"/>
          <w:szCs w:val="32"/>
          <w:lang w:val="en-US" w:eastAsia="zh-CN"/>
        </w:rPr>
        <w:t>一</w:t>
      </w:r>
      <w:r>
        <w:rPr>
          <w:rFonts w:hint="eastAsia" w:ascii="仿宋_GB2312" w:hAnsi="仿宋_GB2312" w:eastAsia="仿宋_GB2312" w:cs="仿宋_GB2312"/>
          <w:b w:val="0"/>
          <w:bCs w:val="0"/>
          <w:color w:val="auto"/>
          <w:sz w:val="32"/>
          <w:szCs w:val="32"/>
          <w:lang w:val="en-US" w:eastAsia="zh-CN"/>
        </w:rPr>
        <w:t>)细化预算编制工作。进一步加强各科室的预算管理意识， 严格按照预算编制的相关制度和要求，提高预算编制的科学性、合理性。</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pPr>
      <w:r>
        <w:rPr>
          <w:rFonts w:hint="eastAsia" w:ascii="仿宋_GB2312" w:hAnsi="仿宋_GB2312" w:eastAsia="仿宋_GB2312" w:cs="仿宋_GB2312"/>
          <w:b w:val="0"/>
          <w:bCs w:val="0"/>
          <w:color w:val="auto"/>
          <w:sz w:val="32"/>
          <w:szCs w:val="32"/>
          <w:lang w:val="en-US" w:eastAsia="zh-CN"/>
        </w:rPr>
        <w:t>(</w:t>
      </w:r>
      <w:r>
        <w:rPr>
          <w:rFonts w:hint="eastAsia" w:ascii="仿宋_GB2312" w:hAnsi="仿宋_GB2312" w:cs="仿宋_GB2312"/>
          <w:b w:val="0"/>
          <w:bCs w:val="0"/>
          <w:color w:val="auto"/>
          <w:sz w:val="32"/>
          <w:szCs w:val="32"/>
          <w:lang w:val="en-US" w:eastAsia="zh-CN"/>
        </w:rPr>
        <w:t>二</w:t>
      </w:r>
      <w:r>
        <w:rPr>
          <w:rFonts w:hint="eastAsia" w:ascii="仿宋_GB2312" w:hAnsi="仿宋_GB2312" w:eastAsia="仿宋_GB2312" w:cs="仿宋_GB2312"/>
          <w:b w:val="0"/>
          <w:bCs w:val="0"/>
          <w:color w:val="auto"/>
          <w:sz w:val="32"/>
          <w:szCs w:val="32"/>
          <w:lang w:val="en-US" w:eastAsia="zh-CN"/>
        </w:rPr>
        <w:t>)加强预算执行管理。遵循预算管理办法，按项目工作推 进提高资金支出进度，加强和各业务科室的沟通和督促项目资金使用，科学合理使用财政资金，确保财政资金发挥最大效益。加强人员培训。进一步加强管理人员对相关业务的学习，规范部门预算收支核算，切实提高预算收支管理水平。</w:t>
      </w:r>
    </w:p>
    <w:p>
      <w:pPr>
        <w:pStyle w:val="8"/>
        <w:widowControl/>
        <w:numPr>
          <w:ilvl w:val="0"/>
          <w:numId w:val="0"/>
        </w:numPr>
        <w:spacing w:line="600" w:lineRule="exact"/>
        <w:jc w:val="left"/>
        <w:rPr>
          <w:rFonts w:hint="eastAsia" w:eastAsia="黑体"/>
          <w:b/>
          <w:bCs/>
          <w:sz w:val="32"/>
          <w:szCs w:val="32"/>
        </w:rPr>
      </w:pPr>
    </w:p>
    <w:p>
      <w:pPr>
        <w:widowControl/>
        <w:numPr>
          <w:ilvl w:val="0"/>
          <w:numId w:val="2"/>
        </w:numPr>
        <w:spacing w:line="600" w:lineRule="exact"/>
        <w:ind w:left="0" w:leftChars="0" w:firstLine="640" w:firstLineChars="200"/>
        <w:jc w:val="left"/>
        <w:rPr>
          <w:rFonts w:hint="eastAsia" w:eastAsia="黑体"/>
          <w:sz w:val="32"/>
          <w:szCs w:val="32"/>
          <w:lang w:eastAsia="zh-CN"/>
        </w:rPr>
      </w:pPr>
      <w:r>
        <w:rPr>
          <w:rFonts w:hint="eastAsia" w:eastAsia="黑体"/>
          <w:sz w:val="32"/>
          <w:szCs w:val="32"/>
        </w:rPr>
        <w:t>整体支出绩效自评结果拟应用</w:t>
      </w:r>
      <w:r>
        <w:rPr>
          <w:rFonts w:hint="eastAsia" w:eastAsia="黑体"/>
          <w:sz w:val="32"/>
          <w:szCs w:val="32"/>
          <w:lang w:eastAsia="zh-CN"/>
        </w:rPr>
        <w:t>和</w:t>
      </w:r>
      <w:r>
        <w:rPr>
          <w:rFonts w:hint="eastAsia" w:eastAsia="黑体"/>
          <w:sz w:val="32"/>
          <w:szCs w:val="32"/>
        </w:rPr>
        <w:t>公开</w:t>
      </w:r>
      <w:r>
        <w:rPr>
          <w:rFonts w:hint="eastAsia" w:eastAsia="黑体"/>
          <w:sz w:val="32"/>
          <w:szCs w:val="32"/>
          <w:lang w:eastAsia="zh-CN"/>
        </w:rPr>
        <w:t>情况。</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此次绩效自评报告将在资阳区政府官网上予以全文公布，向社会公开，广泛接受群众监督。</w:t>
      </w:r>
    </w:p>
    <w:p>
      <w:pPr>
        <w:widowControl/>
        <w:spacing w:line="600" w:lineRule="exact"/>
        <w:ind w:firstLine="645"/>
        <w:jc w:val="left"/>
        <w:rPr>
          <w:rFonts w:hint="eastAsia" w:ascii="仿宋" w:hAnsi="仿宋" w:eastAsia="仿宋" w:cs="仿宋"/>
          <w:sz w:val="32"/>
          <w:szCs w:val="32"/>
        </w:rPr>
      </w:pPr>
      <w:r>
        <w:rPr>
          <w:rFonts w:hint="eastAsia" w:ascii="仿宋" w:hAnsi="仿宋" w:eastAsia="仿宋" w:cs="仿宋"/>
          <w:sz w:val="32"/>
          <w:szCs w:val="32"/>
        </w:rPr>
        <w:t>报告需要以下附件：</w:t>
      </w:r>
    </w:p>
    <w:p>
      <w:pPr>
        <w:widowControl/>
        <w:spacing w:line="60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val="en-US" w:eastAsia="zh-CN"/>
        </w:rPr>
        <w:t>.</w:t>
      </w:r>
      <w:r>
        <w:rPr>
          <w:rFonts w:hint="eastAsia" w:ascii="仿宋" w:hAnsi="仿宋" w:eastAsia="仿宋" w:cs="仿宋"/>
          <w:sz w:val="32"/>
          <w:szCs w:val="32"/>
        </w:rPr>
        <w:t>部门整体支出绩效评价基础数据表</w:t>
      </w:r>
    </w:p>
    <w:p>
      <w:pPr>
        <w:widowControl/>
        <w:spacing w:line="60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w:t>
      </w:r>
      <w:r>
        <w:rPr>
          <w:rFonts w:hint="eastAsia" w:ascii="仿宋" w:hAnsi="仿宋" w:eastAsia="仿宋" w:cs="仿宋"/>
          <w:sz w:val="32"/>
          <w:szCs w:val="32"/>
        </w:rPr>
        <w:t>部门整体支出绩效自评表</w:t>
      </w:r>
    </w:p>
    <w:p>
      <w:pPr>
        <w:widowControl/>
        <w:spacing w:line="60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项目支出绩效自评表</w:t>
      </w:r>
    </w:p>
    <w:p>
      <w:pPr>
        <w:spacing w:line="600" w:lineRule="exact"/>
        <w:ind w:firstLine="627" w:firstLineChars="196"/>
      </w:pPr>
      <w:r>
        <w:rPr>
          <w:rFonts w:hint="eastAsia" w:ascii="仿宋_GB2312" w:hAnsi="仿宋_GB2312" w:eastAsia="仿宋_GB2312" w:cs="仿宋_GB2312"/>
          <w:kern w:val="0"/>
          <w:sz w:val="32"/>
          <w:szCs w:val="32"/>
          <w:lang w:val="en-US" w:eastAsia="zh-CN" w:bidi="ar-SA"/>
        </w:rPr>
        <w:t>4.其他必要材料（当年度预算绩效目标申报表、单位年度工作总结、预决算报表、有关表彰奖励复印件等）及与自评报告、基础表、自评表内容相符的相关佐证材料（佐证资料必须列目录，与自评表指标对应）</w:t>
      </w:r>
      <w:r>
        <w:rPr>
          <w:rFonts w:hint="eastAsia" w:ascii="仿宋" w:hAnsi="仿宋" w:eastAsia="仿宋" w:cs="仿宋"/>
          <w:kern w:val="0"/>
          <w:sz w:val="22"/>
          <w:szCs w:val="24"/>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00"/>
    <w:family w:val="moder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278C78"/>
    <w:multiLevelType w:val="singleLevel"/>
    <w:tmpl w:val="8C278C78"/>
    <w:lvl w:ilvl="0" w:tentative="0">
      <w:start w:val="1"/>
      <w:numFmt w:val="chineseCounting"/>
      <w:suff w:val="nothing"/>
      <w:lvlText w:val="%1、"/>
      <w:lvlJc w:val="left"/>
      <w:rPr>
        <w:rFonts w:hint="eastAsia"/>
      </w:rPr>
    </w:lvl>
  </w:abstractNum>
  <w:abstractNum w:abstractNumId="1">
    <w:nsid w:val="443CED68"/>
    <w:multiLevelType w:val="singleLevel"/>
    <w:tmpl w:val="443CED68"/>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C950E0"/>
    <w:rsid w:val="37866A82"/>
    <w:rsid w:val="3DC950E0"/>
    <w:rsid w:val="7B1907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customStyle="1" w:styleId="2">
    <w:name w:val="BodyText1I2"/>
    <w:basedOn w:val="3"/>
    <w:qFormat/>
    <w:uiPriority w:val="0"/>
    <w:pPr>
      <w:ind w:firstLine="420"/>
    </w:pPr>
  </w:style>
  <w:style w:type="paragraph" w:customStyle="1" w:styleId="3">
    <w:name w:val="BodyTextIndent"/>
    <w:basedOn w:val="1"/>
    <w:qFormat/>
    <w:uiPriority w:val="0"/>
    <w:pPr>
      <w:spacing w:after="120"/>
      <w:ind w:left="420" w:leftChars="200" w:firstLine="200" w:firstLineChars="200"/>
      <w:textAlignment w:val="baseline"/>
    </w:pPr>
  </w:style>
  <w:style w:type="paragraph" w:styleId="4">
    <w:name w:val="Body Text Indent"/>
    <w:basedOn w:val="1"/>
    <w:qFormat/>
    <w:uiPriority w:val="0"/>
    <w:pPr>
      <w:ind w:firstLine="632" w:firstLineChars="200"/>
    </w:pPr>
  </w:style>
  <w:style w:type="paragraph" w:styleId="5">
    <w:name w:val="Body Text First Indent 2"/>
    <w:basedOn w:val="4"/>
    <w:qFormat/>
    <w:uiPriority w:val="0"/>
    <w:pPr>
      <w:spacing w:before="100" w:beforeAutospacing="1" w:after="0"/>
      <w:ind w:left="0" w:firstLine="420" w:firstLineChars="200"/>
    </w:pPr>
  </w:style>
  <w:style w:type="paragraph" w:styleId="8">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2025-10-20T06:18:00Z</dcterms:created>
  <dc:creator>Administrator</dc:creator>
  <cp:lastModifiedBy>Administrator</cp:lastModifiedBy>
  <dcterms:modified xsi:type="dcterms:W3CDTF">2025-10-20T07:06:06Z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ICV">
    <vt:lpwstr>EBBBBFFE8CAD491E8EE95C6C04B0A78D_11</vt:lpwstr>
  </property>
  <property fmtid="{D5CDD505-2E9C-101B-9397-08002B2CF9AE}" pid="4" name="KSOTemplateDocerSaveRecord">
    <vt:lpwstr>eyJoZGlkIjoiZjk4MGVhMjc0ZDgyNjFhYWI2MDhjM2QwMmYwYjE4MDIifQ==</vt:lpwstr>
  </property>
</Properties>
</file>