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2024年度资阳区农业农村局整体支出</w:t>
      </w:r>
    </w:p>
    <w:p>
      <w:pPr>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绩效自评报告</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pStyle w:val="10"/>
        <w:rPr>
          <w:rFonts w:hint="eastAsia"/>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lang w:val="en-US" w:eastAsia="zh-CN"/>
        </w:rPr>
        <w:t xml:space="preserve">资阳区农业农村局 </w:t>
      </w:r>
    </w:p>
    <w:p>
      <w:pPr>
        <w:ind w:firstLine="3240" w:firstLineChars="900"/>
        <w:jc w:val="both"/>
        <w:rPr>
          <w:rFonts w:hint="eastAsia" w:ascii="仿宋" w:hAnsi="仿宋" w:eastAsia="仿宋" w:cs="仿宋"/>
          <w:sz w:val="36"/>
          <w:szCs w:val="36"/>
          <w:u w:val="none"/>
          <w:lang w:val="en-US" w:eastAsia="zh-CN"/>
        </w:rPr>
      </w:pPr>
    </w:p>
    <w:p>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年   月   日</w:t>
      </w:r>
    </w:p>
    <w:p>
      <w:pPr>
        <w:jc w:val="center"/>
        <w:rPr>
          <w:rFonts w:hint="eastAsia" w:ascii="仿宋" w:hAnsi="仿宋" w:eastAsia="仿宋" w:cs="仿宋"/>
          <w:sz w:val="32"/>
          <w:szCs w:val="32"/>
        </w:rPr>
      </w:pPr>
    </w:p>
    <w:p>
      <w:pPr>
        <w:spacing w:line="560" w:lineRule="exact"/>
        <w:ind w:firstLine="360" w:firstLineChars="100"/>
        <w:jc w:val="center"/>
        <w:rPr>
          <w:rFonts w:hint="eastAsia" w:ascii="仿宋" w:hAnsi="仿宋" w:eastAsia="仿宋" w:cs="仿宋"/>
          <w:sz w:val="36"/>
          <w:szCs w:val="36"/>
          <w:lang w:val="en-US" w:eastAsia="zh-CN"/>
        </w:rPr>
      </w:pPr>
    </w:p>
    <w:p>
      <w:pPr>
        <w:pStyle w:val="10"/>
        <w:rPr>
          <w:rFonts w:hint="eastAsia"/>
          <w:lang w:val="en-US" w:eastAsia="zh-CN"/>
        </w:rPr>
      </w:pPr>
    </w:p>
    <w:p>
      <w:pPr>
        <w:spacing w:line="600" w:lineRule="exact"/>
        <w:ind w:firstLine="1928" w:firstLineChars="600"/>
        <w:jc w:val="both"/>
        <w:rPr>
          <w:rFonts w:hint="eastAsia" w:ascii="仿宋_GB2312" w:hAnsi="仿宋_GB2312" w:eastAsia="仿宋_GB2312" w:cs="仿宋_GB2312"/>
          <w:b/>
          <w:bCs/>
          <w:kern w:val="0"/>
          <w:sz w:val="32"/>
          <w:szCs w:val="32"/>
          <w:lang w:val="en-US" w:eastAsia="zh-CN" w:bidi="ar-SA"/>
        </w:rPr>
      </w:pPr>
    </w:p>
    <w:p>
      <w:pPr>
        <w:spacing w:line="560" w:lineRule="exact"/>
        <w:jc w:val="center"/>
        <w:rPr>
          <w:rFonts w:hint="eastAsia" w:ascii="Times New Roman" w:hAnsi="Times New Roman" w:eastAsia="方正小标宋_GBK" w:cs="Times New Roman"/>
          <w:sz w:val="36"/>
          <w:szCs w:val="36"/>
        </w:rPr>
      </w:pPr>
      <w:r>
        <w:rPr>
          <w:rFonts w:hint="eastAsia" w:ascii="方正小标宋简体" w:hAnsi="方正小标宋简体" w:eastAsia="方正小标宋简体" w:cs="方正小标宋简体"/>
          <w:sz w:val="44"/>
          <w:szCs w:val="44"/>
          <w:lang w:val="en-US" w:eastAsia="zh-CN"/>
        </w:rPr>
        <w:t>2024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资阳区农业农村局</w:t>
      </w:r>
      <w:r>
        <w:rPr>
          <w:rFonts w:hint="eastAsia" w:ascii="方正小标宋简体" w:hAnsi="方正小标宋简体" w:eastAsia="方正小标宋简体" w:cs="方正小标宋简体"/>
          <w:sz w:val="44"/>
          <w:szCs w:val="44"/>
        </w:rPr>
        <w:t>整体支出绩效自评报告</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3" w:firstLineChars="200"/>
        <w:textAlignment w:val="auto"/>
        <w:rPr>
          <w:rFonts w:hint="eastAsia" w:ascii="楷体_GB2312" w:hAnsi="楷体_GB2312" w:eastAsia="楷体_GB2312" w:cs="楷体_GB2312"/>
          <w:b/>
          <w:bCs/>
          <w:i w:val="0"/>
          <w:caps w:val="0"/>
          <w:color w:val="333333"/>
          <w:spacing w:val="0"/>
          <w:sz w:val="32"/>
          <w:szCs w:val="32"/>
          <w:lang w:eastAsia="zh-CN"/>
        </w:rPr>
      </w:pPr>
      <w:r>
        <w:rPr>
          <w:rFonts w:hint="eastAsia" w:ascii="楷体_GB2312" w:hAnsi="楷体_GB2312" w:eastAsia="楷体_GB2312" w:cs="楷体_GB2312"/>
          <w:b/>
          <w:bCs/>
          <w:i w:val="0"/>
          <w:caps w:val="0"/>
          <w:color w:val="000000"/>
          <w:spacing w:val="0"/>
          <w:sz w:val="32"/>
          <w:szCs w:val="32"/>
          <w:shd w:val="clear" w:fill="FFFFFF"/>
        </w:rPr>
        <w:t>（一）部门职能职责概述</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spacing w:val="-6"/>
          <w:sz w:val="32"/>
          <w:szCs w:val="32"/>
        </w:rPr>
      </w:pPr>
      <w:r>
        <w:rPr>
          <w:rFonts w:hint="eastAsia" w:ascii="仿宋_GB2312" w:hAnsi="仿宋_GB2312" w:eastAsia="仿宋_GB2312" w:cs="仿宋_GB2312"/>
          <w:sz w:val="32"/>
          <w:szCs w:val="32"/>
          <w:lang w:eastAsia="zh-CN"/>
        </w:rPr>
        <w:t>益阳市资阳</w:t>
      </w:r>
      <w:r>
        <w:rPr>
          <w:rFonts w:hint="eastAsia" w:ascii="仿宋_GB2312" w:hAnsi="仿宋_GB2312" w:eastAsia="仿宋_GB2312" w:cs="仿宋_GB2312"/>
          <w:sz w:val="32"/>
          <w:szCs w:val="32"/>
        </w:rPr>
        <w:t>区</w:t>
      </w:r>
      <w:r>
        <w:rPr>
          <w:rFonts w:hint="eastAsia" w:ascii="仿宋_GB2312" w:hAnsi="仿宋_GB2312" w:cs="仿宋_GB2312"/>
          <w:sz w:val="32"/>
          <w:szCs w:val="32"/>
          <w:lang w:eastAsia="zh-CN"/>
        </w:rPr>
        <w:t>农业农村</w:t>
      </w:r>
      <w:r>
        <w:rPr>
          <w:rFonts w:hint="eastAsia" w:ascii="仿宋_GB2312" w:hAnsi="仿宋_GB2312" w:eastAsia="仿宋_GB2312" w:cs="仿宋_GB2312"/>
          <w:sz w:val="32"/>
          <w:szCs w:val="32"/>
          <w:lang w:eastAsia="zh-CN"/>
        </w:rPr>
        <w:t>局（以下简称“区</w:t>
      </w:r>
      <w:r>
        <w:rPr>
          <w:rFonts w:hint="eastAsia" w:ascii="仿宋_GB2312" w:hAnsi="仿宋_GB2312" w:cs="仿宋_GB2312"/>
          <w:sz w:val="32"/>
          <w:szCs w:val="32"/>
          <w:lang w:eastAsia="zh-CN"/>
        </w:rPr>
        <w:t>农业农村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贯彻落实党中央关于脱贫攻坚的方针政策和决策部署，全面落实省委、市委、区委关于脱贫攻坚的部</w:t>
      </w:r>
      <w:r>
        <w:rPr>
          <w:rFonts w:hint="eastAsia" w:ascii="仿宋_GB2312" w:hAnsi="仿宋_GB2312" w:eastAsia="仿宋_GB2312" w:cs="仿宋_GB2312"/>
          <w:spacing w:val="-6"/>
          <w:sz w:val="32"/>
          <w:szCs w:val="32"/>
        </w:rPr>
        <w:t>署要求，在履行职责过程中坚持和加强党对工作的集中统一领导。主要职责是：</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统筹研究和组织实施以乡村振兴为重心的“三农”工作中长期规划、重大政策。参与涉农的财税、价格、收储、金融保险、进出口等政策制定。</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统筹推动发展农村社会事业、农村公共服务、农村文化农村基础设施和乡村治理。牵头组织改善农村人居环境。指导农村精神文明和优秀农耕文化建设。指导农业行业安全生产工作。</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与农民承包地、农村宅基地、农村集体产权制度改革和管理工作。参与研究深化农村经济体制改革和巩固完善农村基本经营制度的政策建议。指导农村集体经济组织发展和集体资产管理工作。指导农民合作经济组织、农业社会化服务体系、新型农业经营主体建设与发展。</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巩固拓展脱贫攻坚成果有关工作。牵头开展防止返贫监测和帮扶，组织拟订乡村振兴重点帮扶村的帮扶政策，组织开展对口帮扶、定点帮扶、社会帮扶，会同有关部门组织脱贫攻坚成果相关考核评估工作，研究提出中央和省级、市级、区级财政衔接推进乡村振兴相关资金分配建议方案并指导、监督资金使用，推动乡村帮扶产业发展。承担农村低收入人口和重点村常态化帮扶有关工作，构建长效帮扶机制</w:t>
      </w:r>
      <w:r>
        <w:rPr>
          <w:rFonts w:hint="eastAsia" w:ascii="仿宋_GB2312" w:hAnsi="仿宋_GB2312" w:cs="仿宋_GB2312"/>
          <w:sz w:val="32"/>
          <w:szCs w:val="32"/>
          <w:lang w:val="en-US" w:eastAsia="zh-CN"/>
        </w:rPr>
        <w:t>。</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指导乡村特色产业、农产品加工业、休闲农业和乡村产业发展工作，推动延长农产品产业链。提出促进大宗农产品流通的建议，培育、保护农业品牌。发布农业农村经济信息，监测分析农业农村经济运行，承担农业统计和农业农村信息化有关工作。</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负责种植业、畜牧业、渔业、农业机械化等农业各产业的监督管理。指导粮食等农产品生产，推进构建多元化食物供给体系。组织构建现代农业产业体系、生产体系、经营体系，指导农业标准化生产。</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农产品质量安全监督管理。组织开展农产品质量安全监测、追溯、风险评估，报送农产品质量安全信息。贯彻执行农产品质量安全国家标准，参与制定农产品质量安全地方标准并会同有关部门组织实施。指导农业检验检测体系建设。</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贵耕地、永久基本农田质量保护和高标准农田建设工作组织农业资源区划工作。指导农用地、渔业水域以及农业生物物种资源的保护与管理，负责水生野生动植物保护。指导农产品产地环境管理和农业清洁生产。指导设施农业、生态循环农业、节水农业发展以及农村可再生能源综合开发利用、农业生物质产业发展。牵头管理外来物种。</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有关农业生产资料和农业投入品的监督管理。组织农业生产资料市场体系建设。会同有关部门贯彻执行农业生产资料、兽药质量、兽药残留限量和残留检测方法国家标准并监督实施。会同有关部门组织兽医医政、兽药药政药检工作和执业兽医和畜禽屠宰行业管理。</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负责农业防灾减灾、农作物重大病虫害防治工作。指导动植物防疫检疫体系建设，会同有关部门组织、监督区内动植物防疫检疫和疫情扑灭工作。配合有关部门制定血吸虫病防治工作计划并组织实施。</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农业投资管理。提出农业投融资体制机制改革建议、编制相关农业投资项目建设规划，提出农业投资规模和方向、扶持农业农村发展财政项目的建议，按规定权限审批农业投资项目，负责农业投资项目资金安排和监督管理。</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楷体_GB2312" w:hAnsi="楷体_GB2312" w:eastAsia="楷体_GB2312" w:cs="楷体_GB2312"/>
          <w:b/>
          <w:bCs/>
          <w:i w:val="0"/>
          <w:caps w:val="0"/>
          <w:color w:val="000000"/>
          <w:spacing w:val="0"/>
          <w:sz w:val="32"/>
          <w:szCs w:val="32"/>
          <w:shd w:val="clear" w:fill="FFFFFF"/>
        </w:rPr>
      </w:pPr>
      <w:r>
        <w:rPr>
          <w:rFonts w:hint="eastAsia" w:ascii="仿宋_GB2312" w:hAnsi="仿宋_GB2312" w:eastAsia="仿宋_GB2312" w:cs="仿宋_GB2312"/>
          <w:sz w:val="32"/>
          <w:szCs w:val="32"/>
          <w:lang w:val="en-US" w:eastAsia="zh-CN"/>
        </w:rPr>
        <w:t>推动农业科技体制改革和农业科技创新体系建设，指导农业产业技术体系和农技推广体系建设，会同有关部门组织开展农业领域的高新技术和应用技术研究、成果转化和技术推广。负责农业转基因生物安全监督管理和农业植物新品种保护。</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楷体_GB2312" w:hAnsi="楷体_GB2312" w:eastAsia="楷体_GB2312" w:cs="楷体_GB2312"/>
          <w:b/>
          <w:bCs/>
          <w:i w:val="0"/>
          <w:caps w:val="0"/>
          <w:color w:val="000000"/>
          <w:spacing w:val="0"/>
          <w:sz w:val="32"/>
          <w:szCs w:val="32"/>
          <w:shd w:val="clear" w:fill="FFFFFF"/>
        </w:rPr>
      </w:pPr>
      <w:r>
        <w:rPr>
          <w:rFonts w:hint="eastAsia" w:ascii="仿宋_GB2312" w:hAnsi="仿宋_GB2312" w:eastAsia="仿宋_GB2312" w:cs="仿宋_GB2312"/>
          <w:sz w:val="32"/>
          <w:szCs w:val="32"/>
          <w:lang w:val="en-US" w:eastAsia="zh-CN"/>
        </w:rPr>
        <w:t>指导农业农村人才工作。拟订农业农村人才队伍建设规划并组织实施，指导农业教育和农业职业技能开发，指导高素质农民培育、农业科技人才培养和农村实用人才培训工作。</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楷体_GB2312" w:hAnsi="楷体_GB2312" w:eastAsia="楷体_GB2312" w:cs="楷体_GB2312"/>
          <w:b/>
          <w:bCs/>
          <w:i w:val="0"/>
          <w:caps w:val="0"/>
          <w:color w:val="000000"/>
          <w:spacing w:val="0"/>
          <w:sz w:val="32"/>
          <w:szCs w:val="32"/>
          <w:shd w:val="clear" w:fill="FFFFFF"/>
        </w:rPr>
      </w:pPr>
      <w:r>
        <w:rPr>
          <w:rFonts w:hint="eastAsia" w:ascii="仿宋_GB2312" w:hAnsi="仿宋_GB2312" w:eastAsia="仿宋_GB2312" w:cs="仿宋_GB2312"/>
          <w:sz w:val="32"/>
          <w:szCs w:val="32"/>
          <w:lang w:val="en-US" w:eastAsia="zh-CN"/>
        </w:rPr>
        <w:t>组织参与农业对外合作工作。承办有关农业涉外事务，组织开展农业贸易促进和有关对外交流合作，具体执行有关农业援外项目。</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425" w:firstLineChars="0"/>
        <w:textAlignment w:val="auto"/>
        <w:rPr>
          <w:rFonts w:hint="eastAsia" w:ascii="楷体_GB2312" w:hAnsi="楷体_GB2312" w:eastAsia="楷体_GB2312" w:cs="楷体_GB2312"/>
          <w:b/>
          <w:bCs/>
          <w:i w:val="0"/>
          <w:caps w:val="0"/>
          <w:color w:val="000000"/>
          <w:spacing w:val="0"/>
          <w:sz w:val="32"/>
          <w:szCs w:val="32"/>
          <w:shd w:val="clear" w:fill="FFFFFF"/>
        </w:rPr>
      </w:pPr>
      <w:r>
        <w:rPr>
          <w:rFonts w:hint="eastAsia" w:ascii="仿宋_GB2312" w:hAnsi="仿宋_GB2312" w:eastAsia="仿宋_GB2312" w:cs="仿宋_GB2312"/>
          <w:sz w:val="32"/>
          <w:szCs w:val="32"/>
          <w:lang w:val="en-US" w:eastAsia="zh-CN"/>
        </w:rPr>
        <w:t>完成区委、区政府交办的其他任务。</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425" w:leftChars="0" w:right="0" w:rightChars="0"/>
        <w:textAlignment w:val="auto"/>
        <w:rPr>
          <w:rFonts w:hint="eastAsia" w:ascii="楷体_GB2312" w:hAnsi="楷体_GB2312" w:eastAsia="楷体_GB2312" w:cs="楷体_GB2312"/>
          <w:b/>
          <w:bCs/>
          <w:i w:val="0"/>
          <w:caps w:val="0"/>
          <w:color w:val="000000"/>
          <w:spacing w:val="0"/>
          <w:sz w:val="32"/>
          <w:szCs w:val="32"/>
          <w:shd w:val="clear" w:fill="FFFFFF"/>
        </w:rPr>
      </w:pPr>
      <w:r>
        <w:rPr>
          <w:rFonts w:hint="eastAsia" w:ascii="楷体_GB2312" w:hAnsi="楷体_GB2312" w:eastAsia="楷体_GB2312" w:cs="楷体_GB2312"/>
          <w:b/>
          <w:bCs/>
          <w:i w:val="0"/>
          <w:caps w:val="0"/>
          <w:color w:val="000000"/>
          <w:spacing w:val="0"/>
          <w:sz w:val="32"/>
          <w:szCs w:val="32"/>
          <w:shd w:val="clear" w:fill="FFFFFF"/>
        </w:rPr>
        <w:t>（二）机构设置、人员情况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Times New Roman" w:eastAsia="黑体" w:cs="Times New Roman"/>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区</w:t>
      </w:r>
      <w:r>
        <w:rPr>
          <w:rFonts w:hint="eastAsia" w:ascii="仿宋_GB2312" w:hAnsi="仿宋_GB2312" w:cs="仿宋_GB2312"/>
          <w:b w:val="0"/>
          <w:i w:val="0"/>
          <w:caps w:val="0"/>
          <w:color w:val="000000"/>
          <w:spacing w:val="0"/>
          <w:kern w:val="0"/>
          <w:sz w:val="32"/>
          <w:szCs w:val="32"/>
          <w:shd w:val="clear" w:fill="FFFFFF"/>
          <w:lang w:val="en-US" w:eastAsia="zh-CN" w:bidi="ar"/>
        </w:rPr>
        <w:t>农业农村</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局</w:t>
      </w:r>
      <w:r>
        <w:rPr>
          <w:rFonts w:hint="eastAsia" w:ascii="仿宋_GB2312" w:hAnsi="仿宋_GB2312" w:cs="仿宋_GB2312"/>
          <w:b w:val="0"/>
          <w:i w:val="0"/>
          <w:caps w:val="0"/>
          <w:color w:val="000000"/>
          <w:spacing w:val="0"/>
          <w:kern w:val="0"/>
          <w:sz w:val="32"/>
          <w:szCs w:val="32"/>
          <w:shd w:val="clear" w:fill="FFFFFF"/>
          <w:lang w:val="en-US" w:eastAsia="zh-CN" w:bidi="ar"/>
        </w:rPr>
        <w:t>现</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有行政编制</w:t>
      </w:r>
      <w:r>
        <w:rPr>
          <w:rFonts w:hint="eastAsia" w:ascii="仿宋_GB2312" w:hAnsi="仿宋_GB2312" w:cs="仿宋_GB2312"/>
          <w:b w:val="0"/>
          <w:i w:val="0"/>
          <w:caps w:val="0"/>
          <w:color w:val="000000"/>
          <w:spacing w:val="0"/>
          <w:kern w:val="0"/>
          <w:sz w:val="32"/>
          <w:szCs w:val="32"/>
          <w:shd w:val="clear" w:fill="FFFFFF"/>
          <w:lang w:val="en-US" w:eastAsia="zh-CN" w:bidi="ar"/>
        </w:rPr>
        <w:t>人员16</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名，全额事业编制</w:t>
      </w:r>
      <w:r>
        <w:rPr>
          <w:rFonts w:hint="eastAsia" w:ascii="仿宋_GB2312" w:hAnsi="仿宋_GB2312" w:cs="仿宋_GB2312"/>
          <w:b w:val="0"/>
          <w:i w:val="0"/>
          <w:caps w:val="0"/>
          <w:color w:val="000000"/>
          <w:spacing w:val="0"/>
          <w:kern w:val="0"/>
          <w:sz w:val="32"/>
          <w:szCs w:val="32"/>
          <w:shd w:val="clear" w:fill="FFFFFF"/>
          <w:lang w:val="en-US" w:eastAsia="zh-CN" w:bidi="ar"/>
        </w:rPr>
        <w:t>人员59</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名，</w:t>
      </w:r>
      <w:r>
        <w:rPr>
          <w:rFonts w:hint="eastAsia" w:ascii="仿宋_GB2312" w:hAnsi="仿宋_GB2312" w:cs="仿宋_GB2312"/>
          <w:b w:val="0"/>
          <w:i w:val="0"/>
          <w:caps w:val="0"/>
          <w:color w:val="000000"/>
          <w:spacing w:val="0"/>
          <w:kern w:val="0"/>
          <w:sz w:val="32"/>
          <w:szCs w:val="32"/>
          <w:shd w:val="clear" w:fill="FFFFFF"/>
          <w:lang w:val="en-US" w:eastAsia="zh-CN" w:bidi="ar"/>
        </w:rPr>
        <w:t>机关和事业工人32</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名</w:t>
      </w:r>
      <w:r>
        <w:rPr>
          <w:rFonts w:hint="eastAsia" w:ascii="仿宋_GB2312" w:hAnsi="仿宋_GB2312" w:cs="仿宋_GB2312"/>
          <w:b w:val="0"/>
          <w:i w:val="0"/>
          <w:caps w:val="0"/>
          <w:color w:val="000000"/>
          <w:spacing w:val="0"/>
          <w:kern w:val="0"/>
          <w:sz w:val="32"/>
          <w:szCs w:val="32"/>
          <w:shd w:val="clear" w:fill="FFFFFF"/>
          <w:lang w:val="en-US" w:eastAsia="zh-CN" w:bidi="ar"/>
        </w:rPr>
        <w:t>，经费自理人员22名</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w:t>
      </w:r>
      <w:r>
        <w:rPr>
          <w:rFonts w:hint="eastAsia" w:ascii="仿宋_GB2312" w:hAnsi="仿宋_GB2312" w:eastAsia="仿宋_GB2312" w:cs="仿宋_GB2312"/>
          <w:sz w:val="32"/>
          <w:szCs w:val="32"/>
          <w:lang w:val="en-US" w:eastAsia="zh-CN"/>
        </w:rPr>
        <w:t>内设</w:t>
      </w:r>
      <w:r>
        <w:rPr>
          <w:rFonts w:hint="eastAsia" w:ascii="仿宋_GB2312" w:hAnsi="仿宋_GB2312" w:cs="仿宋_GB2312"/>
          <w:sz w:val="32"/>
          <w:szCs w:val="32"/>
          <w:lang w:val="en-US" w:eastAsia="zh-CN"/>
        </w:rPr>
        <w:t>17</w:t>
      </w:r>
      <w:r>
        <w:rPr>
          <w:rFonts w:hint="eastAsia" w:ascii="仿宋_GB2312" w:hAnsi="仿宋_GB2312" w:eastAsia="仿宋_GB2312" w:cs="仿宋_GB2312"/>
          <w:sz w:val="32"/>
          <w:szCs w:val="32"/>
          <w:lang w:val="en-US" w:eastAsia="zh-CN"/>
        </w:rPr>
        <w:t>个股室为办公室(区委农村工作领导小组办公室秘书组)、人事股(离退休人员管理股)、法规股(行政审批股)、发展规划股(对外交流与合作股)、计划财务股(监督检查股)、安全生产管理股(农业保险办公室)、乡村产业发展股(农产品加工指导股)、农村社会事业促进股(乡村建设股)、帮扶股(区域协作促进股)、市场与信息化股、科技教育股(种业管理股、农业转基因生物安全管理办公室)、农业资源保护与利用股、农产品质量安全监管股(区绿色食品办公室)、种植业管理股、农药管理股(植保植检股、土壤肥料管理股)、农业机械化股(农村经济经营股、畜牧水产股)、农田建设股</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下设非独立核算二级机构</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个为区种植业技术推广中心、区茶叶产业发展服务中心、区农民素质教育办公室(区农作物种子技术服务推广中心)、区乡村振兴事务中心、区农产品质量检验检测站、区农业项目服务中心、区植保植检站、区土壤肥料站。</w:t>
      </w:r>
      <w:bookmarkStart w:id="0" w:name="_GoBack"/>
      <w:bookmarkEnd w:id="0"/>
    </w:p>
    <w:p>
      <w:pPr>
        <w:spacing w:line="600" w:lineRule="exact"/>
        <w:ind w:firstLine="630" w:firstLineChars="196"/>
        <w:rPr>
          <w:rFonts w:hint="eastAsia" w:ascii="仿宋_GB2312" w:hAnsi="仿宋_GB2312" w:eastAsia="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（三）</w:t>
      </w:r>
      <w:r>
        <w:rPr>
          <w:rFonts w:hint="eastAsia" w:ascii="仿宋_GB2312" w:hAnsi="仿宋_GB2312" w:eastAsia="仿宋_GB2312" w:cs="仿宋_GB2312"/>
          <w:b/>
          <w:bCs/>
          <w:kern w:val="0"/>
          <w:sz w:val="32"/>
          <w:szCs w:val="32"/>
          <w:lang w:val="en-US" w:eastAsia="zh-CN" w:bidi="ar-SA"/>
        </w:rPr>
        <w:t>202</w:t>
      </w:r>
      <w:r>
        <w:rPr>
          <w:rFonts w:hint="eastAsia" w:ascii="仿宋_GB2312" w:hAnsi="仿宋_GB2312" w:cs="仿宋_GB2312"/>
          <w:b/>
          <w:bCs/>
          <w:kern w:val="0"/>
          <w:sz w:val="32"/>
          <w:szCs w:val="32"/>
          <w:lang w:val="en-US" w:eastAsia="zh-CN" w:bidi="ar-SA"/>
        </w:rPr>
        <w:t>4</w:t>
      </w:r>
      <w:r>
        <w:rPr>
          <w:rFonts w:hint="eastAsia" w:ascii="仿宋_GB2312" w:hAnsi="仿宋_GB2312" w:eastAsia="仿宋_GB2312" w:cs="仿宋_GB2312"/>
          <w:b/>
          <w:bCs/>
          <w:kern w:val="0"/>
          <w:sz w:val="32"/>
          <w:szCs w:val="32"/>
          <w:lang w:val="en-US" w:eastAsia="zh-CN" w:bidi="ar-SA"/>
        </w:rPr>
        <w:t>年度重点工作计划。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1、全面加强党的建设，丰富机关党建，落实全面从严治党主体责任、意识形态主体责任、安全生产监管责任。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坚决扛牢粮食生产责任。通过压实责任、提高补贴、严格奖惩等措施，坚持稳面积、增单产两手发力；遏制耕地抛荒撂荒，整治耕地“非粮化”；加大高标准农田建设投入和管护力度，确保完成粮食播种面积64万亩，全年实现粮食总产27万吨，确保粮食面积产量“双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加快现代农业步伐。继续重点发展“一鱼、一花、一茶、一酒、一米、一药”六大农业产业，积极申报产业发展项目，培育新型农业经营主体，打响特色农产品品牌，加快“两品一标”农产品认证，探索产业融合发展路径。培育农业产业化省级龙头企业1家以上，以富佳科技为龙头，在智能农机、智慧农业上做文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推进农村人居环境整治提升。开展美丽庭院“六个一”建设，完成了人居环境中央专项项目实施。继续推进农村美丽庭院“六个一”建设。促推美丽乡村“三级”同创，争创美丽乡村示范村省级1个、市级1个、区级5个。</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创新农业绿色发展。通过精准施肥减量、有机肥替代减量、机械深施减量、水肥一体减量等四种减肥途径，实现化肥减量增效，完成测土配方施肥技术推广任务。推进农药科学安全使用技术普及、统防统治、绿色防控技术推广应用、施药器械更新换代、开展病虫监测预警等五种减药措施，实现农药减量增效，完成绿色防控总面积，统防统治覆盖率增加1%。</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开展农产品质量安全监管。进一步优化营商环境，规范涉农企业检查；积极开展“农村法治宣传月”等活动，宣传普及各类农业法律法规；完成农产品质量安全检测2000批次速测，200批次定量检测任务，持续推进农产品质量安全监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加强农业执法。以执法能力提升为抓手，持续开展农资、渔政、畜牧、农机等执法行动，确保农资市场供应稳定，继续加强长江十年禁渔工作，提升农业执法队伍执法能力执法水平，加强秸秆禁烧管控力度，推动农作物秸秆综合利用。</w:t>
      </w:r>
    </w:p>
    <w:p>
      <w:pPr>
        <w:spacing w:line="600" w:lineRule="exact"/>
        <w:ind w:firstLine="643" w:firstLineChars="200"/>
        <w:rPr>
          <w:rFonts w:hint="eastAsia" w:ascii="仿宋_GB2312" w:hAnsi="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（四）部门整体支出规模、使用方向、主要内容和涉及范围。</w:t>
      </w:r>
    </w:p>
    <w:p>
      <w:pPr>
        <w:pStyle w:val="2"/>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xml:space="preserve">    2024年度我中心部门整体支出为18771.45万元，其中基本支出1993.94万元，项目支出16777.51万元。按经济分类支出，工资福利支出1746.23 万元，商品和服务支出7176.57万元，对个人和家庭的补助8241.31万元，对企业补助1607.34万元。</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keepNext w:val="0"/>
        <w:keepLines w:val="0"/>
        <w:pageBreakBefore w:val="0"/>
        <w:widowControl/>
        <w:kinsoku/>
        <w:wordWrap/>
        <w:overflowPunct/>
        <w:topLinePunct w:val="0"/>
        <w:autoSpaceDE/>
        <w:autoSpaceDN/>
        <w:bidi w:val="0"/>
        <w:adjustRightInd/>
        <w:spacing w:line="600" w:lineRule="exact"/>
        <w:ind w:firstLine="643" w:firstLineChars="200"/>
        <w:jc w:val="both"/>
        <w:textAlignment w:val="auto"/>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（一）基本支出情况。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cs="仿宋_GB2312"/>
          <w:i w:val="0"/>
          <w:caps w:val="0"/>
          <w:color w:val="auto"/>
          <w:spacing w:val="0"/>
          <w:kern w:val="0"/>
          <w:sz w:val="32"/>
          <w:szCs w:val="32"/>
          <w:shd w:val="clear" w:fill="FFFFFF"/>
          <w:lang w:val="en-US" w:eastAsia="zh-CN" w:bidi="ar"/>
        </w:rPr>
        <w:t>2024</w:t>
      </w:r>
      <w:r>
        <w:rPr>
          <w:rFonts w:hint="eastAsia" w:ascii="仿宋_GB2312" w:hAnsi="仿宋_GB2312" w:eastAsia="仿宋_GB2312" w:cs="仿宋_GB2312"/>
          <w:i w:val="0"/>
          <w:caps w:val="0"/>
          <w:color w:val="auto"/>
          <w:spacing w:val="0"/>
          <w:kern w:val="0"/>
          <w:sz w:val="32"/>
          <w:szCs w:val="32"/>
          <w:shd w:val="clear" w:fill="FFFFFF"/>
          <w:lang w:val="en-US" w:eastAsia="zh-CN" w:bidi="ar"/>
        </w:rPr>
        <w:t>年度区</w:t>
      </w:r>
      <w:r>
        <w:rPr>
          <w:rFonts w:hint="eastAsia" w:ascii="仿宋_GB2312" w:hAnsi="仿宋_GB2312" w:cs="仿宋_GB2312"/>
          <w:i w:val="0"/>
          <w:caps w:val="0"/>
          <w:color w:val="auto"/>
          <w:spacing w:val="0"/>
          <w:kern w:val="0"/>
          <w:sz w:val="32"/>
          <w:szCs w:val="32"/>
          <w:shd w:val="clear" w:fill="FFFFFF"/>
          <w:lang w:val="en-US" w:eastAsia="zh-CN" w:bidi="ar"/>
        </w:rPr>
        <w:t>农业农村</w:t>
      </w:r>
      <w:r>
        <w:rPr>
          <w:rFonts w:hint="eastAsia" w:ascii="仿宋_GB2312" w:hAnsi="仿宋_GB2312" w:eastAsia="仿宋_GB2312" w:cs="仿宋_GB2312"/>
          <w:i w:val="0"/>
          <w:caps w:val="0"/>
          <w:color w:val="auto"/>
          <w:spacing w:val="0"/>
          <w:kern w:val="0"/>
          <w:sz w:val="32"/>
          <w:szCs w:val="32"/>
          <w:shd w:val="clear" w:fill="FFFFFF"/>
          <w:lang w:val="en-US" w:eastAsia="zh-CN" w:bidi="ar"/>
        </w:rPr>
        <w:t>局收入合计17848</w:t>
      </w:r>
      <w:r>
        <w:rPr>
          <w:rFonts w:hint="eastAsia" w:ascii="仿宋_GB2312" w:hAnsi="仿宋_GB2312" w:cs="仿宋_GB2312"/>
          <w:i w:val="0"/>
          <w:caps w:val="0"/>
          <w:color w:val="auto"/>
          <w:spacing w:val="0"/>
          <w:kern w:val="0"/>
          <w:sz w:val="32"/>
          <w:szCs w:val="32"/>
          <w:shd w:val="clear" w:fill="FFFFFF"/>
          <w:lang w:val="en-US" w:eastAsia="zh-CN" w:bidi="ar"/>
        </w:rPr>
        <w:t>.</w:t>
      </w:r>
      <w:r>
        <w:rPr>
          <w:rFonts w:hint="eastAsia" w:ascii="仿宋_GB2312" w:hAnsi="仿宋_GB2312" w:eastAsia="仿宋_GB2312" w:cs="仿宋_GB2312"/>
          <w:i w:val="0"/>
          <w:caps w:val="0"/>
          <w:color w:val="auto"/>
          <w:spacing w:val="0"/>
          <w:kern w:val="0"/>
          <w:sz w:val="32"/>
          <w:szCs w:val="32"/>
          <w:shd w:val="clear" w:fill="FFFFFF"/>
          <w:lang w:val="en-US" w:eastAsia="zh-CN" w:bidi="ar"/>
        </w:rPr>
        <w:t>5</w:t>
      </w:r>
      <w:r>
        <w:rPr>
          <w:rFonts w:hint="eastAsia" w:ascii="仿宋_GB2312" w:hAnsi="仿宋_GB2312" w:cs="仿宋_GB2312"/>
          <w:i w:val="0"/>
          <w:caps w:val="0"/>
          <w:color w:val="auto"/>
          <w:spacing w:val="0"/>
          <w:kern w:val="0"/>
          <w:sz w:val="32"/>
          <w:szCs w:val="32"/>
          <w:shd w:val="clear" w:fill="FFFFFF"/>
          <w:lang w:val="en-US" w:eastAsia="zh-CN" w:bidi="ar"/>
        </w:rPr>
        <w:t>4万</w:t>
      </w:r>
      <w:r>
        <w:rPr>
          <w:rFonts w:hint="eastAsia" w:ascii="仿宋_GB2312" w:hAnsi="仿宋_GB2312" w:cs="仿宋_GB2312"/>
          <w:color w:val="auto"/>
          <w:kern w:val="2"/>
          <w:sz w:val="32"/>
          <w:szCs w:val="32"/>
          <w:lang w:val="en-US" w:eastAsia="zh-CN" w:bidi="ar-SA"/>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cs="仿宋_GB2312"/>
          <w:i w:val="0"/>
          <w:caps w:val="0"/>
          <w:color w:val="auto"/>
          <w:spacing w:val="0"/>
          <w:kern w:val="0"/>
          <w:sz w:val="32"/>
          <w:szCs w:val="32"/>
          <w:shd w:val="clear" w:fill="FFFFFF"/>
          <w:lang w:val="en-US" w:eastAsia="zh-CN" w:bidi="ar"/>
        </w:rPr>
        <w:t>2024</w:t>
      </w:r>
      <w:r>
        <w:rPr>
          <w:rFonts w:hint="eastAsia" w:ascii="仿宋_GB2312" w:hAnsi="仿宋_GB2312" w:eastAsia="仿宋_GB2312" w:cs="仿宋_GB2312"/>
          <w:i w:val="0"/>
          <w:caps w:val="0"/>
          <w:color w:val="auto"/>
          <w:spacing w:val="0"/>
          <w:kern w:val="0"/>
          <w:sz w:val="32"/>
          <w:szCs w:val="32"/>
          <w:shd w:val="clear" w:fill="FFFFFF"/>
          <w:lang w:val="en-US" w:eastAsia="zh-CN" w:bidi="ar"/>
        </w:rPr>
        <w:t>年度区</w:t>
      </w:r>
      <w:r>
        <w:rPr>
          <w:rFonts w:hint="eastAsia" w:ascii="仿宋_GB2312" w:hAnsi="仿宋_GB2312" w:cs="仿宋_GB2312"/>
          <w:i w:val="0"/>
          <w:caps w:val="0"/>
          <w:color w:val="auto"/>
          <w:spacing w:val="0"/>
          <w:kern w:val="0"/>
          <w:sz w:val="32"/>
          <w:szCs w:val="32"/>
          <w:shd w:val="clear" w:fill="FFFFFF"/>
          <w:lang w:val="en-US" w:eastAsia="zh-CN" w:bidi="ar"/>
        </w:rPr>
        <w:t>农业农村</w:t>
      </w:r>
      <w:r>
        <w:rPr>
          <w:rFonts w:hint="eastAsia" w:ascii="仿宋_GB2312" w:hAnsi="仿宋_GB2312" w:eastAsia="仿宋_GB2312" w:cs="仿宋_GB2312"/>
          <w:i w:val="0"/>
          <w:caps w:val="0"/>
          <w:color w:val="auto"/>
          <w:spacing w:val="0"/>
          <w:kern w:val="0"/>
          <w:sz w:val="32"/>
          <w:szCs w:val="32"/>
          <w:shd w:val="clear" w:fill="FFFFFF"/>
          <w:lang w:val="en-US" w:eastAsia="zh-CN" w:bidi="ar"/>
        </w:rPr>
        <w:t>局支出合计17848</w:t>
      </w:r>
      <w:r>
        <w:rPr>
          <w:rFonts w:hint="eastAsia" w:ascii="仿宋_GB2312" w:hAnsi="仿宋_GB2312" w:cs="仿宋_GB2312"/>
          <w:i w:val="0"/>
          <w:caps w:val="0"/>
          <w:color w:val="auto"/>
          <w:spacing w:val="0"/>
          <w:kern w:val="0"/>
          <w:sz w:val="32"/>
          <w:szCs w:val="32"/>
          <w:shd w:val="clear" w:fill="FFFFFF"/>
          <w:lang w:val="en-US" w:eastAsia="zh-CN" w:bidi="ar"/>
        </w:rPr>
        <w:t>.</w:t>
      </w:r>
      <w:r>
        <w:rPr>
          <w:rFonts w:hint="eastAsia" w:ascii="仿宋_GB2312" w:hAnsi="仿宋_GB2312" w:eastAsia="仿宋_GB2312" w:cs="仿宋_GB2312"/>
          <w:i w:val="0"/>
          <w:caps w:val="0"/>
          <w:color w:val="auto"/>
          <w:spacing w:val="0"/>
          <w:kern w:val="0"/>
          <w:sz w:val="32"/>
          <w:szCs w:val="32"/>
          <w:shd w:val="clear" w:fill="FFFFFF"/>
          <w:lang w:val="en-US" w:eastAsia="zh-CN" w:bidi="ar"/>
        </w:rPr>
        <w:t>5</w:t>
      </w:r>
      <w:r>
        <w:rPr>
          <w:rFonts w:hint="eastAsia" w:ascii="仿宋_GB2312" w:hAnsi="仿宋_GB2312" w:cs="仿宋_GB2312"/>
          <w:i w:val="0"/>
          <w:caps w:val="0"/>
          <w:color w:val="auto"/>
          <w:spacing w:val="0"/>
          <w:kern w:val="0"/>
          <w:sz w:val="32"/>
          <w:szCs w:val="32"/>
          <w:shd w:val="clear" w:fill="FFFFFF"/>
          <w:lang w:val="en-US" w:eastAsia="zh-CN" w:bidi="ar"/>
        </w:rPr>
        <w:t>4万</w:t>
      </w:r>
      <w:r>
        <w:rPr>
          <w:rFonts w:hint="eastAsia" w:ascii="仿宋_GB2312" w:hAnsi="仿宋_GB2312" w:cs="仿宋_GB2312"/>
          <w:color w:val="auto"/>
          <w:kern w:val="2"/>
          <w:sz w:val="32"/>
          <w:szCs w:val="32"/>
          <w:lang w:val="en-US" w:eastAsia="zh-CN" w:bidi="ar-SA"/>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cs="仿宋_GB2312"/>
          <w:i w:val="0"/>
          <w:caps w:val="0"/>
          <w:color w:val="000000"/>
          <w:spacing w:val="0"/>
          <w:sz w:val="32"/>
          <w:szCs w:val="32"/>
          <w:shd w:val="clear" w:fill="FFFFFF"/>
          <w:lang w:eastAsia="zh-CN"/>
        </w:rPr>
        <w:t>2024</w:t>
      </w:r>
      <w:r>
        <w:rPr>
          <w:rFonts w:hint="eastAsia" w:ascii="仿宋_GB2312" w:hAnsi="仿宋_GB2312" w:eastAsia="仿宋_GB2312" w:cs="仿宋_GB2312"/>
          <w:i w:val="0"/>
          <w:caps w:val="0"/>
          <w:color w:val="000000"/>
          <w:spacing w:val="0"/>
          <w:sz w:val="32"/>
          <w:szCs w:val="32"/>
          <w:shd w:val="clear" w:fill="FFFFFF"/>
        </w:rPr>
        <w:t>年资阳</w:t>
      </w:r>
      <w:r>
        <w:rPr>
          <w:rFonts w:hint="eastAsia" w:ascii="仿宋_GB2312" w:hAnsi="仿宋_GB2312" w:eastAsia="仿宋_GB2312" w:cs="仿宋_GB2312"/>
          <w:i w:val="0"/>
          <w:caps w:val="0"/>
          <w:color w:val="000000"/>
          <w:spacing w:val="0"/>
          <w:kern w:val="0"/>
          <w:sz w:val="32"/>
          <w:szCs w:val="32"/>
          <w:shd w:val="clear" w:fill="FFFFFF"/>
          <w:lang w:val="en-US" w:eastAsia="zh-CN" w:bidi="ar"/>
        </w:rPr>
        <w:t>区</w:t>
      </w:r>
      <w:r>
        <w:rPr>
          <w:rFonts w:hint="eastAsia" w:ascii="仿宋_GB2312" w:hAnsi="仿宋_GB2312" w:cs="仿宋_GB2312"/>
          <w:i w:val="0"/>
          <w:caps w:val="0"/>
          <w:color w:val="000000"/>
          <w:spacing w:val="0"/>
          <w:kern w:val="0"/>
          <w:sz w:val="32"/>
          <w:szCs w:val="32"/>
          <w:shd w:val="clear" w:fill="FFFFFF"/>
          <w:lang w:val="en-US" w:eastAsia="zh-CN" w:bidi="ar"/>
        </w:rPr>
        <w:t>农业农村</w:t>
      </w:r>
      <w:r>
        <w:rPr>
          <w:rFonts w:hint="eastAsia" w:ascii="仿宋_GB2312" w:hAnsi="仿宋_GB2312" w:eastAsia="仿宋_GB2312" w:cs="仿宋_GB2312"/>
          <w:i w:val="0"/>
          <w:caps w:val="0"/>
          <w:color w:val="000000"/>
          <w:spacing w:val="0"/>
          <w:kern w:val="0"/>
          <w:sz w:val="32"/>
          <w:szCs w:val="32"/>
          <w:shd w:val="clear" w:fill="FFFFFF"/>
          <w:lang w:val="en-US" w:eastAsia="zh-CN" w:bidi="ar"/>
        </w:rPr>
        <w:t>局一般公共预算财政拨款基本支出</w:t>
      </w:r>
      <w:r>
        <w:rPr>
          <w:rFonts w:hint="eastAsia" w:ascii="仿宋_GB2312" w:hAnsi="仿宋_GB2312" w:cs="仿宋_GB2312"/>
          <w:i w:val="0"/>
          <w:caps w:val="0"/>
          <w:color w:val="000000"/>
          <w:spacing w:val="0"/>
          <w:kern w:val="0"/>
          <w:sz w:val="32"/>
          <w:szCs w:val="32"/>
          <w:shd w:val="clear" w:fill="FFFFFF"/>
          <w:lang w:val="en-US" w:eastAsia="zh-CN" w:bidi="ar"/>
        </w:rPr>
        <w:t>1666.57万</w:t>
      </w:r>
      <w:r>
        <w:rPr>
          <w:rFonts w:hint="eastAsia" w:ascii="仿宋_GB2312" w:hAnsi="仿宋_GB2312" w:eastAsia="仿宋_GB2312" w:cs="仿宋_GB2312"/>
          <w:i w:val="0"/>
          <w:caps w:val="0"/>
          <w:color w:val="000000"/>
          <w:spacing w:val="0"/>
          <w:kern w:val="0"/>
          <w:sz w:val="32"/>
          <w:szCs w:val="32"/>
          <w:shd w:val="clear" w:fill="FFFFFF"/>
          <w:lang w:val="en-US" w:eastAsia="zh-CN" w:bidi="ar"/>
        </w:rPr>
        <w:t>元</w:t>
      </w:r>
      <w:r>
        <w:rPr>
          <w:rFonts w:hint="eastAsia" w:ascii="仿宋_GB2312" w:hAnsi="仿宋_GB2312" w:eastAsia="仿宋_GB2312" w:cs="仿宋_GB2312"/>
          <w:i w:val="0"/>
          <w:caps w:val="0"/>
          <w:color w:val="000000"/>
          <w:spacing w:val="0"/>
          <w:sz w:val="32"/>
          <w:szCs w:val="32"/>
          <w:shd w:val="clear" w:fill="FFFFFF"/>
        </w:rPr>
        <w:t>：</w:t>
      </w:r>
      <w:r>
        <w:rPr>
          <w:rFonts w:hint="eastAsia" w:ascii="仿宋_GB2312" w:hAnsi="仿宋_GB2312" w:eastAsia="仿宋_GB2312" w:cs="仿宋_GB2312"/>
          <w:i w:val="0"/>
          <w:caps w:val="0"/>
          <w:color w:val="000000"/>
          <w:spacing w:val="0"/>
          <w:kern w:val="0"/>
          <w:sz w:val="32"/>
          <w:szCs w:val="32"/>
          <w:shd w:val="clear" w:fill="FFFFFF"/>
          <w:lang w:val="en-US" w:eastAsia="zh-CN" w:bidi="ar"/>
        </w:rPr>
        <w:t>人员经费支出</w:t>
      </w:r>
      <w:r>
        <w:rPr>
          <w:rFonts w:hint="eastAsia" w:ascii="仿宋_GB2312" w:hAnsi="仿宋_GB2312" w:cs="仿宋_GB2312"/>
          <w:i w:val="0"/>
          <w:caps w:val="0"/>
          <w:color w:val="000000"/>
          <w:spacing w:val="0"/>
          <w:kern w:val="0"/>
          <w:sz w:val="32"/>
          <w:szCs w:val="32"/>
          <w:shd w:val="clear" w:fill="FFFFFF"/>
          <w:lang w:val="en-US" w:eastAsia="zh-CN" w:bidi="ar"/>
        </w:rPr>
        <w:t>1549.39万</w:t>
      </w:r>
      <w:r>
        <w:rPr>
          <w:rFonts w:hint="eastAsia" w:ascii="仿宋_GB2312" w:hAnsi="仿宋_GB2312" w:eastAsia="仿宋_GB2312" w:cs="仿宋_GB2312"/>
          <w:i w:val="0"/>
          <w:caps w:val="0"/>
          <w:color w:val="000000"/>
          <w:spacing w:val="0"/>
          <w:kern w:val="0"/>
          <w:sz w:val="32"/>
          <w:szCs w:val="32"/>
          <w:shd w:val="clear" w:fill="FFFFFF"/>
          <w:lang w:val="en-US" w:eastAsia="zh-CN" w:bidi="ar"/>
        </w:rPr>
        <w:t>元</w:t>
      </w:r>
      <w:r>
        <w:rPr>
          <w:rFonts w:hint="eastAsia" w:ascii="仿宋_GB2312" w:hAnsi="仿宋_GB2312" w:eastAsia="仿宋_GB2312" w:cs="仿宋_GB2312"/>
          <w:i w:val="0"/>
          <w:caps w:val="0"/>
          <w:color w:val="000000"/>
          <w:spacing w:val="0"/>
          <w:sz w:val="32"/>
          <w:szCs w:val="32"/>
          <w:shd w:val="clear" w:fill="FFFFFF"/>
        </w:rPr>
        <w:t>，</w:t>
      </w:r>
      <w:r>
        <w:rPr>
          <w:rFonts w:hint="eastAsia" w:ascii="仿宋_GB2312" w:hAnsi="仿宋_GB2312" w:eastAsia="仿宋_GB2312" w:cs="仿宋_GB2312"/>
          <w:i w:val="0"/>
          <w:caps w:val="0"/>
          <w:color w:val="000000"/>
          <w:spacing w:val="0"/>
          <w:kern w:val="0"/>
          <w:sz w:val="32"/>
          <w:szCs w:val="32"/>
          <w:shd w:val="clear" w:fill="FFFFFF"/>
          <w:lang w:val="en-US" w:eastAsia="zh-CN" w:bidi="ar"/>
        </w:rPr>
        <w:t>公用经费支出</w:t>
      </w:r>
      <w:r>
        <w:rPr>
          <w:rFonts w:hint="eastAsia" w:ascii="仿宋_GB2312" w:hAnsi="仿宋_GB2312" w:cs="仿宋_GB2312"/>
          <w:i w:val="0"/>
          <w:caps w:val="0"/>
          <w:color w:val="000000"/>
          <w:spacing w:val="0"/>
          <w:kern w:val="0"/>
          <w:sz w:val="32"/>
          <w:szCs w:val="32"/>
          <w:shd w:val="clear" w:fill="FFFFFF"/>
          <w:lang w:val="en-US" w:eastAsia="zh-CN" w:bidi="ar"/>
        </w:rPr>
        <w:t>117.17万</w:t>
      </w:r>
      <w:r>
        <w:rPr>
          <w:rFonts w:hint="eastAsia" w:ascii="仿宋_GB2312" w:hAnsi="仿宋_GB2312" w:eastAsia="仿宋_GB2312" w:cs="仿宋_GB2312"/>
          <w:i w:val="0"/>
          <w:caps w:val="0"/>
          <w:color w:val="000000"/>
          <w:spacing w:val="0"/>
          <w:kern w:val="0"/>
          <w:sz w:val="32"/>
          <w:szCs w:val="32"/>
          <w:shd w:val="clear" w:fill="FFFFFF"/>
          <w:lang w:val="en-US" w:eastAsia="zh-CN" w:bidi="ar"/>
        </w:rPr>
        <w:t>元</w:t>
      </w:r>
      <w:r>
        <w:rPr>
          <w:rFonts w:hint="eastAsia" w:ascii="仿宋_GB2312" w:hAnsi="仿宋_GB2312" w:cs="仿宋_GB2312"/>
          <w:i w:val="0"/>
          <w:caps w:val="0"/>
          <w:color w:val="000000"/>
          <w:spacing w:val="0"/>
          <w:kern w:val="0"/>
          <w:sz w:val="32"/>
          <w:szCs w:val="32"/>
          <w:shd w:val="clear" w:fill="FFFFFF"/>
          <w:lang w:val="en-US" w:eastAsia="zh-CN" w:bidi="ar"/>
        </w:rPr>
        <w:t>。</w:t>
      </w:r>
    </w:p>
    <w:p>
      <w:pPr>
        <w:keepNext w:val="0"/>
        <w:keepLines w:val="0"/>
        <w:pageBreakBefore w:val="0"/>
        <w:widowControl/>
        <w:numPr>
          <w:ilvl w:val="0"/>
          <w:numId w:val="2"/>
        </w:numPr>
        <w:kinsoku/>
        <w:wordWrap/>
        <w:overflowPunct/>
        <w:topLinePunct w:val="0"/>
        <w:autoSpaceDE/>
        <w:autoSpaceDN/>
        <w:bidi w:val="0"/>
        <w:adjustRightInd/>
        <w:spacing w:line="600" w:lineRule="exact"/>
        <w:ind w:firstLine="643" w:firstLineChars="200"/>
        <w:jc w:val="both"/>
        <w:textAlignment w:val="auto"/>
        <w:rPr>
          <w:rFonts w:ascii="楷体_GB2312" w:hAnsi="Times New Roman" w:eastAsia="楷体_GB2312" w:cs="Times New Roman"/>
          <w:b/>
          <w:kern w:val="2"/>
          <w:sz w:val="32"/>
          <w:szCs w:val="32"/>
          <w:lang w:val="en-US" w:eastAsia="zh-CN" w:bidi="ar-SA"/>
        </w:rPr>
      </w:pPr>
      <w:r>
        <w:rPr>
          <w:rFonts w:ascii="楷体_GB2312" w:hAnsi="Times New Roman" w:eastAsia="楷体_GB2312" w:cs="Times New Roman"/>
          <w:b/>
          <w:kern w:val="2"/>
          <w:sz w:val="32"/>
          <w:szCs w:val="32"/>
          <w:lang w:val="en-US" w:eastAsia="zh-CN" w:bidi="ar-SA"/>
        </w:rPr>
        <w:t>项目支出情况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rPr>
        <w:t> </w:t>
      </w:r>
      <w:r>
        <w:rPr>
          <w:rFonts w:hint="eastAsia" w:ascii="仿宋_GB2312" w:hAnsi="仿宋_GB2312" w:cs="仿宋_GB2312"/>
          <w:i w:val="0"/>
          <w:caps w:val="0"/>
          <w:color w:val="000000"/>
          <w:spacing w:val="0"/>
          <w:sz w:val="32"/>
          <w:szCs w:val="32"/>
          <w:shd w:val="clear" w:fill="FFFFFF"/>
          <w:lang w:eastAsia="zh-CN"/>
        </w:rPr>
        <w:t>2024</w:t>
      </w:r>
      <w:r>
        <w:rPr>
          <w:rFonts w:hint="eastAsia" w:ascii="仿宋_GB2312" w:hAnsi="仿宋_GB2312" w:eastAsia="仿宋_GB2312" w:cs="仿宋_GB2312"/>
          <w:i w:val="0"/>
          <w:caps w:val="0"/>
          <w:color w:val="000000"/>
          <w:spacing w:val="0"/>
          <w:sz w:val="32"/>
          <w:szCs w:val="32"/>
          <w:shd w:val="clear" w:fill="FFFFFF"/>
        </w:rPr>
        <w:t>年资阳</w:t>
      </w:r>
      <w:r>
        <w:rPr>
          <w:rFonts w:hint="eastAsia" w:ascii="仿宋_GB2312" w:hAnsi="仿宋_GB2312" w:eastAsia="仿宋_GB2312" w:cs="仿宋_GB2312"/>
          <w:i w:val="0"/>
          <w:caps w:val="0"/>
          <w:color w:val="000000"/>
          <w:spacing w:val="0"/>
          <w:kern w:val="0"/>
          <w:sz w:val="32"/>
          <w:szCs w:val="32"/>
          <w:shd w:val="clear" w:fill="FFFFFF"/>
          <w:lang w:val="en-US" w:eastAsia="zh-CN" w:bidi="ar"/>
        </w:rPr>
        <w:t>区</w:t>
      </w:r>
      <w:r>
        <w:rPr>
          <w:rFonts w:hint="eastAsia" w:ascii="仿宋_GB2312" w:hAnsi="仿宋_GB2312" w:cs="仿宋_GB2312"/>
          <w:i w:val="0"/>
          <w:caps w:val="0"/>
          <w:color w:val="000000"/>
          <w:spacing w:val="0"/>
          <w:kern w:val="0"/>
          <w:sz w:val="32"/>
          <w:szCs w:val="32"/>
          <w:shd w:val="clear" w:fill="FFFFFF"/>
          <w:lang w:val="en-US" w:eastAsia="zh-CN" w:bidi="ar"/>
        </w:rPr>
        <w:t>农业农村</w:t>
      </w:r>
      <w:r>
        <w:rPr>
          <w:rFonts w:hint="eastAsia" w:ascii="仿宋_GB2312" w:hAnsi="仿宋_GB2312" w:eastAsia="仿宋_GB2312" w:cs="仿宋_GB2312"/>
          <w:i w:val="0"/>
          <w:caps w:val="0"/>
          <w:color w:val="000000"/>
          <w:spacing w:val="0"/>
          <w:kern w:val="0"/>
          <w:sz w:val="32"/>
          <w:szCs w:val="32"/>
          <w:shd w:val="clear" w:fill="FFFFFF"/>
          <w:lang w:val="en-US" w:eastAsia="zh-CN" w:bidi="ar"/>
        </w:rPr>
        <w:t>局一般公共预算财政拨款项目支出</w:t>
      </w:r>
      <w:r>
        <w:rPr>
          <w:rFonts w:hint="eastAsia" w:ascii="仿宋_GB2312" w:hAnsi="仿宋_GB2312" w:cs="仿宋_GB2312"/>
          <w:color w:val="auto"/>
          <w:kern w:val="2"/>
          <w:sz w:val="32"/>
          <w:szCs w:val="32"/>
          <w:lang w:val="en-US" w:eastAsia="zh-CN" w:bidi="ar-SA"/>
        </w:rPr>
        <w:t>16181.97万</w:t>
      </w:r>
      <w:r>
        <w:rPr>
          <w:rFonts w:hint="eastAsia" w:ascii="仿宋_GB2312" w:hAnsi="仿宋_GB2312" w:eastAsia="仿宋_GB2312" w:cs="仿宋_GB2312"/>
          <w:i w:val="0"/>
          <w:caps w:val="0"/>
          <w:color w:val="000000"/>
          <w:spacing w:val="0"/>
          <w:kern w:val="0"/>
          <w:sz w:val="32"/>
          <w:szCs w:val="32"/>
          <w:shd w:val="clear" w:fill="FFFFFF"/>
          <w:lang w:val="en-US" w:eastAsia="zh-CN" w:bidi="ar"/>
        </w:rPr>
        <w:t>元</w:t>
      </w:r>
      <w:r>
        <w:rPr>
          <w:rFonts w:hint="eastAsia" w:ascii="仿宋_GB2312" w:hAnsi="仿宋_GB2312" w:eastAsia="仿宋_GB2312" w:cs="仿宋_GB2312"/>
          <w:i w:val="0"/>
          <w:caps w:val="0"/>
          <w:color w:val="000000"/>
          <w:spacing w:val="0"/>
          <w:sz w:val="32"/>
          <w:szCs w:val="32"/>
          <w:shd w:val="clear" w:fill="FFFFFF"/>
        </w:rPr>
        <w:t>。</w:t>
      </w:r>
      <w:r>
        <w:rPr>
          <w:rFonts w:hint="eastAsia" w:ascii="仿宋_GB2312" w:hAnsi="仿宋_GB2312" w:cs="仿宋_GB2312"/>
          <w:i w:val="0"/>
          <w:caps w:val="0"/>
          <w:color w:val="000000"/>
          <w:spacing w:val="0"/>
          <w:sz w:val="32"/>
          <w:szCs w:val="32"/>
          <w:shd w:val="clear" w:fill="FFFFFF"/>
          <w:lang w:eastAsia="zh-CN"/>
        </w:rPr>
        <w:t>主要用于科技转化与推广服务、防灾救灾、稳定农民收入补贴、农业结构调整补贴、农业生产发展、农村社会事业、农业生态资源保护、耕地建设与利用、其他农业农村支出、其他巩固脱贫攻坚成果衔接乡村振兴支出、棉花目标价格补贴、其他目标价格补贴、其他农林水支出、其他粮油物资事务支出等财政资金专项、农业农村局工作经费。</w:t>
      </w:r>
    </w:p>
    <w:p>
      <w:pPr>
        <w:keepNext w:val="0"/>
        <w:keepLines w:val="0"/>
        <w:pageBreakBefore w:val="0"/>
        <w:widowControl/>
        <w:numPr>
          <w:ilvl w:val="0"/>
          <w:numId w:val="0"/>
        </w:numPr>
        <w:kinsoku/>
        <w:wordWrap/>
        <w:overflowPunct/>
        <w:topLinePunct w:val="0"/>
        <w:autoSpaceDE/>
        <w:autoSpaceDN/>
        <w:bidi w:val="0"/>
        <w:adjustRightInd/>
        <w:spacing w:line="600" w:lineRule="exact"/>
        <w:ind w:leftChars="200"/>
        <w:jc w:val="left"/>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三、</w:t>
      </w:r>
      <w:r>
        <w:rPr>
          <w:rFonts w:ascii="Times New Roman" w:hAnsi="Times New Roman" w:eastAsia="黑体" w:cs="Times New Roman"/>
          <w:kern w:val="2"/>
          <w:sz w:val="32"/>
          <w:szCs w:val="32"/>
          <w:lang w:val="en-US" w:eastAsia="zh-CN" w:bidi="ar-SA"/>
        </w:rPr>
        <w:t>政府性基金预算支出情况</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本单位无政府性基金预算支出</w:t>
      </w:r>
    </w:p>
    <w:p>
      <w:pPr>
        <w:keepNext w:val="0"/>
        <w:keepLines w:val="0"/>
        <w:pageBreakBefore w:val="0"/>
        <w:widowControl/>
        <w:numPr>
          <w:ilvl w:val="0"/>
          <w:numId w:val="0"/>
        </w:numPr>
        <w:kinsoku/>
        <w:wordWrap/>
        <w:overflowPunct/>
        <w:topLinePunct w:val="0"/>
        <w:autoSpaceDE/>
        <w:autoSpaceDN/>
        <w:bidi w:val="0"/>
        <w:adjustRightInd/>
        <w:spacing w:line="600" w:lineRule="exact"/>
        <w:ind w:leftChars="200"/>
        <w:jc w:val="left"/>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四、</w:t>
      </w:r>
      <w:r>
        <w:rPr>
          <w:rFonts w:ascii="Times New Roman" w:hAnsi="Times New Roman" w:eastAsia="黑体" w:cs="Times New Roman"/>
          <w:kern w:val="2"/>
          <w:sz w:val="32"/>
          <w:szCs w:val="32"/>
          <w:lang w:val="en-US" w:eastAsia="zh-CN" w:bidi="ar-SA"/>
        </w:rPr>
        <w:t>国有资本经营预算支出情况</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kern w:val="2"/>
          <w:sz w:val="32"/>
          <w:szCs w:val="32"/>
          <w:lang w:val="en-US" w:eastAsia="zh-CN" w:bidi="ar-SA"/>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本单位无国有资本经营预算支出</w:t>
      </w:r>
    </w:p>
    <w:p>
      <w:pPr>
        <w:keepNext w:val="0"/>
        <w:keepLines w:val="0"/>
        <w:pageBreakBefore w:val="0"/>
        <w:widowControl/>
        <w:numPr>
          <w:ilvl w:val="0"/>
          <w:numId w:val="0"/>
        </w:numPr>
        <w:kinsoku/>
        <w:wordWrap/>
        <w:overflowPunct/>
        <w:topLinePunct w:val="0"/>
        <w:autoSpaceDE/>
        <w:autoSpaceDN/>
        <w:bidi w:val="0"/>
        <w:adjustRightInd/>
        <w:spacing w:line="600" w:lineRule="exact"/>
        <w:ind w:leftChars="200"/>
        <w:jc w:val="left"/>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五、</w:t>
      </w:r>
      <w:r>
        <w:rPr>
          <w:rFonts w:ascii="Times New Roman" w:hAnsi="Times New Roman" w:eastAsia="黑体" w:cs="Times New Roman"/>
          <w:kern w:val="2"/>
          <w:sz w:val="32"/>
          <w:szCs w:val="32"/>
          <w:lang w:val="en-US" w:eastAsia="zh-CN" w:bidi="ar-SA"/>
        </w:rPr>
        <w:t>社会保险基金预算支出情况</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kern w:val="2"/>
          <w:sz w:val="32"/>
          <w:szCs w:val="32"/>
          <w:lang w:val="en-US" w:eastAsia="zh-CN" w:bidi="ar-SA"/>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本单位</w:t>
      </w:r>
      <w:r>
        <w:rPr>
          <w:rFonts w:hint="eastAsia" w:ascii="仿宋_GB2312" w:hAnsi="仿宋_GB2312" w:cs="仿宋_GB2312"/>
          <w:i w:val="0"/>
          <w:caps w:val="0"/>
          <w:color w:val="000000"/>
          <w:spacing w:val="0"/>
          <w:kern w:val="0"/>
          <w:sz w:val="32"/>
          <w:szCs w:val="32"/>
          <w:shd w:val="clear" w:fill="FFFFFF"/>
          <w:lang w:val="en-US" w:eastAsia="zh-CN" w:bidi="ar"/>
        </w:rPr>
        <w:t>无</w:t>
      </w:r>
      <w:r>
        <w:rPr>
          <w:rFonts w:hint="eastAsia" w:ascii="仿宋_GB2312" w:hAnsi="仿宋_GB2312" w:eastAsia="仿宋_GB2312" w:cs="仿宋_GB2312"/>
          <w:i w:val="0"/>
          <w:caps w:val="0"/>
          <w:color w:val="000000"/>
          <w:spacing w:val="0"/>
          <w:kern w:val="0"/>
          <w:sz w:val="32"/>
          <w:szCs w:val="32"/>
          <w:shd w:val="clear" w:fill="FFFFFF"/>
          <w:lang w:val="en-US" w:eastAsia="zh-CN" w:bidi="ar"/>
        </w:rPr>
        <w:t>社会保险基金预算支出</w:t>
      </w:r>
    </w:p>
    <w:p>
      <w:pPr>
        <w:keepNext w:val="0"/>
        <w:keepLines w:val="0"/>
        <w:pageBreakBefore w:val="0"/>
        <w:widowControl/>
        <w:numPr>
          <w:ilvl w:val="0"/>
          <w:numId w:val="0"/>
        </w:numPr>
        <w:kinsoku/>
        <w:wordWrap/>
        <w:overflowPunct/>
        <w:topLinePunct w:val="0"/>
        <w:autoSpaceDE/>
        <w:autoSpaceDN/>
        <w:bidi w:val="0"/>
        <w:adjustRightInd/>
        <w:spacing w:line="600" w:lineRule="exact"/>
        <w:ind w:left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六、</w:t>
      </w:r>
      <w:r>
        <w:rPr>
          <w:rFonts w:ascii="Times New Roman" w:hAnsi="Times New Roman" w:eastAsia="黑体" w:cs="Times New Roman"/>
          <w:sz w:val="32"/>
          <w:szCs w:val="32"/>
        </w:rPr>
        <w:t>部门整体支出绩效情况</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（一）党建引领筑牢根基。</w:t>
      </w:r>
      <w:r>
        <w:rPr>
          <w:rFonts w:hint="eastAsia" w:ascii="仿宋_GB2312" w:hAnsi="仿宋_GB2312" w:eastAsia="仿宋_GB2312" w:cs="仿宋_GB2312"/>
          <w:i w:val="0"/>
          <w:caps w:val="0"/>
          <w:color w:val="000000"/>
          <w:spacing w:val="0"/>
          <w:kern w:val="0"/>
          <w:sz w:val="32"/>
          <w:szCs w:val="32"/>
          <w:shd w:val="clear" w:fill="FFFFFF"/>
          <w:lang w:val="en-US" w:eastAsia="zh-CN" w:bidi="ar"/>
        </w:rPr>
        <w:t>我局牢固树立党组织“一线指挥部”作用，切实把党的政治优势、组织优势转化为发展胜势，为推进“三农”工作提供坚强组织保障。一是强化思想引导。始终把思想政治学习教育当作增强干部职工政治素养、砥砺思想品质的有效途径和重要举措，围绕党纪国法学习教育，开展党委理论学习中心组学习会议、“三会一课”、主题党日活动、党课等学习活动，精心组织了二十届三中全会精神宣讲会。二是强化责任担当。严格落实党风廉政建设“两个责任”和领导班子“一岗双责”，严格遵守“中央八项规定”及其实施细则，带头严格落实各项廉洁制度要求，自觉接受监督。狠抓队伍建设，纵深推进清廉文化建设，持续推进以案促改，切实加强队伍的思想建设、组织建设、作风建设和业务建设，加强对本单位“三农”项目执行情况的监督检查，一体推进不敢腐、不能腐、不想腐体制机制。</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（二）日常工作有序开展。</w:t>
      </w:r>
      <w:r>
        <w:rPr>
          <w:rFonts w:hint="eastAsia" w:ascii="仿宋_GB2312" w:hAnsi="仿宋_GB2312" w:eastAsia="仿宋_GB2312" w:cs="仿宋_GB2312"/>
          <w:i w:val="0"/>
          <w:caps w:val="0"/>
          <w:color w:val="000000"/>
          <w:spacing w:val="0"/>
          <w:kern w:val="0"/>
          <w:sz w:val="32"/>
          <w:szCs w:val="32"/>
          <w:shd w:val="clear" w:fill="FFFFFF"/>
          <w:lang w:val="en-US" w:eastAsia="zh-CN" w:bidi="ar"/>
        </w:rPr>
        <w:t>一是严格执行公文处理制度，确保各类文件的收发、登记、传阅、归档等环节准确无误。全年共收文1110余份，文件均能及时、准确地传达和落实；全年共发文150余份，加强对公文撰写的指导和审核，提高公文质量，确保公文格式规范、内容准确、语言简洁。二是精心组织各类会议，包括局党组会、局长办公会、全局干部职工大会等。全年累计召开会议70余次，其中党组会19次。并且，高度重视基层减负工作，在精文减会、规范督查等方面采取了一系列措施，取得了阶段性成效。三是积极开展农业农村工作信息收集和宣传报道，全年资阳“三农”工作，在各级媒体发布宣传报道110余篇，其中相继在央视《新闻联播》、新华社及《新华每日电讯》、《人民日报》等中央媒体或单条、或头版报道20余次，省市主流媒体报道90余次。特别是央视《新闻联播》先后3次报道资阳区农业农村工作，3月18日，播出的《南方早稻开始育秧 科技助力备春耕》，以2分56秒的篇幅展现资阳区农业新质生产力，这是历年来央视新闻联播首次单条报道资阳区。同时，全年更新政务公开信息100余条，接听处理群众热线投诉24余起，加强了对网络舆情的监测和分析。全年组织开展了28次创文巩卫主题志愿服务活动。</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（三）农业生产保持稳定。</w:t>
      </w:r>
      <w:r>
        <w:rPr>
          <w:rFonts w:hint="eastAsia" w:ascii="仿宋_GB2312" w:hAnsi="仿宋_GB2312" w:eastAsia="仿宋_GB2312" w:cs="仿宋_GB2312"/>
          <w:i w:val="0"/>
          <w:caps w:val="0"/>
          <w:color w:val="000000"/>
          <w:spacing w:val="0"/>
          <w:kern w:val="0"/>
          <w:sz w:val="32"/>
          <w:szCs w:val="32"/>
          <w:shd w:val="clear" w:fill="FFFFFF"/>
          <w:lang w:val="en-US" w:eastAsia="zh-CN" w:bidi="ar"/>
        </w:rPr>
        <w:t>全年完成上级下达粮食生产面积64.26万亩，总产27.63万吨任务。完成早稻播种面积26.81万亩，预计总产11万吨；中稻及一季晚稻播种面积6.57万亩；双季晚稻播种面积28.28万亩；旱杂粮播种面积3.18万亩（其中马铃薯1.2万亩、红薯0.26万亩、玉米1.11万亩、大豆0.45万亩、其他旱杂粮0.16万亩）。创建省级粮食生产万亩综合示范片2个，区级千亩综合示范片5个。完成蔬菜及食用菌播种面积18.7万亩，棉花种植面积1.2万亩，水果种植面积6.28万亩。</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（四）乡村产业质效双增。</w:t>
      </w:r>
      <w:r>
        <w:rPr>
          <w:rFonts w:hint="eastAsia" w:ascii="仿宋_GB2312" w:hAnsi="仿宋_GB2312" w:eastAsia="仿宋_GB2312" w:cs="仿宋_GB2312"/>
          <w:i w:val="0"/>
          <w:caps w:val="0"/>
          <w:color w:val="000000"/>
          <w:spacing w:val="0"/>
          <w:kern w:val="0"/>
          <w:sz w:val="32"/>
          <w:szCs w:val="32"/>
          <w:shd w:val="clear" w:fill="FFFFFF"/>
          <w:lang w:val="en-US" w:eastAsia="zh-CN" w:bidi="ar"/>
        </w:rPr>
        <w:t>资阳区继续重点发展“一花、一鱼、一茶、一酒、一米、一药”六大农业产业。（木槿花种植面积5000亩，已开发20多个产品品牌，上下游产业链企业近120家。可养水域总面积10.5万亩，域内水产年加工能力12万吨，推广合方鲫养殖面积3000亩，打造5个稻渔综合种养基地。可采摘茶园2.19万亩，茶叶总产量6500吨。有200多户农户酿造甜酒，年产销售甜酒280多万公斤，年产值3000多万元。主要种植品种有青钱柳、迷迭香、山苍子、枳壳等，种植面积1.24万亩。）休闲食品加工、粮食加工、农机生产、农副产品加工、中药材加工稳步发展，2024年全区农产品加工业产值258.23亿元,同比增长8.42%，2024年新增省级农业产业化龙头企业1家，净增规模以上农产品加工企业10家。新桥河镇国家级农业产业强镇二期，已通过国家农业农村部、财政部认定，目前已下达中央资金700万元。“洞庭香米”优势特色产业集群续建等获部省审批，目前已下达中央资金420万元，项目建设正有序推进。2024年已完成1个企业，4个产品的绿色食品认证；已完成2个企业，5个产品的绿色食品认证续展。目前，全区绿色食品认证产品达22个。组织甜酒、茶叶等相关企业3家，赴东莞参加益阳特色农产品展示活动；开展茶叶开园节等“游购乡村”春季文旅助农活动，进一步推广了资阳农特产品。进一步推行政企研深化合作，先后与湖南人文科技学院、湖南农业大学等高校签订合作协议，其中与湖南人文科技学院开展的《2024年度乡村振兴产业关键技术集成与应用项目》已完成验收。</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（五）乡村建设稳步推进。</w:t>
      </w:r>
      <w:r>
        <w:rPr>
          <w:rFonts w:hint="eastAsia" w:ascii="仿宋_GB2312" w:hAnsi="仿宋_GB2312" w:eastAsia="仿宋_GB2312" w:cs="仿宋_GB2312"/>
          <w:i w:val="0"/>
          <w:caps w:val="0"/>
          <w:color w:val="000000"/>
          <w:spacing w:val="0"/>
          <w:kern w:val="0"/>
          <w:sz w:val="32"/>
          <w:szCs w:val="32"/>
          <w:shd w:val="clear" w:fill="FFFFFF"/>
          <w:lang w:val="en-US" w:eastAsia="zh-CN" w:bidi="ar"/>
        </w:rPr>
        <w:t>2024年，资阳区已成功申报实施2万亩左右的高标准农田投贷联动项目，在张家塞乡和沙头镇率先试点实施，亩均投资达4500元，建设标准较往年常规项目大有提高。资阳区2024年度高标准农田建设任务面积0.87万亩（其中，新增建设0.55万亩，改造提升0.32万亩）。新增建设亩均投资标准为3000元，改造提升亩均投资标准为2600元。2024年度实施的高标准农田建设项目有2024年常规项目建设0.87万亩、国债项目建设0.9万亩、2023年结余资金项目和投贷联动项目建设2万亩，共计投入资金14554万元。2024年常规项目于11月13日开工建设，春节前完成主体工程；国债项目于5月28日开工建设，12月6日完成验收。12月25日完成资金支付；2023年结余资金项目于6月15日开工建设，目前已完工；投贷联动项目于10月25日启动开工，11月施工单位正式进场，各乡镇、村正在协调施工环境，确保施工顺利，工程完成进度为60%。全面完成了600户改（新）建户厕，目前全区卫生厕所达比率达96.3%。</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（六）人居环境持续改善。</w:t>
      </w:r>
      <w:r>
        <w:rPr>
          <w:rFonts w:hint="eastAsia" w:ascii="仿宋_GB2312" w:hAnsi="仿宋_GB2312" w:eastAsia="仿宋_GB2312" w:cs="仿宋_GB2312"/>
          <w:i w:val="0"/>
          <w:caps w:val="0"/>
          <w:color w:val="000000"/>
          <w:spacing w:val="0"/>
          <w:kern w:val="0"/>
          <w:sz w:val="32"/>
          <w:szCs w:val="32"/>
          <w:shd w:val="clear" w:fill="FFFFFF"/>
          <w:lang w:val="en-US" w:eastAsia="zh-CN" w:bidi="ar"/>
        </w:rPr>
        <w:t>4月26日，召开了资阳区农村人居环境整治提升工作推进会。制定了《资阳区2024年农村人居环境整治提升工作实施方案》（益资农组〔2024〕3号），明确了扎实推进农村厕所革命、分类推进农村生活污水治理、稳步提升农村生活垃圾处理水平、加快推动村容村貌整体提升、推进“四美”联建示范引领提升行动、推进“五边区域”常态整治提升行动等六项工作重点。2024年资阳区完成了创建省级美丽乡村示范村2个、市级美丽乡村示范村3个、区级美丽乡村示范村5个。</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（七）农业绿色发展有效巩固。</w:t>
      </w:r>
      <w:r>
        <w:rPr>
          <w:rFonts w:hint="eastAsia" w:ascii="仿宋_GB2312" w:hAnsi="仿宋_GB2312" w:eastAsia="仿宋_GB2312" w:cs="仿宋_GB2312"/>
          <w:i w:val="0"/>
          <w:caps w:val="0"/>
          <w:color w:val="000000"/>
          <w:spacing w:val="0"/>
          <w:kern w:val="0"/>
          <w:sz w:val="32"/>
          <w:szCs w:val="32"/>
          <w:shd w:val="clear" w:fill="FFFFFF"/>
          <w:lang w:val="en-US" w:eastAsia="zh-CN" w:bidi="ar"/>
        </w:rPr>
        <w:t>实施农药化肥减量增效行动。通过各类农业生产群发送了“农药减量基本知识”、“农户在农药减量工作中应尽的业务”、深水灭蛹技术等，完成统防统治面积505.39万亩次，全区主要粮食作物统防统治覆盖率达到95.91%，完成绿色防控面积54.1万亩，覆盖率51.51%。印发《资阳区2024年主要农作物科学施肥指导意见》的通知，《益阳市资阳区2024年科学施肥增效工作实施方案》的通知、印发50000份施肥建议卡，测土配方施肥技术推广面积104万亩次、农户施肥调查113户、田间试验11个。</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3" w:firstLineChars="20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sz w:val="32"/>
          <w:szCs w:val="32"/>
          <w:lang w:val="en-US" w:eastAsia="zh-CN"/>
        </w:rPr>
        <w:t>（八）脱贫成果巩固拓展。</w:t>
      </w:r>
      <w:r>
        <w:rPr>
          <w:rFonts w:hint="eastAsia" w:ascii="仿宋_GB2312" w:hAnsi="仿宋_GB2312" w:eastAsia="仿宋_GB2312" w:cs="仿宋_GB2312"/>
          <w:i w:val="0"/>
          <w:caps w:val="0"/>
          <w:color w:val="000000"/>
          <w:spacing w:val="0"/>
          <w:kern w:val="0"/>
          <w:sz w:val="32"/>
          <w:szCs w:val="32"/>
          <w:shd w:val="clear" w:fill="FFFFFF"/>
          <w:lang w:val="en-US" w:eastAsia="zh-CN" w:bidi="ar"/>
        </w:rPr>
        <w:t>充分发挥“三员”作用，织牢防返贫监测“三网”，全年省平台针对大病、收入、就业等风险线索反馈预警信息1151条。2024年新识别监测对象47户139人，消除风险119户321人。户均享受帮扶措施4.32条，有劳动能力有发展意愿的脱贫户至少享受了一项开发式帮扶措施。已实现脱贫户和监测对象6904人务工就业（超省定任务504人），符合条件的区外务工人员全覆盖发放了一次性交通补贴（分100、200、400元三档）。2024年共资助我区家庭经济困难学生6409人次，发放生活补助、助学金等各类资助金290余万元，其中脱贫人口和三类人群2375人次、109.87万元。做到了早发现、早干预、早帮扶，及时消除风险隐患，脱贫人口和监测对象做到了应纳尽纳，致贫风险精准消除。确保不出现规模性返贫。</w:t>
      </w:r>
    </w:p>
    <w:p>
      <w:pPr>
        <w:keepNext w:val="0"/>
        <w:keepLines w:val="0"/>
        <w:pageBreakBefore w:val="0"/>
        <w:widowControl/>
        <w:numPr>
          <w:ilvl w:val="0"/>
          <w:numId w:val="0"/>
        </w:numPr>
        <w:kinsoku/>
        <w:wordWrap/>
        <w:overflowPunct/>
        <w:topLinePunct w:val="0"/>
        <w:autoSpaceDE/>
        <w:autoSpaceDN/>
        <w:bidi w:val="0"/>
        <w:adjustRightInd/>
        <w:spacing w:line="600" w:lineRule="exact"/>
        <w:ind w:firstLine="640" w:firstLineChars="200"/>
        <w:jc w:val="left"/>
        <w:textAlignment w:val="auto"/>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七、存在的问题及原因分析</w:t>
      </w:r>
    </w:p>
    <w:p>
      <w:pPr>
        <w:keepNext w:val="0"/>
        <w:keepLines w:val="0"/>
        <w:pageBreakBefore w:val="0"/>
        <w:widowControl/>
        <w:kinsoku/>
        <w:wordWrap/>
        <w:overflowPunct/>
        <w:topLinePunct w:val="0"/>
        <w:autoSpaceDE/>
        <w:autoSpaceDN/>
        <w:bidi w:val="0"/>
        <w:adjustRightInd/>
        <w:spacing w:line="600" w:lineRule="exact"/>
        <w:ind w:firstLine="643" w:firstLineChars="200"/>
        <w:jc w:val="left"/>
        <w:textAlignment w:val="auto"/>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rPr>
        <w:t>（一）财务人员的专业能力有待加强。</w:t>
      </w:r>
      <w:r>
        <w:rPr>
          <w:rFonts w:hint="eastAsia" w:ascii="Times New Roman" w:hAnsi="Times New Roman" w:eastAsia="仿宋_GB2312" w:cs="Times New Roman"/>
          <w:sz w:val="32"/>
          <w:szCs w:val="32"/>
        </w:rPr>
        <w:t>需认真学习上级发布的关于绩效评价的相关政策和文件，进一步加强自身的专业素质能力，提高对绩效自评的认知水平。</w:t>
      </w:r>
    </w:p>
    <w:p>
      <w:pPr>
        <w:keepNext w:val="0"/>
        <w:keepLines w:val="0"/>
        <w:pageBreakBefore w:val="0"/>
        <w:widowControl/>
        <w:kinsoku/>
        <w:wordWrap/>
        <w:overflowPunct/>
        <w:topLinePunct w:val="0"/>
        <w:autoSpaceDE/>
        <w:autoSpaceDN/>
        <w:bidi w:val="0"/>
        <w:adjustRightInd/>
        <w:spacing w:line="600" w:lineRule="exact"/>
        <w:ind w:firstLine="643" w:firstLineChars="200"/>
        <w:jc w:val="left"/>
        <w:textAlignment w:val="auto"/>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预算绩效观念薄弱。</w:t>
      </w:r>
      <w:r>
        <w:rPr>
          <w:rFonts w:hint="eastAsia" w:ascii="Times New Roman" w:hAnsi="Times New Roman" w:eastAsia="仿宋_GB2312" w:cs="Times New Roman"/>
          <w:sz w:val="32"/>
          <w:szCs w:val="32"/>
        </w:rPr>
        <w:t>财务人员在收到一笔项目资金并实施预算绩效管理时，首先会仔细研究文件要求，确定该笔资金可开支的范围，然后在整个过程中注重资金使用的及时性，未分析资金使用的必要性和产生的效益；此外，财政部门在安排预算绩效管理任务时，一般对接单位财务人员，由财务人员主要负责，业务承担股室人员配合，而实际工作中财务人员和业务股室人员的配合程度低，往往是财务人员根据一些工作总结等设置指标作为绩效目标，难以有效分析出效益。</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pStyle w:val="5"/>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cs="Times New Roman"/>
          <w:sz w:val="32"/>
          <w:szCs w:val="32"/>
          <w:lang w:eastAsia="zh-CN"/>
        </w:rPr>
        <w:t>我局建立完善了各项规章制度，并按照《行政事业单位内部控制规范（试行）》要求，更进一步做好单位内部控制。进一步细化预算编制工作，认真做好预算的编制。增强预算管理意识，严格按照预算编制的相关制度和要求，本着“勤俭节约、保障运转”的原则进行预算的编制；编制范围尽可能的全面、不漏项，进一步提高预算编制的科学性、合理性、严谨性和可控性。在日常预算管理过程中，进一步加强预算支出的审核、跟踪及预算执行情况分析</w:t>
      </w:r>
    </w:p>
    <w:p>
      <w:pPr>
        <w:keepNext w:val="0"/>
        <w:keepLines w:val="0"/>
        <w:pageBreakBefore w:val="0"/>
        <w:widowControl/>
        <w:numPr>
          <w:ilvl w:val="0"/>
          <w:numId w:val="3"/>
        </w:numPr>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部门整体支出绩效自评结果拟应用和公开情况</w:t>
      </w:r>
    </w:p>
    <w:p>
      <w:pPr>
        <w:pStyle w:val="2"/>
        <w:keepNext w:val="0"/>
        <w:keepLines w:val="0"/>
        <w:pageBreakBefore w:val="0"/>
        <w:kinsoku/>
        <w:wordWrap/>
        <w:overflowPunct/>
        <w:topLinePunct w:val="0"/>
        <w:autoSpaceDE/>
        <w:autoSpaceDN/>
        <w:bidi w:val="0"/>
        <w:adjustRightInd/>
        <w:spacing w:before="0" w:beforeAutospacing="0" w:line="600" w:lineRule="exact"/>
        <w:ind w:firstLine="643" w:firstLineChars="200"/>
        <w:textAlignment w:val="auto"/>
        <w:rPr>
          <w:rFonts w:hint="eastAsia" w:ascii="Times New Roman" w:hAnsi="Times New Roman" w:eastAsia="仿宋_GB2312" w:cs="Times New Roman"/>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（一）绩效自评结果拟应用。</w:t>
      </w:r>
      <w:r>
        <w:rPr>
          <w:rFonts w:hint="eastAsia" w:ascii="Times New Roman" w:hAnsi="Times New Roman" w:eastAsia="仿宋_GB2312" w:cs="Times New Roman"/>
          <w:kern w:val="2"/>
          <w:sz w:val="32"/>
          <w:szCs w:val="32"/>
          <w:lang w:val="en-US" w:eastAsia="zh-CN" w:bidi="ar-SA"/>
        </w:rPr>
        <w:t>通过绩效自评，进一步掌握到了资金使用情况，对于规范资金和更高效率的使用资金起到了很好地作用。并为不断完善预决算编制、专项资金管理起到了很好地指导作用。</w:t>
      </w:r>
    </w:p>
    <w:p>
      <w:pPr>
        <w:pStyle w:val="2"/>
        <w:keepNext w:val="0"/>
        <w:keepLines w:val="0"/>
        <w:pageBreakBefore w:val="0"/>
        <w:kinsoku/>
        <w:wordWrap/>
        <w:overflowPunct/>
        <w:topLinePunct w:val="0"/>
        <w:autoSpaceDE/>
        <w:autoSpaceDN/>
        <w:bidi w:val="0"/>
        <w:adjustRightInd/>
        <w:spacing w:before="0" w:beforeAutospacing="0" w:line="600" w:lineRule="exact"/>
        <w:ind w:firstLine="643" w:firstLineChars="200"/>
        <w:textAlignment w:val="auto"/>
      </w:pPr>
      <w:r>
        <w:rPr>
          <w:rFonts w:hint="eastAsia" w:ascii="楷体_GB2312" w:hAnsi="楷体_GB2312" w:eastAsia="楷体_GB2312" w:cs="楷体_GB2312"/>
          <w:b/>
          <w:bCs/>
          <w:kern w:val="2"/>
          <w:sz w:val="32"/>
          <w:szCs w:val="32"/>
          <w:lang w:val="en-US" w:eastAsia="zh-CN" w:bidi="ar-SA"/>
        </w:rPr>
        <w:t>（二）绩效自评结果公开情况。</w:t>
      </w:r>
      <w:r>
        <w:rPr>
          <w:rFonts w:hint="eastAsia" w:ascii="Times New Roman" w:hAnsi="Times New Roman" w:eastAsia="仿宋_GB2312" w:cs="Times New Roman"/>
          <w:kern w:val="2"/>
          <w:sz w:val="32"/>
          <w:szCs w:val="32"/>
          <w:lang w:val="en-US" w:eastAsia="zh-CN" w:bidi="ar-SA"/>
        </w:rPr>
        <w:t>此次绩效自评报告将在资阳区</w:t>
      </w:r>
      <w:r>
        <w:rPr>
          <w:rFonts w:hint="eastAsia" w:ascii="Times New Roman" w:hAnsi="Times New Roman" w:cs="Times New Roman"/>
          <w:kern w:val="2"/>
          <w:sz w:val="32"/>
          <w:szCs w:val="32"/>
          <w:lang w:val="en-US" w:eastAsia="zh-CN" w:bidi="ar-SA"/>
        </w:rPr>
        <w:t>人民</w:t>
      </w:r>
      <w:r>
        <w:rPr>
          <w:rFonts w:hint="eastAsia" w:ascii="Times New Roman" w:hAnsi="Times New Roman" w:eastAsia="仿宋_GB2312" w:cs="Times New Roman"/>
          <w:kern w:val="2"/>
          <w:sz w:val="32"/>
          <w:szCs w:val="32"/>
          <w:lang w:val="en-US" w:eastAsia="zh-CN" w:bidi="ar-SA"/>
        </w:rPr>
        <w:t>政府官网上予以全文公开，向社会公开，广泛接受群众监督。</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十、</w:t>
      </w:r>
      <w:r>
        <w:rPr>
          <w:rFonts w:ascii="Times New Roman" w:hAnsi="Times New Roman" w:eastAsia="黑体" w:cs="Times New Roman"/>
          <w:sz w:val="32"/>
          <w:szCs w:val="32"/>
        </w:rPr>
        <w:t>其他需要说明的情况</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报告需要以下附件：</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部门整体支出绩效评价基础数据表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部门整体支出绩效自评表</w:t>
      </w:r>
    </w:p>
    <w:p>
      <w:pPr>
        <w:keepNext w:val="0"/>
        <w:keepLines w:val="0"/>
        <w:pageBreakBefore w:val="0"/>
        <w:widowControl/>
        <w:kinsoku/>
        <w:wordWrap/>
        <w:overflowPunct/>
        <w:topLinePunct w:val="0"/>
        <w:autoSpaceDE/>
        <w:autoSpaceDN/>
        <w:bidi w:val="0"/>
        <w:adjustRightInd/>
        <w:snapToGrid/>
        <w:spacing w:line="600" w:lineRule="exact"/>
        <w:ind w:firstLine="0" w:firstLineChars="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0" w:firstLineChars="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pacing w:line="600" w:lineRule="exact"/>
        <w:ind w:firstLine="4160" w:firstLineChars="13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益阳市资阳区</w:t>
      </w:r>
      <w:r>
        <w:rPr>
          <w:rFonts w:hint="eastAsia" w:ascii="仿宋_GB2312" w:hAnsi="仿宋_GB2312" w:cs="仿宋_GB2312"/>
          <w:sz w:val="32"/>
          <w:szCs w:val="32"/>
          <w:lang w:eastAsia="zh-CN"/>
        </w:rPr>
        <w:t>农业农村</w:t>
      </w:r>
      <w:r>
        <w:rPr>
          <w:rFonts w:hint="eastAsia" w:ascii="仿宋_GB2312" w:hAnsi="仿宋_GB2312" w:eastAsia="仿宋_GB2312" w:cs="仿宋_GB2312"/>
          <w:sz w:val="32"/>
          <w:szCs w:val="32"/>
          <w:lang w:eastAsia="zh-CN"/>
        </w:rPr>
        <w:t>局</w:t>
      </w:r>
    </w:p>
    <w:p>
      <w:pPr>
        <w:ind w:firstLine="4800" w:firstLineChars="1500"/>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21</w:t>
      </w:r>
      <w:r>
        <w:rPr>
          <w:rFonts w:hint="eastAsia" w:ascii="仿宋_GB2312" w:hAnsi="仿宋_GB2312" w:eastAsia="仿宋_GB2312" w:cs="仿宋_GB2312"/>
          <w:sz w:val="32"/>
          <w:szCs w:val="32"/>
          <w:lang w:val="en-US"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156E3"/>
    <w:multiLevelType w:val="singleLevel"/>
    <w:tmpl w:val="0F5156E3"/>
    <w:lvl w:ilvl="0" w:tentative="0">
      <w:start w:val="1"/>
      <w:numFmt w:val="decimal"/>
      <w:suff w:val="nothing"/>
      <w:lvlText w:val="%1．"/>
      <w:lvlJc w:val="left"/>
      <w:pPr>
        <w:ind w:left="0" w:firstLine="400"/>
      </w:pPr>
      <w:rPr>
        <w:rFonts w:hint="default"/>
      </w:rPr>
    </w:lvl>
  </w:abstractNum>
  <w:abstractNum w:abstractNumId="1">
    <w:nsid w:val="59DFF579"/>
    <w:multiLevelType w:val="singleLevel"/>
    <w:tmpl w:val="59DFF579"/>
    <w:lvl w:ilvl="0" w:tentative="0">
      <w:start w:val="2"/>
      <w:numFmt w:val="chineseCounting"/>
      <w:suff w:val="nothing"/>
      <w:lvlText w:val="（%1）"/>
      <w:lvlJc w:val="left"/>
      <w:rPr>
        <w:rFonts w:hint="eastAsia"/>
      </w:rPr>
    </w:lvl>
  </w:abstractNum>
  <w:abstractNum w:abstractNumId="2">
    <w:nsid w:val="617A5F89"/>
    <w:multiLevelType w:val="singleLevel"/>
    <w:tmpl w:val="617A5F89"/>
    <w:lvl w:ilvl="0" w:tentative="0">
      <w:start w:val="9"/>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950E0"/>
    <w:rsid w:val="02124BF0"/>
    <w:rsid w:val="09F54765"/>
    <w:rsid w:val="38C06BCA"/>
    <w:rsid w:val="3DC950E0"/>
    <w:rsid w:val="3E78348C"/>
    <w:rsid w:val="79A13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9">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00" w:beforeAutospacing="1"/>
    </w:pPr>
    <w:rPr>
      <w:szCs w:val="21"/>
    </w:rPr>
  </w:style>
  <w:style w:type="paragraph" w:styleId="3">
    <w:name w:val="Body Text Indent"/>
    <w:basedOn w:val="1"/>
    <w:qFormat/>
    <w:uiPriority w:val="0"/>
    <w:pPr>
      <w:ind w:firstLine="632" w:firstLineChars="200"/>
    </w:pPr>
  </w:style>
  <w:style w:type="paragraph" w:styleId="4">
    <w:name w:val="toc 1"/>
    <w:basedOn w:val="1"/>
    <w:next w:val="1"/>
    <w:unhideWhenUsed/>
    <w:qFormat/>
    <w:uiPriority w:val="39"/>
  </w:style>
  <w:style w:type="paragraph" w:styleId="5">
    <w:name w:val="footnote text"/>
    <w:basedOn w:val="1"/>
    <w:qFormat/>
    <w:uiPriority w:val="0"/>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qFormat/>
    <w:uiPriority w:val="0"/>
    <w:pPr>
      <w:spacing w:before="100" w:beforeAutospacing="1" w:after="0"/>
      <w:ind w:left="0" w:firstLine="420" w:firstLineChars="200"/>
    </w:pPr>
  </w:style>
  <w:style w:type="paragraph" w:customStyle="1" w:styleId="10">
    <w:name w:val="BodyText1I2"/>
    <w:basedOn w:val="11"/>
    <w:qFormat/>
    <w:uiPriority w:val="0"/>
    <w:pPr>
      <w:ind w:firstLine="420"/>
    </w:pPr>
  </w:style>
  <w:style w:type="paragraph" w:customStyle="1" w:styleId="11">
    <w:name w:val="BodyTextIndent"/>
    <w:basedOn w:val="1"/>
    <w:qFormat/>
    <w:uiPriority w:val="0"/>
    <w:pPr>
      <w:spacing w:after="120"/>
      <w:ind w:left="420" w:leftChars="200" w:firstLine="200" w:firstLineChars="200"/>
      <w:textAlignment w:val="baseline"/>
    </w:pPr>
  </w:style>
  <w:style w:type="paragraph" w:styleId="12">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2025-10-20T06:18:00Z</dcterms:created>
  <dc:creator>Administrator</dc:creator>
  <cp:lastModifiedBy>Administrator</cp:lastModifiedBy>
  <dcterms:modified xsi:type="dcterms:W3CDTF">2025-10-22T03:05:16Z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EBBBBFFE8CAD491E8EE95C6C04B0A78D_11</vt:lpwstr>
  </property>
  <property fmtid="{D5CDD505-2E9C-101B-9397-08002B2CF9AE}" pid="4" name="KSOTemplateDocerSaveRecord">
    <vt:lpwstr>eyJoZGlkIjoiZjk4MGVhMjc0ZDgyNjFhYWI2MDhjM2QwMmYwYjE4MDIifQ==</vt:lpwstr>
  </property>
</Properties>
</file>