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44921">
      <w:pPr>
        <w:spacing w:line="640" w:lineRule="exact"/>
        <w:jc w:val="center"/>
        <w:rPr>
          <w:rFonts w:ascii="宋体" w:hAnsi="宋体" w:cs="宋体"/>
          <w:b/>
          <w:sz w:val="44"/>
          <w:szCs w:val="44"/>
        </w:rPr>
      </w:pPr>
      <w:r>
        <w:rPr>
          <w:rFonts w:hint="eastAsia" w:ascii="宋体" w:hAnsi="宋体" w:cs="宋体"/>
          <w:b/>
          <w:sz w:val="44"/>
          <w:szCs w:val="44"/>
        </w:rPr>
        <w:t>资阳区水利局部门整体支出绩效</w:t>
      </w:r>
    </w:p>
    <w:p w14:paraId="4F5F04AF">
      <w:pPr>
        <w:spacing w:line="640" w:lineRule="exact"/>
        <w:jc w:val="center"/>
        <w:rPr>
          <w:rFonts w:ascii="宋体" w:hAnsi="宋体" w:cs="宋体"/>
          <w:b/>
          <w:sz w:val="44"/>
          <w:szCs w:val="44"/>
        </w:rPr>
      </w:pPr>
      <w:r>
        <w:rPr>
          <w:rFonts w:hint="eastAsia" w:ascii="宋体" w:hAnsi="宋体" w:cs="宋体"/>
          <w:b/>
          <w:sz w:val="44"/>
          <w:szCs w:val="44"/>
        </w:rPr>
        <w:t>自 评 报 告</w:t>
      </w:r>
    </w:p>
    <w:p w14:paraId="3DE68501">
      <w:pPr>
        <w:spacing w:line="520" w:lineRule="exact"/>
        <w:ind w:firstLine="560" w:firstLineChars="200"/>
        <w:rPr>
          <w:rFonts w:ascii="仿宋" w:hAnsi="仿宋" w:eastAsia="仿宋" w:cs="仿宋"/>
          <w:sz w:val="28"/>
          <w:szCs w:val="28"/>
        </w:rPr>
      </w:pPr>
      <w:r>
        <w:rPr>
          <w:rFonts w:hint="eastAsia" w:ascii="仿宋" w:hAnsi="仿宋" w:eastAsia="仿宋" w:cs="仿宋"/>
          <w:kern w:val="0"/>
          <w:sz w:val="28"/>
          <w:szCs w:val="28"/>
        </w:rPr>
        <w:t>为加强财政支出管理，切实提高财政资金使用效益，进一步落实监管责任，根据《中华人民共和国预算法》《中共中央国务院关于全面实施预算绩效管理的意见》</w:t>
      </w:r>
      <w:r>
        <w:rPr>
          <w:rFonts w:ascii="仿宋" w:hAnsi="仿宋" w:eastAsia="仿宋" w:cs="仿宋"/>
          <w:kern w:val="0"/>
          <w:sz w:val="28"/>
          <w:szCs w:val="28"/>
        </w:rPr>
        <w:t>(中发〔2018〕34号)、《中共湖南省委办公厅湖南省人民政府办公厅关于全面实施预算绩效管理的实施意见》(湘办发〔2019〕10号)和</w:t>
      </w:r>
      <w:r>
        <w:rPr>
          <w:rFonts w:hint="eastAsia" w:ascii="仿宋" w:hAnsi="仿宋" w:eastAsia="仿宋" w:cs="仿宋"/>
          <w:kern w:val="0"/>
          <w:sz w:val="28"/>
          <w:szCs w:val="28"/>
        </w:rPr>
        <w:t>《益阳市资阳区财政局关于开展2024年度区级预算部门绩效自评和部门评价工作的通知》文件精神，</w:t>
      </w:r>
      <w:r>
        <w:rPr>
          <w:rFonts w:hint="eastAsia" w:ascii="仿宋" w:hAnsi="仿宋" w:eastAsia="仿宋" w:cs="仿宋"/>
          <w:sz w:val="28"/>
          <w:szCs w:val="28"/>
        </w:rPr>
        <w:t>我局积极组织，对2024年度本单位整体支出进行了绩效自评，现将具体绩效评价情况报告如下：</w:t>
      </w:r>
    </w:p>
    <w:p w14:paraId="2010343F">
      <w:pPr>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一、部门概况</w:t>
      </w:r>
    </w:p>
    <w:p w14:paraId="2DBD38AE">
      <w:pPr>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(一）部门机构设置</w:t>
      </w:r>
    </w:p>
    <w:p w14:paraId="7DC15187">
      <w:pPr>
        <w:spacing w:line="520" w:lineRule="exact"/>
        <w:ind w:firstLine="560" w:firstLineChars="200"/>
        <w:rPr>
          <w:rFonts w:ascii="仿宋" w:hAnsi="仿宋" w:eastAsia="仿宋" w:cs="仿宋"/>
          <w:sz w:val="28"/>
          <w:szCs w:val="28"/>
        </w:rPr>
      </w:pPr>
      <w:r>
        <w:rPr>
          <w:rFonts w:hint="eastAsia" w:ascii="仿宋" w:hAnsi="仿宋" w:eastAsia="仿宋" w:cs="仿宋"/>
          <w:kern w:val="0"/>
          <w:sz w:val="28"/>
          <w:szCs w:val="28"/>
        </w:rPr>
        <w:t>机构设置情况：根据工作职责，益阳市资阳区水利</w:t>
      </w:r>
      <w:r>
        <w:rPr>
          <w:rFonts w:hint="eastAsia" w:ascii="仿宋" w:hAnsi="仿宋" w:eastAsia="仿宋" w:cs="仿宋"/>
          <w:color w:val="333333"/>
          <w:sz w:val="28"/>
          <w:szCs w:val="28"/>
        </w:rPr>
        <w:t>局本级设办公室、政工人事股、财计股、安全生产与质量监督股、水资源股、河长制工作股</w:t>
      </w:r>
      <w:r>
        <w:rPr>
          <w:rFonts w:hint="eastAsia" w:ascii="仿宋" w:hAnsi="仿宋" w:eastAsia="仿宋" w:cs="仿宋"/>
          <w:color w:val="333333"/>
          <w:sz w:val="28"/>
          <w:szCs w:val="28"/>
          <w:lang w:eastAsia="zh-CN"/>
        </w:rPr>
        <w:t>，水政股</w:t>
      </w:r>
      <w:r>
        <w:rPr>
          <w:rFonts w:hint="eastAsia" w:ascii="仿宋" w:hAnsi="仿宋" w:eastAsia="仿宋" w:cs="仿宋"/>
          <w:color w:val="333333"/>
          <w:sz w:val="28"/>
          <w:szCs w:val="28"/>
          <w:lang w:val="en-US" w:eastAsia="zh-CN"/>
        </w:rPr>
        <w:t>7</w:t>
      </w:r>
      <w:r>
        <w:rPr>
          <w:rFonts w:hint="eastAsia" w:ascii="仿宋" w:hAnsi="仿宋" w:eastAsia="仿宋" w:cs="仿宋"/>
          <w:color w:val="333333"/>
          <w:sz w:val="28"/>
          <w:szCs w:val="28"/>
        </w:rPr>
        <w:t>个内设机构；设置资阳区水利工程站、资阳区水旱灾害防御事务中心、资阳区河道湖泊管理站、资阳区村镇供水工程管理站、资阳区砂石</w:t>
      </w:r>
      <w:r>
        <w:rPr>
          <w:rFonts w:hint="eastAsia" w:ascii="仿宋" w:hAnsi="仿宋" w:eastAsia="仿宋" w:cs="仿宋"/>
          <w:color w:val="333333"/>
          <w:sz w:val="28"/>
          <w:szCs w:val="28"/>
          <w:lang w:eastAsia="zh-CN"/>
        </w:rPr>
        <w:t>事务中心</w:t>
      </w:r>
      <w:r>
        <w:rPr>
          <w:rFonts w:hint="eastAsia" w:ascii="仿宋" w:hAnsi="仿宋" w:eastAsia="仿宋" w:cs="仿宋"/>
          <w:color w:val="333333"/>
          <w:sz w:val="28"/>
          <w:szCs w:val="28"/>
        </w:rPr>
        <w:t>、资阳区机电排灌站、资阳区库区移民事务中心、资阳区迎丰水库管理处</w:t>
      </w:r>
      <w:r>
        <w:rPr>
          <w:rFonts w:hint="eastAsia" w:ascii="仿宋" w:hAnsi="仿宋" w:eastAsia="仿宋" w:cs="仿宋"/>
          <w:color w:val="333333"/>
          <w:sz w:val="28"/>
          <w:szCs w:val="28"/>
          <w:lang w:val="en-US" w:eastAsia="zh-CN"/>
        </w:rPr>
        <w:t>8</w:t>
      </w:r>
      <w:r>
        <w:rPr>
          <w:rFonts w:hint="eastAsia" w:ascii="仿宋" w:hAnsi="仿宋" w:eastAsia="仿宋" w:cs="仿宋"/>
          <w:color w:val="333333"/>
          <w:sz w:val="28"/>
          <w:szCs w:val="28"/>
        </w:rPr>
        <w:t>个事业单位。下辖资阳区城区水利管理站、资阳区黄家湖电排管理站、资阳区民主垸中心水利管理站3个局属水利管理站。</w:t>
      </w:r>
    </w:p>
    <w:p w14:paraId="2F875D1C">
      <w:pPr>
        <w:widowControl/>
        <w:spacing w:line="520" w:lineRule="exact"/>
        <w:ind w:firstLine="548" w:firstLineChars="196"/>
        <w:jc w:val="left"/>
        <w:rPr>
          <w:rFonts w:ascii="仿宋" w:hAnsi="仿宋" w:eastAsia="仿宋" w:cs="仿宋"/>
          <w:sz w:val="28"/>
          <w:szCs w:val="28"/>
        </w:rPr>
      </w:pPr>
      <w:r>
        <w:rPr>
          <w:rFonts w:hint="eastAsia" w:ascii="仿宋" w:hAnsi="仿宋" w:eastAsia="仿宋" w:cs="仿宋"/>
          <w:sz w:val="28"/>
          <w:szCs w:val="28"/>
        </w:rPr>
        <w:t>（二）区水利局工作职能及职责</w:t>
      </w:r>
    </w:p>
    <w:p w14:paraId="53C6E45A">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1、拟定全区水利工作规划性文件及中、长期水利规划，组织起草有关政策性法规，并督促实施。</w:t>
      </w:r>
    </w:p>
    <w:p w14:paraId="60602E82">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2、统一管理水资源（含空中水、地表水、地下水）。组织有关城区规划及重大建设项目的水资源和防洪的论证工作；组织实行取水许可制度和水资源费征收制度。</w:t>
      </w:r>
    </w:p>
    <w:p w14:paraId="649157DD">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3、组织、指导水政监察和水行政执法，协调并仲裁区域内的水事纠纷。</w:t>
      </w:r>
    </w:p>
    <w:p w14:paraId="358FB01F">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4、合法使用、调控水利资金，搞好水利行业的供水、水电及多种经营工作。</w:t>
      </w:r>
    </w:p>
    <w:p w14:paraId="3E530C61">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5、编制、上报年度水利基建项目设计书，搞好基建项目的施工及技术监理工作，严格操作规划。</w:t>
      </w:r>
    </w:p>
    <w:p w14:paraId="346954B0">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6、搞好水利设施、水域及其岸线的管理与保护；组织指导河滩的治理与开发；组织建设和管理水利工程，组织、指导水库大坝的安全监管。</w:t>
      </w:r>
    </w:p>
    <w:p w14:paraId="5A006574">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7、组织协调农田水利基本建设和乡镇供水工作。</w:t>
      </w:r>
    </w:p>
    <w:p w14:paraId="55E81EB3">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8、搞好全区水土保持工作，研究制定水土保持的工程措施规划，组织水土流失的监测和综合防治。</w:t>
      </w:r>
    </w:p>
    <w:p w14:paraId="5DF9EE29">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9、负责水利方面的科技工作，搞好全区水利队伍建设。</w:t>
      </w:r>
    </w:p>
    <w:p w14:paraId="29C6CA00">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10、指导河长制工作；指导全区砂石市场管理工作；指导区防汛抗旱工作，对水库、内湖实施防汛抗旱调度。</w:t>
      </w:r>
    </w:p>
    <w:p w14:paraId="1E1CD7A2">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11、承担区政府交办的其他事项。</w:t>
      </w:r>
    </w:p>
    <w:p w14:paraId="0768D689">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二、部门（单位）整体支出管理及使用情况</w:t>
      </w:r>
    </w:p>
    <w:p w14:paraId="5C311013">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（一）部门整体经费支出情况分析</w:t>
      </w:r>
    </w:p>
    <w:p w14:paraId="241680E7">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1、基本支出</w:t>
      </w:r>
    </w:p>
    <w:p w14:paraId="2A7F60CC">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2024年度基本支出共计</w:t>
      </w:r>
      <w:r>
        <w:rPr>
          <w:rFonts w:hint="eastAsia" w:ascii="仿宋" w:hAnsi="仿宋" w:eastAsia="仿宋" w:cs="仿宋"/>
          <w:color w:val="0000FF"/>
          <w:sz w:val="28"/>
          <w:szCs w:val="28"/>
          <w:shd w:val="clear" w:color="auto" w:fill="FFFFFF"/>
        </w:rPr>
        <w:t>2446.04</w:t>
      </w:r>
      <w:r>
        <w:rPr>
          <w:rFonts w:hint="eastAsia" w:ascii="仿宋" w:hAnsi="仿宋" w:eastAsia="仿宋" w:cs="仿宋"/>
          <w:color w:val="333333"/>
          <w:sz w:val="28"/>
          <w:szCs w:val="28"/>
          <w:shd w:val="clear" w:color="auto" w:fill="FFFFFF"/>
        </w:rPr>
        <w:t>万元，其中人员经费</w:t>
      </w:r>
      <w:r>
        <w:rPr>
          <w:rFonts w:hint="eastAsia" w:ascii="仿宋" w:hAnsi="仿宋" w:eastAsia="仿宋" w:cs="仿宋"/>
          <w:color w:val="0000FF"/>
          <w:sz w:val="28"/>
          <w:szCs w:val="28"/>
          <w:shd w:val="clear" w:color="auto" w:fill="FFFFFF"/>
        </w:rPr>
        <w:t>2294.66</w:t>
      </w:r>
      <w:r>
        <w:rPr>
          <w:rFonts w:hint="eastAsia" w:ascii="仿宋" w:hAnsi="仿宋" w:eastAsia="仿宋" w:cs="仿宋"/>
          <w:color w:val="333333"/>
          <w:sz w:val="28"/>
          <w:szCs w:val="28"/>
          <w:shd w:val="clear" w:color="auto" w:fill="FFFFFF"/>
        </w:rPr>
        <w:t>万元，主要用于局机关及下属事业单位的基本工资、津贴补贴、绩效工资、机关事业单位基本养老保险缴费、职业年金缴费、其他社会保障缴费、其他工资福利支出、住房公积金、其他对个人和家庭的补助支出等支出；日常公用支出</w:t>
      </w:r>
      <w:r>
        <w:rPr>
          <w:rFonts w:hint="eastAsia" w:ascii="仿宋" w:hAnsi="仿宋" w:eastAsia="仿宋" w:cs="仿宋"/>
          <w:color w:val="0000FF"/>
          <w:sz w:val="28"/>
          <w:szCs w:val="28"/>
          <w:shd w:val="clear" w:color="auto" w:fill="FFFFFF"/>
        </w:rPr>
        <w:t>151.38</w:t>
      </w:r>
      <w:r>
        <w:rPr>
          <w:rFonts w:hint="eastAsia" w:ascii="仿宋" w:hAnsi="仿宋" w:eastAsia="仿宋" w:cs="仿宋"/>
          <w:color w:val="333333"/>
          <w:sz w:val="28"/>
          <w:szCs w:val="28"/>
          <w:shd w:val="clear" w:color="auto" w:fill="FFFFFF"/>
        </w:rPr>
        <w:t>万元，主要为用于保障机关正常运转所需开支的办公费、水电费、差旅费、公务接待费、培训费、物业管理费、工会经费、福利费、、其他交通费用、办公设备购置等支出。</w:t>
      </w:r>
    </w:p>
    <w:p w14:paraId="6F6888A8">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2、项目支出</w:t>
      </w:r>
    </w:p>
    <w:p w14:paraId="09F706B3">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2024年度项目支出共计</w:t>
      </w:r>
      <w:r>
        <w:rPr>
          <w:rFonts w:hint="eastAsia" w:ascii="仿宋" w:hAnsi="仿宋" w:eastAsia="仿宋" w:cs="仿宋"/>
          <w:color w:val="0000FF"/>
          <w:sz w:val="28"/>
          <w:szCs w:val="28"/>
          <w:shd w:val="clear" w:color="auto" w:fill="FFFFFF"/>
        </w:rPr>
        <w:t>1596.61</w:t>
      </w:r>
      <w:r>
        <w:rPr>
          <w:rFonts w:hint="eastAsia" w:ascii="仿宋" w:hAnsi="仿宋" w:eastAsia="仿宋" w:cs="仿宋"/>
          <w:color w:val="333333"/>
          <w:sz w:val="28"/>
          <w:szCs w:val="28"/>
          <w:shd w:val="clear" w:color="auto" w:fill="FFFFFF"/>
        </w:rPr>
        <w:t>万元，主要用于水利建设项目、防汛抗旱工作经费支出、河道保洁支出、水利前期工作经费，河长制工作经费、洞庭湖转移支付等。</w:t>
      </w:r>
    </w:p>
    <w:p w14:paraId="7CE90554">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三、政府性基金预算支出情况</w:t>
      </w:r>
    </w:p>
    <w:p w14:paraId="40A25078">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2024年资阳区水利局无政府性基金预算。</w:t>
      </w:r>
    </w:p>
    <w:p w14:paraId="334CDFD0">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四、国有资本经营预算支出情况</w:t>
      </w:r>
    </w:p>
    <w:p w14:paraId="34F73248">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2024年资阳区水利局无国有资本经营预算。</w:t>
      </w:r>
    </w:p>
    <w:p w14:paraId="75D5E152">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五、社会保险基金预算支出情况</w:t>
      </w:r>
    </w:p>
    <w:p w14:paraId="4F247A6A">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2024年资阳区水利局无社会保险基金预算。</w:t>
      </w:r>
    </w:p>
    <w:p w14:paraId="7B50DD70">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六、部门（单位）整体支出绩效情况</w:t>
      </w:r>
    </w:p>
    <w:p w14:paraId="29CFBFB8">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一）防汛抗灾取得全面胜利。面对2017年以来最严重的汛情，区水利局党组带领7个技术组靠前指导，成功处置大小险情90余处，夺取了防汛抗灾的重大胜利。10个“朝天口”工程全部经受住了资江超保证水位洪水的“大考”，133.34公里堤防和36个中小水库安然无恙。我区黄旗示意、红旗示警的标识法、有奖查险报险以及“五子一线灯”等经验获省防指肯定并在全省推广。局荣获</w:t>
      </w:r>
      <w:r>
        <w:rPr>
          <w:rFonts w:hint="eastAsia" w:ascii="仿宋" w:hAnsi="仿宋" w:eastAsia="仿宋" w:cs="仿宋"/>
          <w:color w:val="333333"/>
          <w:sz w:val="28"/>
          <w:szCs w:val="28"/>
          <w:shd w:val="clear" w:color="auto" w:fill="FFFFFF"/>
        </w:rPr>
        <w:t>区</w:t>
      </w:r>
      <w:r>
        <w:rPr>
          <w:rFonts w:ascii="仿宋" w:hAnsi="仿宋" w:eastAsia="仿宋" w:cs="仿宋"/>
          <w:color w:val="333333"/>
          <w:sz w:val="28"/>
          <w:szCs w:val="28"/>
          <w:shd w:val="clear" w:color="auto" w:fill="FFFFFF"/>
        </w:rPr>
        <w:t>防汛先进集体称号，4名班子成员和多人荣获先进个人称号。</w:t>
      </w:r>
    </w:p>
    <w:p w14:paraId="734BDE0A">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二）河湖整治全面加强。及时分解2024年度河湖长制工作任务，跟踪督促落实落地。开展河湖项目排查整治和河湖垃圾清理专项行动，河湖生态环境得到改善。清理完成了黄家湖、南门湖、茈湖口河、长泊湖等疑似矮围和养殖鱼塘13处整治，重点抓好区域排污口等水环境水生态保护问题整改，中央生态环保督察全面过关。2024年全市总河长会议专题片披露存在的4个问题均已按照时间节点完成整改销号。2024年省水利厅共推送59处疑似问题图斑，均已完成复核，对属实需整改的问题，开展</w:t>
      </w:r>
      <w:r>
        <w:rPr>
          <w:rFonts w:hint="eastAsia" w:ascii="仿宋" w:hAnsi="仿宋" w:eastAsia="仿宋" w:cs="仿宋"/>
          <w:color w:val="333333"/>
          <w:sz w:val="28"/>
          <w:szCs w:val="28"/>
          <w:shd w:val="clear" w:color="auto" w:fill="FFFFFF"/>
        </w:rPr>
        <w:t>了</w:t>
      </w:r>
      <w:r>
        <w:rPr>
          <w:rFonts w:ascii="仿宋" w:hAnsi="仿宋" w:eastAsia="仿宋" w:cs="仿宋"/>
          <w:color w:val="333333"/>
          <w:sz w:val="28"/>
          <w:szCs w:val="28"/>
          <w:shd w:val="clear" w:color="auto" w:fill="FFFFFF"/>
        </w:rPr>
        <w:t>专项整治行动。</w:t>
      </w:r>
    </w:p>
    <w:p w14:paraId="605C4B4E">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 xml:space="preserve">   （三）项目储备量质提升。聚焦保障国家粮食安全、防洪安全、供水安全、生态安全，研究储备一批确有必要、效益明显、前期工作基础较好的项目。2024年完成国债项目包装2个，中央预算内项目包装14个。申报2025年中央预算内水利项目9个22.4767亿元；储备2025年水利项目7个，项目总投资47.7709亿元。</w:t>
      </w:r>
    </w:p>
    <w:p w14:paraId="53FB219B">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（四）水利建设有效推进。1.</w:t>
      </w:r>
      <w:r>
        <w:rPr>
          <w:rFonts w:hint="eastAsia" w:ascii="仿宋" w:hAnsi="仿宋" w:eastAsia="仿宋" w:cs="仿宋"/>
          <w:color w:val="333333"/>
          <w:sz w:val="28"/>
          <w:szCs w:val="28"/>
          <w:shd w:val="clear" w:color="auto" w:fill="FFFFFF"/>
        </w:rPr>
        <w:t>增发国债资金</w:t>
      </w:r>
      <w:r>
        <w:rPr>
          <w:rFonts w:ascii="仿宋" w:hAnsi="仿宋" w:eastAsia="仿宋" w:cs="仿宋"/>
          <w:color w:val="333333"/>
          <w:sz w:val="28"/>
          <w:szCs w:val="28"/>
          <w:shd w:val="clear" w:color="auto" w:fill="FFFFFF"/>
        </w:rPr>
        <w:t>1.165亿元</w:t>
      </w:r>
      <w:r>
        <w:rPr>
          <w:rFonts w:hint="eastAsia" w:ascii="仿宋" w:hAnsi="仿宋" w:eastAsia="仿宋" w:cs="仿宋"/>
          <w:color w:val="333333"/>
          <w:sz w:val="28"/>
          <w:szCs w:val="28"/>
          <w:shd w:val="clear" w:color="auto" w:fill="FFFFFF"/>
        </w:rPr>
        <w:t>，实施了迎丰水库除险加固工程、迎丰灌区续建配套与节水改造项目、甘溪港小河治理工程、资阳区中型水闸除险加固工程</w:t>
      </w:r>
      <w:r>
        <w:rPr>
          <w:rFonts w:ascii="仿宋" w:hAnsi="仿宋" w:eastAsia="仿宋" w:cs="仿宋"/>
          <w:color w:val="333333"/>
          <w:sz w:val="28"/>
          <w:szCs w:val="28"/>
          <w:shd w:val="clear" w:color="auto" w:fill="FFFFFF"/>
        </w:rPr>
        <w:t>4个国债项目</w:t>
      </w:r>
      <w:r>
        <w:rPr>
          <w:rFonts w:hint="eastAsia" w:ascii="仿宋" w:hAnsi="仿宋" w:eastAsia="仿宋" w:cs="仿宋"/>
          <w:color w:val="333333"/>
          <w:sz w:val="28"/>
          <w:szCs w:val="28"/>
          <w:shd w:val="clear" w:color="auto" w:fill="FFFFFF"/>
        </w:rPr>
        <w:t>，2024年底实现了</w:t>
      </w:r>
      <w:r>
        <w:rPr>
          <w:rFonts w:ascii="仿宋" w:hAnsi="仿宋" w:eastAsia="仿宋" w:cs="仿宋"/>
          <w:color w:val="333333"/>
          <w:sz w:val="28"/>
          <w:szCs w:val="28"/>
          <w:shd w:val="clear" w:color="auto" w:fill="FFFFFF"/>
        </w:rPr>
        <w:t>投资和资金拨付“双百”目标</w:t>
      </w:r>
      <w:r>
        <w:rPr>
          <w:rFonts w:hint="eastAsia" w:ascii="仿宋" w:hAnsi="仿宋" w:eastAsia="仿宋" w:cs="仿宋"/>
          <w:color w:val="333333"/>
          <w:sz w:val="28"/>
          <w:szCs w:val="28"/>
          <w:shd w:val="clear" w:color="auto" w:fill="FFFFFF"/>
        </w:rPr>
        <w:t>。</w:t>
      </w:r>
      <w:r>
        <w:rPr>
          <w:rFonts w:ascii="仿宋" w:hAnsi="仿宋" w:eastAsia="仿宋" w:cs="仿宋"/>
          <w:color w:val="333333"/>
          <w:sz w:val="28"/>
          <w:szCs w:val="28"/>
          <w:shd w:val="clear" w:color="auto" w:fill="FFFFFF"/>
        </w:rPr>
        <w:t>2.实施了小型农业水利设施建设奖补项目、资阳区民主垸蓄滞洪区工程维修养护项目、小型水库养护项目，农村饮水工程维修养护项目等群众可感可及的水利项目。3.张家塞乡大潭口电排出水渠应急处险工程及茈湖口镇直丰堤应急处险项目已启动建设，计划在2025年汛期前完成。4.有序推进投资1.5亿元的长春涝区二期建设，湖南省洞庭湖区重点垸堤防加固一期工程长春垸项目2024年秋冬春修投资1.5727亿元。</w:t>
      </w:r>
    </w:p>
    <w:p w14:paraId="0272291F">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五）行业管理成效显著。1.水资源管理规范有序。全区规模以上工业企业实现用水计量，计量率基本实现100%，水资源收费123.8万元。2.农饮水安全有效保障。督促各乡镇搞好水厂运行管理和水质检测，及时解决供水工程出现的各类问题，确保人民群众喝上放心水。全区农村自来水普及率为97.0%，高于全市平均水平4.5个百分点，规模化供水工程覆盖农村人口比例达到 81.69%，高于全市平均水平13个百分点。3.砂石开采取得突破。举全局之力，科学排班，栉风沐雨、早出晚归，认真履行了明朗采区旁站、量方、签单发航等采砂监管职责。</w:t>
      </w:r>
      <w:r>
        <w:rPr>
          <w:rFonts w:hint="eastAsia" w:ascii="仿宋" w:hAnsi="仿宋" w:eastAsia="仿宋" w:cs="仿宋"/>
          <w:color w:val="333333"/>
          <w:sz w:val="28"/>
          <w:szCs w:val="28"/>
          <w:shd w:val="clear" w:color="auto" w:fill="FFFFFF"/>
        </w:rPr>
        <w:t>扎实</w:t>
      </w:r>
      <w:r>
        <w:rPr>
          <w:rFonts w:ascii="仿宋" w:hAnsi="仿宋" w:eastAsia="仿宋" w:cs="仿宋"/>
          <w:color w:val="333333"/>
          <w:sz w:val="28"/>
          <w:szCs w:val="28"/>
          <w:shd w:val="clear" w:color="auto" w:fill="FFFFFF"/>
        </w:rPr>
        <w:t>开展</w:t>
      </w:r>
      <w:r>
        <w:rPr>
          <w:rFonts w:hint="eastAsia" w:ascii="仿宋" w:hAnsi="仿宋" w:eastAsia="仿宋" w:cs="仿宋"/>
          <w:color w:val="333333"/>
          <w:sz w:val="28"/>
          <w:szCs w:val="28"/>
          <w:shd w:val="clear" w:color="auto" w:fill="FFFFFF"/>
        </w:rPr>
        <w:t>了</w:t>
      </w:r>
      <w:r>
        <w:rPr>
          <w:rFonts w:ascii="仿宋" w:hAnsi="仿宋" w:eastAsia="仿宋" w:cs="仿宋"/>
          <w:color w:val="333333"/>
          <w:sz w:val="28"/>
          <w:szCs w:val="28"/>
          <w:shd w:val="clear" w:color="auto" w:fill="FFFFFF"/>
        </w:rPr>
        <w:t>河道采砂打非治违、非法上岸专项整治行动，</w:t>
      </w:r>
      <w:r>
        <w:rPr>
          <w:rFonts w:hint="eastAsia" w:ascii="仿宋" w:hAnsi="仿宋" w:eastAsia="仿宋" w:cs="仿宋"/>
          <w:color w:val="333333"/>
          <w:sz w:val="28"/>
          <w:szCs w:val="28"/>
          <w:shd w:val="clear" w:color="auto" w:fill="FFFFFF"/>
        </w:rPr>
        <w:t>维</w:t>
      </w:r>
      <w:r>
        <w:rPr>
          <w:rFonts w:ascii="仿宋" w:hAnsi="仿宋" w:eastAsia="仿宋" w:cs="仿宋"/>
          <w:color w:val="333333"/>
          <w:sz w:val="28"/>
          <w:szCs w:val="28"/>
          <w:shd w:val="clear" w:color="auto" w:fill="FFFFFF"/>
        </w:rPr>
        <w:t>护了河道生态和采砂秩序。2024年明朗采砂销售收入累计金额8.6亿元，位居全省前三，应缴资源费为4.45亿元</w:t>
      </w:r>
      <w:r>
        <w:rPr>
          <w:rFonts w:hint="eastAsia" w:ascii="仿宋" w:hAnsi="仿宋" w:eastAsia="仿宋" w:cs="仿宋"/>
          <w:color w:val="333333"/>
          <w:sz w:val="28"/>
          <w:szCs w:val="28"/>
          <w:shd w:val="clear" w:color="auto" w:fill="FFFFFF"/>
        </w:rPr>
        <w:t>，</w:t>
      </w:r>
      <w:r>
        <w:rPr>
          <w:rFonts w:ascii="仿宋" w:hAnsi="仿宋" w:eastAsia="仿宋" w:cs="仿宋"/>
          <w:color w:val="333333"/>
          <w:sz w:val="28"/>
          <w:szCs w:val="28"/>
          <w:shd w:val="clear" w:color="auto" w:fill="FFFFFF"/>
        </w:rPr>
        <w:t>已缴税收1.8亿元。为</w:t>
      </w:r>
      <w:r>
        <w:rPr>
          <w:rFonts w:hint="eastAsia" w:ascii="仿宋" w:hAnsi="仿宋" w:eastAsia="仿宋" w:cs="仿宋"/>
          <w:color w:val="333333"/>
          <w:sz w:val="28"/>
          <w:szCs w:val="28"/>
          <w:shd w:val="clear" w:color="auto" w:fill="FFFFFF"/>
        </w:rPr>
        <w:t>市、</w:t>
      </w:r>
      <w:r>
        <w:rPr>
          <w:rFonts w:ascii="仿宋" w:hAnsi="仿宋" w:eastAsia="仿宋" w:cs="仿宋"/>
          <w:color w:val="333333"/>
          <w:sz w:val="28"/>
          <w:szCs w:val="28"/>
          <w:shd w:val="clear" w:color="auto" w:fill="FFFFFF"/>
        </w:rPr>
        <w:t>区财力增长和项目建设做出了贡献</w:t>
      </w:r>
      <w:r>
        <w:rPr>
          <w:rFonts w:ascii="仿宋" w:hAnsi="仿宋" w:eastAsia="仿宋" w:cs="仿宋"/>
          <w:color w:val="333333"/>
          <w:sz w:val="28"/>
          <w:szCs w:val="28"/>
          <w:shd w:val="clear" w:color="auto" w:fill="FFFFFF"/>
          <w:lang w:val="zh-CN"/>
        </w:rPr>
        <w:t>。</w:t>
      </w:r>
      <w:r>
        <w:rPr>
          <w:rFonts w:ascii="仿宋" w:hAnsi="仿宋" w:eastAsia="仿宋" w:cs="仿宋"/>
          <w:color w:val="333333"/>
          <w:sz w:val="28"/>
          <w:szCs w:val="28"/>
          <w:shd w:val="clear" w:color="auto" w:fill="FFFFFF"/>
        </w:rPr>
        <w:t>5.移民事务稳步推进。直补资金239.52万元于2024年4月已全部发放到户，并按政策要求严格核查。申报并完成茈湖口镇祁青村整村推进项目，全力争取迎风桥镇黄花仑村整村推进项目落地。</w:t>
      </w:r>
    </w:p>
    <w:p w14:paraId="078460CA">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ascii="仿宋" w:hAnsi="仿宋" w:eastAsia="仿宋" w:cs="仿宋"/>
          <w:color w:val="333333"/>
          <w:sz w:val="28"/>
          <w:szCs w:val="28"/>
          <w:shd w:val="clear" w:color="auto" w:fill="FFFFFF"/>
        </w:rPr>
        <w:t>（六）自身建设不断增强。</w:t>
      </w:r>
      <w:r>
        <w:rPr>
          <w:rFonts w:hint="eastAsia" w:ascii="仿宋" w:hAnsi="仿宋" w:eastAsia="仿宋" w:cs="仿宋"/>
          <w:color w:val="333333"/>
          <w:sz w:val="28"/>
          <w:szCs w:val="28"/>
          <w:shd w:val="clear" w:color="auto" w:fill="FFFFFF"/>
        </w:rPr>
        <w:t>1.强化理论学习。坚定围绕习近平新时代中国特色社会主义思想组织开展形式多样的学习，充分发挥领导班子成员的示范带头作用，统筹好理论学习中心组学习会、主题党日活动，大力提升广大干部职工的理论素养。2</w:t>
      </w:r>
      <w:r>
        <w:rPr>
          <w:rFonts w:ascii="仿宋" w:hAnsi="仿宋" w:eastAsia="仿宋" w:cs="仿宋"/>
          <w:color w:val="333333"/>
          <w:sz w:val="28"/>
          <w:szCs w:val="28"/>
          <w:shd w:val="clear" w:color="auto" w:fill="FFFFFF"/>
        </w:rPr>
        <w:t>.干部作风不断</w:t>
      </w:r>
      <w:r>
        <w:rPr>
          <w:rFonts w:hint="eastAsia" w:ascii="仿宋" w:hAnsi="仿宋" w:eastAsia="仿宋" w:cs="仿宋"/>
          <w:color w:val="333333"/>
          <w:sz w:val="28"/>
          <w:szCs w:val="28"/>
          <w:shd w:val="clear" w:color="auto" w:fill="FFFFFF"/>
        </w:rPr>
        <w:t>强化</w:t>
      </w:r>
      <w:r>
        <w:rPr>
          <w:rFonts w:ascii="仿宋" w:hAnsi="仿宋" w:eastAsia="仿宋" w:cs="仿宋"/>
          <w:color w:val="333333"/>
          <w:sz w:val="28"/>
          <w:szCs w:val="28"/>
          <w:shd w:val="clear" w:color="auto" w:fill="FFFFFF"/>
        </w:rPr>
        <w:t>。严抓工作纪律，规范公务接待、公务用车、公务培训等；抓好考核工作，高标准完成人事工作。</w:t>
      </w:r>
      <w:r>
        <w:rPr>
          <w:rFonts w:hint="eastAsia" w:ascii="仿宋" w:hAnsi="仿宋" w:eastAsia="仿宋" w:cs="仿宋"/>
          <w:color w:val="333333"/>
          <w:sz w:val="28"/>
          <w:szCs w:val="28"/>
          <w:shd w:val="clear" w:color="auto" w:fill="FFFFFF"/>
        </w:rPr>
        <w:t>3</w:t>
      </w:r>
      <w:r>
        <w:rPr>
          <w:rFonts w:ascii="仿宋" w:hAnsi="仿宋" w:eastAsia="仿宋" w:cs="仿宋"/>
          <w:color w:val="333333"/>
          <w:sz w:val="28"/>
          <w:szCs w:val="28"/>
          <w:shd w:val="clear" w:color="auto" w:fill="FFFFFF"/>
        </w:rPr>
        <w:t>.财务管理</w:t>
      </w:r>
      <w:r>
        <w:rPr>
          <w:rFonts w:hint="eastAsia" w:ascii="仿宋" w:hAnsi="仿宋" w:eastAsia="仿宋" w:cs="仿宋"/>
          <w:color w:val="333333"/>
          <w:sz w:val="28"/>
          <w:szCs w:val="28"/>
          <w:shd w:val="clear" w:color="auto" w:fill="FFFFFF"/>
        </w:rPr>
        <w:t>持续完善</w:t>
      </w:r>
      <w:r>
        <w:rPr>
          <w:rFonts w:ascii="仿宋" w:hAnsi="仿宋" w:eastAsia="仿宋" w:cs="仿宋"/>
          <w:color w:val="333333"/>
          <w:sz w:val="28"/>
          <w:szCs w:val="28"/>
          <w:shd w:val="clear" w:color="auto" w:fill="FFFFFF"/>
        </w:rPr>
        <w:t>。积极对接省水利厅稽查组、区审计局，提升了资金拨付效率，完成了水利行业专项调查审计。</w:t>
      </w:r>
    </w:p>
    <w:p w14:paraId="19F9010B">
      <w:pPr>
        <w:pStyle w:val="6"/>
        <w:widowControl/>
        <w:shd w:val="clear" w:color="auto" w:fill="FFFFFF"/>
        <w:spacing w:beforeAutospacing="0" w:afterAutospacing="0" w:line="520" w:lineRule="exact"/>
        <w:ind w:firstLine="42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七、存在的问题和困难</w:t>
      </w:r>
    </w:p>
    <w:p w14:paraId="643D08D4">
      <w:pPr>
        <w:spacing w:line="600" w:lineRule="exact"/>
        <w:ind w:firstLine="560" w:firstLineChars="200"/>
        <w:rPr>
          <w:rFonts w:ascii="仿宋" w:hAnsi="仿宋" w:eastAsia="仿宋" w:cs="仿宋"/>
          <w:color w:val="333333"/>
          <w:kern w:val="0"/>
          <w:sz w:val="28"/>
          <w:szCs w:val="28"/>
          <w:shd w:val="clear" w:color="auto" w:fill="FFFFFF"/>
        </w:rPr>
      </w:pPr>
      <w:r>
        <w:rPr>
          <w:rFonts w:hint="eastAsia" w:ascii="仿宋" w:hAnsi="仿宋" w:eastAsia="仿宋" w:cs="仿宋"/>
          <w:color w:val="333333"/>
          <w:kern w:val="0"/>
          <w:sz w:val="28"/>
          <w:szCs w:val="28"/>
          <w:shd w:val="clear" w:color="auto" w:fill="FFFFFF"/>
          <w:lang w:val="en-US" w:eastAsia="zh-CN"/>
        </w:rPr>
        <w:t>1.</w:t>
      </w:r>
      <w:r>
        <w:rPr>
          <w:rFonts w:hint="eastAsia" w:ascii="仿宋" w:hAnsi="仿宋" w:eastAsia="仿宋" w:cs="仿宋"/>
          <w:color w:val="333333"/>
          <w:kern w:val="0"/>
          <w:sz w:val="28"/>
          <w:szCs w:val="28"/>
          <w:shd w:val="clear" w:color="auto" w:fill="FFFFFF"/>
        </w:rPr>
        <w:t>绩效目标设置不够科学合理。在编制预算时，绩效目标设定过于笼统模糊，缺乏量化指标和具体标准，难以准确衡量实际成效。有些目标设定过高或过低，与部门职能和实际工作脱节，导致考评结果</w:t>
      </w:r>
      <w:r>
        <w:rPr>
          <w:rFonts w:hint="eastAsia" w:ascii="仿宋" w:hAnsi="仿宋" w:eastAsia="仿宋" w:cs="仿宋"/>
          <w:color w:val="333333"/>
          <w:kern w:val="0"/>
          <w:sz w:val="28"/>
          <w:szCs w:val="28"/>
          <w:shd w:val="clear" w:color="auto" w:fill="FFFFFF"/>
          <w:lang w:eastAsia="zh-CN"/>
        </w:rPr>
        <w:t>不能真实反映工作成效</w:t>
      </w:r>
      <w:r>
        <w:rPr>
          <w:rFonts w:hint="eastAsia" w:ascii="仿宋" w:hAnsi="仿宋" w:eastAsia="仿宋" w:cs="仿宋"/>
          <w:color w:val="333333"/>
          <w:kern w:val="0"/>
          <w:sz w:val="28"/>
          <w:szCs w:val="28"/>
          <w:shd w:val="clear" w:color="auto" w:fill="FFFFFF"/>
        </w:rPr>
        <w:t>。</w:t>
      </w:r>
    </w:p>
    <w:p w14:paraId="562E0088">
      <w:pPr>
        <w:pStyle w:val="6"/>
        <w:widowControl/>
        <w:spacing w:beforeAutospacing="0" w:afterAutospacing="0" w:line="520" w:lineRule="exact"/>
        <w:ind w:firstLine="420"/>
        <w:jc w:val="both"/>
        <w:rPr>
          <w:rFonts w:hint="eastAsia" w:ascii="仿宋" w:hAnsi="仿宋" w:eastAsia="仿宋" w:cs="仿宋"/>
          <w:color w:val="333333"/>
          <w:sz w:val="28"/>
          <w:szCs w:val="28"/>
          <w:shd w:val="clear" w:color="auto" w:fill="FFFFFF"/>
          <w:lang w:eastAsia="zh-CN"/>
        </w:rPr>
      </w:pPr>
      <w:r>
        <w:rPr>
          <w:rFonts w:hint="eastAsia" w:ascii="仿宋" w:hAnsi="仿宋" w:eastAsia="仿宋" w:cs="仿宋"/>
          <w:color w:val="333333"/>
          <w:sz w:val="28"/>
          <w:szCs w:val="28"/>
          <w:shd w:val="clear" w:color="auto" w:fill="FFFFFF"/>
          <w:lang w:val="en-US" w:eastAsia="zh-CN"/>
        </w:rPr>
        <w:t>2.</w:t>
      </w:r>
      <w:r>
        <w:rPr>
          <w:rFonts w:hint="eastAsia" w:ascii="仿宋" w:hAnsi="仿宋" w:eastAsia="仿宋" w:cs="仿宋"/>
          <w:color w:val="333333"/>
          <w:sz w:val="28"/>
          <w:szCs w:val="28"/>
          <w:shd w:val="clear" w:color="auto" w:fill="FFFFFF"/>
        </w:rPr>
        <w:t>由于区财政预算现在重点保人员经费，对专项统一采取每年要求递减，因此必然导致刚性专项支出经费的不足</w:t>
      </w:r>
      <w:r>
        <w:rPr>
          <w:rFonts w:hint="eastAsia" w:ascii="仿宋" w:hAnsi="仿宋" w:eastAsia="仿宋" w:cs="仿宋"/>
          <w:color w:val="333333"/>
          <w:sz w:val="28"/>
          <w:szCs w:val="28"/>
          <w:shd w:val="clear" w:color="auto" w:fill="FFFFFF"/>
          <w:lang w:eastAsia="zh-CN"/>
        </w:rPr>
        <w:t>。</w:t>
      </w:r>
    </w:p>
    <w:p w14:paraId="34DA7F4C">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八、改进措施和有关建议</w:t>
      </w:r>
    </w:p>
    <w:p w14:paraId="3C840DE5">
      <w:pPr>
        <w:pStyle w:val="6"/>
        <w:widowControl/>
        <w:spacing w:beforeAutospacing="0" w:afterAutospacing="0" w:line="520" w:lineRule="exact"/>
        <w:ind w:firstLine="420"/>
        <w:jc w:val="both"/>
        <w:rPr>
          <w:rFonts w:hint="eastAsia" w:ascii="仿宋" w:hAnsi="仿宋" w:eastAsia="仿宋" w:cs="仿宋"/>
          <w:sz w:val="28"/>
          <w:szCs w:val="28"/>
        </w:rPr>
      </w:pPr>
      <w:r>
        <w:rPr>
          <w:rFonts w:hint="eastAsia" w:ascii="仿宋" w:hAnsi="仿宋" w:eastAsia="仿宋" w:cs="仿宋"/>
          <w:sz w:val="28"/>
          <w:szCs w:val="28"/>
        </w:rPr>
        <w:t>1.加强对部门的培训和宣传，明确绩效目标的重要性，</w:t>
      </w:r>
      <w:bookmarkStart w:id="0" w:name="_GoBack"/>
      <w:bookmarkEnd w:id="0"/>
      <w:r>
        <w:rPr>
          <w:rFonts w:hint="eastAsia" w:ascii="仿宋" w:hAnsi="仿宋" w:eastAsia="仿宋" w:cs="仿宋"/>
          <w:sz w:val="28"/>
          <w:szCs w:val="28"/>
        </w:rPr>
        <w:t>提高部门对绩效管理的重视程度，避免将绩效目标编制视为形式主义。</w:t>
      </w:r>
    </w:p>
    <w:p w14:paraId="2DEBB78A">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color w:val="333333"/>
          <w:sz w:val="28"/>
          <w:szCs w:val="28"/>
          <w:shd w:val="clear" w:color="auto" w:fill="FFFFFF"/>
          <w:lang w:val="en-US" w:eastAsia="zh-CN"/>
        </w:rPr>
        <w:t>2.</w:t>
      </w:r>
      <w:r>
        <w:rPr>
          <w:rFonts w:hint="eastAsia" w:ascii="仿宋" w:hAnsi="仿宋" w:eastAsia="仿宋" w:cs="仿宋"/>
          <w:color w:val="333333"/>
          <w:sz w:val="28"/>
          <w:szCs w:val="28"/>
          <w:shd w:val="clear" w:color="auto" w:fill="FFFFFF"/>
        </w:rPr>
        <w:t>建议财政</w:t>
      </w:r>
      <w:r>
        <w:rPr>
          <w:rFonts w:hint="eastAsia" w:ascii="仿宋" w:hAnsi="仿宋" w:eastAsia="仿宋" w:cs="仿宋"/>
          <w:sz w:val="28"/>
          <w:szCs w:val="28"/>
        </w:rPr>
        <w:t>根据实际情况，适当调整专项经费预算方案，保证刚性专项经费的支出。</w:t>
      </w:r>
    </w:p>
    <w:p w14:paraId="733FD435">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九、部门整体支出绩效自评结果拟应用和公开情况</w:t>
      </w:r>
    </w:p>
    <w:p w14:paraId="50AE87AE">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(一)绩效自评结果拟应用</w:t>
      </w:r>
    </w:p>
    <w:p w14:paraId="0B400471">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62931BC5">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(二)绩效自评结果公开情况</w:t>
      </w:r>
    </w:p>
    <w:p w14:paraId="7BF686C6">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此次绩效自评报告将在资阳区政府官网上予以公布，向社会公开，广泛接受群众监督。</w:t>
      </w:r>
    </w:p>
    <w:p w14:paraId="7DC6BC76">
      <w:pPr>
        <w:pStyle w:val="6"/>
        <w:widowControl/>
        <w:spacing w:beforeAutospacing="0" w:afterAutospacing="0" w:line="520" w:lineRule="exact"/>
        <w:ind w:firstLine="420"/>
        <w:jc w:val="both"/>
        <w:rPr>
          <w:rFonts w:ascii="仿宋" w:hAnsi="仿宋" w:eastAsia="仿宋" w:cs="仿宋"/>
          <w:sz w:val="28"/>
          <w:szCs w:val="28"/>
        </w:rPr>
      </w:pPr>
      <w:r>
        <w:rPr>
          <w:rFonts w:hint="eastAsia" w:ascii="仿宋" w:hAnsi="仿宋" w:eastAsia="仿宋" w:cs="仿宋"/>
          <w:sz w:val="28"/>
          <w:szCs w:val="28"/>
        </w:rPr>
        <w:t>其他需要说明的情况无。</w:t>
      </w:r>
    </w:p>
    <w:p w14:paraId="23EE488C">
      <w:pPr>
        <w:pStyle w:val="6"/>
        <w:widowControl/>
        <w:spacing w:beforeAutospacing="0" w:afterAutospacing="0" w:line="520" w:lineRule="exact"/>
        <w:jc w:val="both"/>
        <w:rPr>
          <w:rFonts w:ascii="仿宋" w:hAnsi="仿宋" w:eastAsia="仿宋" w:cs="仿宋"/>
          <w:sz w:val="28"/>
          <w:szCs w:val="28"/>
        </w:rPr>
      </w:pPr>
    </w:p>
    <w:p w14:paraId="07B6B1ED">
      <w:pPr>
        <w:pStyle w:val="6"/>
        <w:widowControl/>
        <w:spacing w:beforeAutospacing="0" w:afterAutospacing="0" w:line="520" w:lineRule="exact"/>
        <w:ind w:firstLine="420"/>
        <w:jc w:val="right"/>
        <w:rPr>
          <w:rFonts w:ascii="仿宋" w:hAnsi="仿宋" w:eastAsia="仿宋" w:cs="仿宋"/>
          <w:sz w:val="28"/>
          <w:szCs w:val="28"/>
        </w:rPr>
      </w:pPr>
      <w:r>
        <w:rPr>
          <w:rFonts w:hint="eastAsia" w:ascii="仿宋" w:hAnsi="仿宋" w:eastAsia="仿宋" w:cs="仿宋"/>
          <w:sz w:val="28"/>
          <w:szCs w:val="28"/>
        </w:rPr>
        <w:t>益阳市资阳区水利局</w:t>
      </w:r>
    </w:p>
    <w:p w14:paraId="346D70C4">
      <w:pPr>
        <w:pStyle w:val="6"/>
        <w:widowControl/>
        <w:spacing w:beforeAutospacing="0" w:afterAutospacing="0" w:line="520" w:lineRule="exact"/>
        <w:ind w:firstLine="420"/>
        <w:jc w:val="right"/>
        <w:rPr>
          <w:rFonts w:ascii="仿宋" w:hAnsi="仿宋" w:eastAsia="仿宋" w:cs="仿宋"/>
          <w:sz w:val="28"/>
          <w:szCs w:val="28"/>
        </w:rPr>
      </w:pPr>
      <w:r>
        <w:rPr>
          <w:rFonts w:hint="eastAsia" w:ascii="仿宋" w:hAnsi="仿宋" w:eastAsia="仿宋" w:cs="仿宋"/>
          <w:sz w:val="28"/>
          <w:szCs w:val="28"/>
        </w:rPr>
        <w:t>2025年4月15日</w:t>
      </w:r>
    </w:p>
    <w:p w14:paraId="2633DC57">
      <w:pPr>
        <w:pStyle w:val="6"/>
        <w:widowControl/>
        <w:spacing w:beforeAutospacing="0" w:afterAutospacing="0" w:line="520" w:lineRule="exact"/>
        <w:ind w:firstLine="420"/>
        <w:jc w:val="both"/>
        <w:rPr>
          <w:rFonts w:ascii="仿宋" w:hAnsi="仿宋" w:eastAsia="仿宋" w:cs="仿宋"/>
          <w:sz w:val="28"/>
          <w:szCs w:val="28"/>
        </w:rPr>
      </w:pPr>
    </w:p>
    <w:p w14:paraId="3FE66341">
      <w:pPr>
        <w:widowControl/>
        <w:spacing w:line="520" w:lineRule="exact"/>
        <w:jc w:val="left"/>
        <w:rPr>
          <w:rFonts w:eastAsia="黑体"/>
          <w:sz w:val="32"/>
          <w:szCs w:val="32"/>
        </w:rPr>
      </w:pPr>
    </w:p>
    <w:p w14:paraId="12D1D179">
      <w:pPr>
        <w:widowControl/>
        <w:spacing w:line="520" w:lineRule="exact"/>
        <w:jc w:val="left"/>
        <w:rPr>
          <w:rFonts w:eastAsia="黑体"/>
          <w:sz w:val="32"/>
          <w:szCs w:val="32"/>
        </w:rPr>
      </w:pPr>
    </w:p>
    <w:p w14:paraId="5DEE9D98">
      <w:pPr>
        <w:widowControl/>
        <w:spacing w:line="520" w:lineRule="exact"/>
        <w:jc w:val="left"/>
        <w:rPr>
          <w:rFonts w:eastAsia="黑体"/>
          <w:sz w:val="32"/>
          <w:szCs w:val="32"/>
        </w:rPr>
      </w:pPr>
    </w:p>
    <w:p w14:paraId="0B5A5CE9">
      <w:pPr>
        <w:widowControl/>
        <w:spacing w:line="520" w:lineRule="exact"/>
        <w:jc w:val="left"/>
        <w:rPr>
          <w:rFonts w:eastAsia="黑体"/>
          <w:sz w:val="32"/>
          <w:szCs w:val="32"/>
        </w:rPr>
      </w:pPr>
    </w:p>
    <w:p w14:paraId="67627EC0">
      <w:pPr>
        <w:widowControl/>
        <w:spacing w:line="520" w:lineRule="exact"/>
        <w:jc w:val="left"/>
        <w:rPr>
          <w:rFonts w:eastAsia="黑体"/>
          <w:sz w:val="32"/>
          <w:szCs w:val="32"/>
        </w:rPr>
      </w:pPr>
    </w:p>
    <w:p w14:paraId="60D8496C">
      <w:pPr>
        <w:widowControl/>
        <w:spacing w:line="520" w:lineRule="exact"/>
        <w:jc w:val="left"/>
        <w:rPr>
          <w:rFonts w:ascii="Times New Roman" w:hAnsi="Times New Roman" w:eastAsia="黑体"/>
          <w:sz w:val="32"/>
          <w:szCs w:val="32"/>
        </w:rPr>
      </w:pPr>
    </w:p>
    <w:p w14:paraId="2424980E">
      <w:pPr>
        <w:widowControl/>
        <w:spacing w:line="520" w:lineRule="exact"/>
        <w:jc w:val="left"/>
        <w:rPr>
          <w:rFonts w:ascii="Times New Roman" w:hAnsi="Times New Roman" w:eastAsia="黑体"/>
          <w:sz w:val="32"/>
          <w:szCs w:val="32"/>
        </w:rPr>
      </w:pPr>
    </w:p>
    <w:p w14:paraId="0A607743">
      <w:pPr>
        <w:widowControl/>
        <w:spacing w:line="520" w:lineRule="exact"/>
        <w:jc w:val="left"/>
        <w:rPr>
          <w:rFonts w:ascii="Times New Roman" w:hAnsi="Times New Roman" w:eastAsia="黑体"/>
          <w:sz w:val="32"/>
          <w:szCs w:val="32"/>
        </w:rPr>
      </w:pPr>
    </w:p>
    <w:p w14:paraId="28D7B3E7">
      <w:pPr>
        <w:widowControl/>
        <w:spacing w:line="520" w:lineRule="exact"/>
        <w:jc w:val="left"/>
        <w:rPr>
          <w:rFonts w:ascii="Times New Roman" w:hAnsi="Times New Roman" w:eastAsia="黑体"/>
          <w:sz w:val="32"/>
          <w:szCs w:val="32"/>
        </w:rPr>
      </w:pPr>
    </w:p>
    <w:p w14:paraId="6DD7F7CF">
      <w:pPr>
        <w:spacing w:line="520" w:lineRule="exact"/>
        <w:rPr>
          <w:rFonts w:ascii="宋体" w:hAnsi="宋体" w:cs="宋体"/>
          <w:sz w:val="30"/>
          <w:szCs w:val="30"/>
        </w:rPr>
      </w:pPr>
    </w:p>
    <w:sectPr>
      <w:pgSz w:w="11906" w:h="16838"/>
      <w:pgMar w:top="1417" w:right="1757" w:bottom="1417" w:left="175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jZjRiNmM1ZDlhZTZlMTQ4ZmQ2MDE3NjVlY2IzN2YifQ=="/>
  </w:docVars>
  <w:rsids>
    <w:rsidRoot w:val="0058593D"/>
    <w:rsid w:val="00024CE5"/>
    <w:rsid w:val="000262D5"/>
    <w:rsid w:val="000541FB"/>
    <w:rsid w:val="00073B47"/>
    <w:rsid w:val="000902CC"/>
    <w:rsid w:val="000D4009"/>
    <w:rsid w:val="000F304C"/>
    <w:rsid w:val="00106175"/>
    <w:rsid w:val="00110787"/>
    <w:rsid w:val="00137452"/>
    <w:rsid w:val="00141EAE"/>
    <w:rsid w:val="00164EEA"/>
    <w:rsid w:val="001A7999"/>
    <w:rsid w:val="001D50AB"/>
    <w:rsid w:val="002146AA"/>
    <w:rsid w:val="00224011"/>
    <w:rsid w:val="0025055F"/>
    <w:rsid w:val="00262142"/>
    <w:rsid w:val="00277007"/>
    <w:rsid w:val="002D3B8A"/>
    <w:rsid w:val="002E2BFF"/>
    <w:rsid w:val="002F178C"/>
    <w:rsid w:val="002F3485"/>
    <w:rsid w:val="003048AA"/>
    <w:rsid w:val="00335561"/>
    <w:rsid w:val="00352F30"/>
    <w:rsid w:val="00383EC6"/>
    <w:rsid w:val="0039272E"/>
    <w:rsid w:val="00395371"/>
    <w:rsid w:val="003B3646"/>
    <w:rsid w:val="003C46F5"/>
    <w:rsid w:val="003D5E9B"/>
    <w:rsid w:val="004039C8"/>
    <w:rsid w:val="0041502A"/>
    <w:rsid w:val="00441E8E"/>
    <w:rsid w:val="004621A7"/>
    <w:rsid w:val="004704F2"/>
    <w:rsid w:val="0049052C"/>
    <w:rsid w:val="00493301"/>
    <w:rsid w:val="004A146B"/>
    <w:rsid w:val="0050658B"/>
    <w:rsid w:val="00512D13"/>
    <w:rsid w:val="0058593D"/>
    <w:rsid w:val="00586D12"/>
    <w:rsid w:val="00592A94"/>
    <w:rsid w:val="005F2DC0"/>
    <w:rsid w:val="005F7141"/>
    <w:rsid w:val="0063300D"/>
    <w:rsid w:val="0065272C"/>
    <w:rsid w:val="00682898"/>
    <w:rsid w:val="00684ECE"/>
    <w:rsid w:val="006B4C9A"/>
    <w:rsid w:val="006D265F"/>
    <w:rsid w:val="006E308E"/>
    <w:rsid w:val="006F04CB"/>
    <w:rsid w:val="007051FD"/>
    <w:rsid w:val="0071599B"/>
    <w:rsid w:val="00722E95"/>
    <w:rsid w:val="0074316D"/>
    <w:rsid w:val="00771C31"/>
    <w:rsid w:val="00772549"/>
    <w:rsid w:val="007846B8"/>
    <w:rsid w:val="0078797E"/>
    <w:rsid w:val="007919DC"/>
    <w:rsid w:val="007A153C"/>
    <w:rsid w:val="007C1C23"/>
    <w:rsid w:val="007D0C12"/>
    <w:rsid w:val="007D770E"/>
    <w:rsid w:val="007F4473"/>
    <w:rsid w:val="008168A1"/>
    <w:rsid w:val="008216FE"/>
    <w:rsid w:val="008346B2"/>
    <w:rsid w:val="00841CD1"/>
    <w:rsid w:val="00846D2A"/>
    <w:rsid w:val="00863925"/>
    <w:rsid w:val="008C7489"/>
    <w:rsid w:val="008D0353"/>
    <w:rsid w:val="00900C63"/>
    <w:rsid w:val="009243D9"/>
    <w:rsid w:val="00931E9B"/>
    <w:rsid w:val="009918E4"/>
    <w:rsid w:val="009A5243"/>
    <w:rsid w:val="00A20089"/>
    <w:rsid w:val="00A3113B"/>
    <w:rsid w:val="00A5654D"/>
    <w:rsid w:val="00A7110E"/>
    <w:rsid w:val="00A74BB7"/>
    <w:rsid w:val="00A74BC3"/>
    <w:rsid w:val="00A8583C"/>
    <w:rsid w:val="00AA3E4E"/>
    <w:rsid w:val="00AB28FF"/>
    <w:rsid w:val="00B00D1A"/>
    <w:rsid w:val="00B119A0"/>
    <w:rsid w:val="00B43F42"/>
    <w:rsid w:val="00B701FA"/>
    <w:rsid w:val="00B83339"/>
    <w:rsid w:val="00BC7567"/>
    <w:rsid w:val="00BF04F8"/>
    <w:rsid w:val="00C2071C"/>
    <w:rsid w:val="00C5211A"/>
    <w:rsid w:val="00CD034D"/>
    <w:rsid w:val="00CF05D9"/>
    <w:rsid w:val="00D044DF"/>
    <w:rsid w:val="00D1048C"/>
    <w:rsid w:val="00D15D99"/>
    <w:rsid w:val="00D17CF6"/>
    <w:rsid w:val="00D216B7"/>
    <w:rsid w:val="00D26D1F"/>
    <w:rsid w:val="00D61492"/>
    <w:rsid w:val="00DC2C8B"/>
    <w:rsid w:val="00DC7FDA"/>
    <w:rsid w:val="00E21F8F"/>
    <w:rsid w:val="00EC1377"/>
    <w:rsid w:val="00EC1474"/>
    <w:rsid w:val="00EC3C67"/>
    <w:rsid w:val="00EF26A8"/>
    <w:rsid w:val="00F15DD4"/>
    <w:rsid w:val="00F17D18"/>
    <w:rsid w:val="00F47B60"/>
    <w:rsid w:val="00F47DF7"/>
    <w:rsid w:val="00F56CFD"/>
    <w:rsid w:val="00F7375D"/>
    <w:rsid w:val="03092543"/>
    <w:rsid w:val="030F2294"/>
    <w:rsid w:val="04CE12C7"/>
    <w:rsid w:val="05380ED5"/>
    <w:rsid w:val="05DC6E9A"/>
    <w:rsid w:val="075D0DEF"/>
    <w:rsid w:val="07AB775D"/>
    <w:rsid w:val="085A3F7E"/>
    <w:rsid w:val="08612BCD"/>
    <w:rsid w:val="091B278A"/>
    <w:rsid w:val="09572DA4"/>
    <w:rsid w:val="0A270325"/>
    <w:rsid w:val="0B3A00C5"/>
    <w:rsid w:val="0B9E249C"/>
    <w:rsid w:val="0CAC477F"/>
    <w:rsid w:val="0D2A1EF5"/>
    <w:rsid w:val="0D9C5B7C"/>
    <w:rsid w:val="0F9242C9"/>
    <w:rsid w:val="0FD03570"/>
    <w:rsid w:val="10466D90"/>
    <w:rsid w:val="10E82067"/>
    <w:rsid w:val="125C4979"/>
    <w:rsid w:val="151353C3"/>
    <w:rsid w:val="16FD6B0E"/>
    <w:rsid w:val="182A5B03"/>
    <w:rsid w:val="1A4334AB"/>
    <w:rsid w:val="1A693E78"/>
    <w:rsid w:val="1BC87347"/>
    <w:rsid w:val="1C023255"/>
    <w:rsid w:val="1C3F7586"/>
    <w:rsid w:val="1C931680"/>
    <w:rsid w:val="1CB601A3"/>
    <w:rsid w:val="1D787E7D"/>
    <w:rsid w:val="1D7C5C1C"/>
    <w:rsid w:val="1D9F5A1B"/>
    <w:rsid w:val="1DFF5AF9"/>
    <w:rsid w:val="1F336A59"/>
    <w:rsid w:val="1FE76641"/>
    <w:rsid w:val="201D27B1"/>
    <w:rsid w:val="203E1CA7"/>
    <w:rsid w:val="205066B1"/>
    <w:rsid w:val="21CE0C4C"/>
    <w:rsid w:val="220A23E4"/>
    <w:rsid w:val="22BE0FA4"/>
    <w:rsid w:val="235002CB"/>
    <w:rsid w:val="24167231"/>
    <w:rsid w:val="24A67C53"/>
    <w:rsid w:val="25737224"/>
    <w:rsid w:val="259809DB"/>
    <w:rsid w:val="26160AAB"/>
    <w:rsid w:val="27105C02"/>
    <w:rsid w:val="2737038E"/>
    <w:rsid w:val="27640407"/>
    <w:rsid w:val="28736638"/>
    <w:rsid w:val="28FE4D07"/>
    <w:rsid w:val="29A21154"/>
    <w:rsid w:val="29F529DC"/>
    <w:rsid w:val="2A576A52"/>
    <w:rsid w:val="2C6A0AE4"/>
    <w:rsid w:val="2D6B3688"/>
    <w:rsid w:val="2E8F1974"/>
    <w:rsid w:val="2EA8720D"/>
    <w:rsid w:val="2F2F7EDA"/>
    <w:rsid w:val="2F652B4D"/>
    <w:rsid w:val="2FED29FE"/>
    <w:rsid w:val="30E42652"/>
    <w:rsid w:val="3191193B"/>
    <w:rsid w:val="32BF07F6"/>
    <w:rsid w:val="32EE0CB4"/>
    <w:rsid w:val="33784CD4"/>
    <w:rsid w:val="34CF0EDF"/>
    <w:rsid w:val="351245EB"/>
    <w:rsid w:val="360549C6"/>
    <w:rsid w:val="368D6CE8"/>
    <w:rsid w:val="37B961A9"/>
    <w:rsid w:val="381E1BB6"/>
    <w:rsid w:val="38995E18"/>
    <w:rsid w:val="39946573"/>
    <w:rsid w:val="3A45540A"/>
    <w:rsid w:val="3E86230F"/>
    <w:rsid w:val="3EBC63CE"/>
    <w:rsid w:val="40322DDA"/>
    <w:rsid w:val="41373B09"/>
    <w:rsid w:val="41715AAE"/>
    <w:rsid w:val="41E13DAF"/>
    <w:rsid w:val="43315AC9"/>
    <w:rsid w:val="43E60D2D"/>
    <w:rsid w:val="43E80F94"/>
    <w:rsid w:val="44BF2A8D"/>
    <w:rsid w:val="4531444E"/>
    <w:rsid w:val="458077E7"/>
    <w:rsid w:val="4694640A"/>
    <w:rsid w:val="46F45967"/>
    <w:rsid w:val="47A95057"/>
    <w:rsid w:val="47EF335F"/>
    <w:rsid w:val="483E6094"/>
    <w:rsid w:val="492D06A9"/>
    <w:rsid w:val="496769A8"/>
    <w:rsid w:val="49923178"/>
    <w:rsid w:val="49CE0DBE"/>
    <w:rsid w:val="4A5C2802"/>
    <w:rsid w:val="4B201A81"/>
    <w:rsid w:val="4B636E49"/>
    <w:rsid w:val="4B7212CC"/>
    <w:rsid w:val="4B75001F"/>
    <w:rsid w:val="4B77309F"/>
    <w:rsid w:val="4E895FEC"/>
    <w:rsid w:val="4F4A671A"/>
    <w:rsid w:val="53B12D39"/>
    <w:rsid w:val="54722583"/>
    <w:rsid w:val="55010852"/>
    <w:rsid w:val="55E67E20"/>
    <w:rsid w:val="5689497F"/>
    <w:rsid w:val="56AA6B86"/>
    <w:rsid w:val="56F95A5B"/>
    <w:rsid w:val="57420052"/>
    <w:rsid w:val="5875199A"/>
    <w:rsid w:val="5A5E7D06"/>
    <w:rsid w:val="5B36691F"/>
    <w:rsid w:val="5B9E1D64"/>
    <w:rsid w:val="5BED3C02"/>
    <w:rsid w:val="5BF03802"/>
    <w:rsid w:val="5C6A5252"/>
    <w:rsid w:val="5D4A5ECF"/>
    <w:rsid w:val="5DC037E5"/>
    <w:rsid w:val="5DF11F5E"/>
    <w:rsid w:val="5E1D07CE"/>
    <w:rsid w:val="5E1D4A3F"/>
    <w:rsid w:val="5FD14D4D"/>
    <w:rsid w:val="60EA08F7"/>
    <w:rsid w:val="61351EF3"/>
    <w:rsid w:val="619356D7"/>
    <w:rsid w:val="626C657C"/>
    <w:rsid w:val="632C1BA9"/>
    <w:rsid w:val="64E50155"/>
    <w:rsid w:val="667364DD"/>
    <w:rsid w:val="66811B16"/>
    <w:rsid w:val="674B6EA1"/>
    <w:rsid w:val="6A41193D"/>
    <w:rsid w:val="6A767EE1"/>
    <w:rsid w:val="6B8658C5"/>
    <w:rsid w:val="6BD74A8A"/>
    <w:rsid w:val="6D9A41A6"/>
    <w:rsid w:val="6E12550B"/>
    <w:rsid w:val="6F4568D4"/>
    <w:rsid w:val="70AF0E26"/>
    <w:rsid w:val="71333A0D"/>
    <w:rsid w:val="72105B74"/>
    <w:rsid w:val="73007082"/>
    <w:rsid w:val="735E7467"/>
    <w:rsid w:val="749C1E74"/>
    <w:rsid w:val="74F82200"/>
    <w:rsid w:val="756E10E2"/>
    <w:rsid w:val="75BE5E80"/>
    <w:rsid w:val="79D05145"/>
    <w:rsid w:val="79EF0DB4"/>
    <w:rsid w:val="7A06306F"/>
    <w:rsid w:val="7A425565"/>
    <w:rsid w:val="7A97500D"/>
    <w:rsid w:val="7ADF4AD0"/>
    <w:rsid w:val="7DAA72C5"/>
    <w:rsid w:val="7DE9523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autoRedefine/>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table of figures"/>
    <w:basedOn w:val="1"/>
    <w:next w:val="1"/>
    <w:qFormat/>
    <w:uiPriority w:val="0"/>
    <w:pPr>
      <w:widowControl/>
      <w:spacing w:line="360" w:lineRule="auto"/>
      <w:ind w:firstLine="3640"/>
    </w:pPr>
  </w:style>
  <w:style w:type="paragraph" w:styleId="6">
    <w:name w:val="Normal (Web)"/>
    <w:basedOn w:val="1"/>
    <w:semiHidden/>
    <w:unhideWhenUsed/>
    <w:qFormat/>
    <w:uiPriority w:val="99"/>
    <w:pPr>
      <w:spacing w:beforeAutospacing="1" w:afterAutospacing="1"/>
      <w:jc w:val="left"/>
    </w:pPr>
    <w:rPr>
      <w:kern w:val="0"/>
      <w:sz w:val="24"/>
    </w:rPr>
  </w:style>
  <w:style w:type="paragraph" w:customStyle="1" w:styleId="9">
    <w:name w:val="BodyText1I2"/>
    <w:basedOn w:val="10"/>
    <w:qFormat/>
    <w:uiPriority w:val="0"/>
    <w:pPr>
      <w:ind w:firstLine="420"/>
    </w:pPr>
  </w:style>
  <w:style w:type="paragraph" w:customStyle="1" w:styleId="10">
    <w:name w:val="BodyTextIndent"/>
    <w:basedOn w:val="1"/>
    <w:autoRedefine/>
    <w:qFormat/>
    <w:uiPriority w:val="0"/>
    <w:pPr>
      <w:spacing w:after="120"/>
      <w:ind w:left="420" w:leftChars="200" w:firstLine="200" w:firstLineChars="200"/>
      <w:textAlignment w:val="baseline"/>
    </w:pPr>
  </w:style>
  <w:style w:type="paragraph" w:styleId="11">
    <w:name w:val="List Paragraph"/>
    <w:basedOn w:val="1"/>
    <w:qFormat/>
    <w:uiPriority w:val="99"/>
    <w:pPr>
      <w:ind w:firstLine="420" w:firstLineChars="200"/>
    </w:pPr>
  </w:style>
  <w:style w:type="character" w:customStyle="1" w:styleId="12">
    <w:name w:val="批注框文本 Char"/>
    <w:basedOn w:val="8"/>
    <w:link w:val="2"/>
    <w:semiHidden/>
    <w:qFormat/>
    <w:locked/>
    <w:uiPriority w:val="99"/>
    <w:rPr>
      <w:rFonts w:cs="Times New Roman"/>
      <w:sz w:val="18"/>
      <w:szCs w:val="18"/>
    </w:rPr>
  </w:style>
  <w:style w:type="character" w:customStyle="1" w:styleId="13">
    <w:name w:val="页眉 Char"/>
    <w:basedOn w:val="8"/>
    <w:link w:val="4"/>
    <w:autoRedefine/>
    <w:semiHidden/>
    <w:qFormat/>
    <w:locked/>
    <w:uiPriority w:val="99"/>
    <w:rPr>
      <w:rFonts w:cs="Times New Roman"/>
      <w:sz w:val="18"/>
      <w:szCs w:val="18"/>
    </w:rPr>
  </w:style>
  <w:style w:type="character" w:customStyle="1" w:styleId="14">
    <w:name w:val="页脚 Char"/>
    <w:basedOn w:val="8"/>
    <w:link w:val="3"/>
    <w:autoRedefine/>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3352</Words>
  <Characters>3524</Characters>
  <Lines>41</Lines>
  <Paragraphs>11</Paragraphs>
  <TotalTime>60</TotalTime>
  <ScaleCrop>false</ScaleCrop>
  <LinksUpToDate>false</LinksUpToDate>
  <CharactersWithSpaces>3531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2018-09-26T00:59:00Z</dcterms:created>
  <dc:creator>China</dc:creator>
  <cp:lastModifiedBy>曲曲</cp:lastModifiedBy>
  <cp:lastPrinted>2023-04-20T00:28:00Z</cp:lastPrinted>
  <dcterms:modified xsi:type="dcterms:W3CDTF">2025-09-29T02:38:18Z</dcterms:modified>
  <dc:title>资阳区水利局部门整体支出绩效</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526C94751DD54B088D5E7D555AF95BD0_13</vt:lpwstr>
  </property>
  <property fmtid="{D5CDD505-2E9C-101B-9397-08002B2CF9AE}" pid="4" name="KSOTemplateDocerSaveRecord">
    <vt:lpwstr>eyJoZGlkIjoiZTBjZjRiNmM1ZDlhZTZlMTQ4ZmQ2MDE3NjVlY2IzN2YiLCJ1c2VySWQiOiI1Nzg4MjQ0NjEifQ==</vt:lpwstr>
  </property>
</Properties>
</file>