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E810C">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14:paraId="1CDDBC10">
      <w:pPr>
        <w:jc w:val="center"/>
        <w:rPr>
          <w:rFonts w:hint="eastAsia" w:ascii="黑体" w:hAnsi="黑体" w:eastAsia="黑体" w:cs="黑体"/>
          <w:b/>
          <w:bCs/>
          <w:sz w:val="32"/>
          <w:szCs w:val="32"/>
        </w:rPr>
      </w:pPr>
      <w:r>
        <w:rPr>
          <w:rFonts w:hint="eastAsia" w:ascii="黑体" w:hAnsi="黑体" w:eastAsia="黑体" w:cs="黑体"/>
          <w:b/>
          <w:bCs/>
          <w:sz w:val="32"/>
          <w:szCs w:val="32"/>
          <w:lang w:val="en-US" w:eastAsia="zh-CN"/>
        </w:rPr>
        <w:t>2024</w:t>
      </w:r>
      <w:r>
        <w:rPr>
          <w:rFonts w:hint="eastAsia" w:ascii="黑体" w:hAnsi="黑体" w:eastAsia="黑体" w:cs="黑体"/>
          <w:b/>
          <w:bCs/>
          <w:sz w:val="32"/>
          <w:szCs w:val="32"/>
        </w:rPr>
        <w:t>年度</w:t>
      </w:r>
      <w:r>
        <w:rPr>
          <w:rFonts w:hint="eastAsia" w:ascii="黑体" w:hAnsi="黑体" w:eastAsia="黑体" w:cs="黑体"/>
          <w:b/>
          <w:bCs/>
          <w:sz w:val="32"/>
          <w:szCs w:val="32"/>
          <w:lang w:eastAsia="zh-CN"/>
        </w:rPr>
        <w:t>益阳市资阳区工业和信息化法局</w:t>
      </w:r>
      <w:r>
        <w:rPr>
          <w:rFonts w:hint="eastAsia" w:ascii="黑体" w:hAnsi="黑体" w:eastAsia="黑体" w:cs="黑体"/>
          <w:b/>
          <w:bCs/>
          <w:sz w:val="32"/>
          <w:szCs w:val="32"/>
        </w:rPr>
        <w:t>部门整体支出绩效自评报告</w:t>
      </w:r>
    </w:p>
    <w:p w14:paraId="05D74228">
      <w:pPr>
        <w:jc w:val="center"/>
        <w:rPr>
          <w:rFonts w:hint="eastAsia" w:ascii="仿宋" w:hAnsi="仿宋" w:eastAsia="仿宋" w:cs="仿宋"/>
          <w:sz w:val="32"/>
          <w:szCs w:val="32"/>
        </w:rPr>
      </w:pPr>
    </w:p>
    <w:p w14:paraId="003E201F">
      <w:pPr>
        <w:jc w:val="center"/>
        <w:rPr>
          <w:rFonts w:hint="eastAsia" w:ascii="仿宋" w:hAnsi="仿宋" w:eastAsia="仿宋" w:cs="仿宋"/>
          <w:sz w:val="32"/>
          <w:szCs w:val="32"/>
        </w:rPr>
      </w:pPr>
    </w:p>
    <w:p w14:paraId="1712CAF3">
      <w:pPr>
        <w:jc w:val="center"/>
        <w:rPr>
          <w:rFonts w:hint="eastAsia" w:ascii="仿宋" w:hAnsi="仿宋" w:eastAsia="仿宋" w:cs="仿宋"/>
          <w:sz w:val="32"/>
          <w:szCs w:val="32"/>
        </w:rPr>
      </w:pPr>
    </w:p>
    <w:p w14:paraId="31BE5278">
      <w:pPr>
        <w:jc w:val="center"/>
        <w:rPr>
          <w:rFonts w:hint="eastAsia" w:ascii="仿宋" w:hAnsi="仿宋" w:eastAsia="仿宋" w:cs="仿宋"/>
          <w:sz w:val="32"/>
          <w:szCs w:val="32"/>
        </w:rPr>
      </w:pPr>
    </w:p>
    <w:p w14:paraId="6C4D9954">
      <w:pPr>
        <w:jc w:val="center"/>
        <w:rPr>
          <w:rFonts w:hint="eastAsia" w:ascii="仿宋" w:hAnsi="仿宋" w:eastAsia="仿宋" w:cs="仿宋"/>
          <w:sz w:val="32"/>
          <w:szCs w:val="32"/>
        </w:rPr>
      </w:pPr>
    </w:p>
    <w:p w14:paraId="109CE269">
      <w:pPr>
        <w:jc w:val="center"/>
        <w:rPr>
          <w:rFonts w:hint="eastAsia" w:ascii="仿宋" w:hAnsi="仿宋" w:eastAsia="仿宋" w:cs="仿宋"/>
          <w:sz w:val="32"/>
          <w:szCs w:val="32"/>
        </w:rPr>
      </w:pPr>
    </w:p>
    <w:p w14:paraId="7223BA05">
      <w:pPr>
        <w:jc w:val="center"/>
        <w:rPr>
          <w:rFonts w:hint="eastAsia" w:ascii="仿宋" w:hAnsi="仿宋" w:eastAsia="仿宋" w:cs="仿宋"/>
          <w:sz w:val="32"/>
          <w:szCs w:val="32"/>
        </w:rPr>
      </w:pPr>
    </w:p>
    <w:p w14:paraId="197A15D2">
      <w:pPr>
        <w:ind w:firstLine="872" w:firstLineChars="200"/>
        <w:jc w:val="center"/>
        <w:rPr>
          <w:rFonts w:hint="eastAsia" w:ascii="仿宋" w:hAnsi="仿宋" w:eastAsia="仿宋" w:cs="仿宋"/>
          <w:sz w:val="44"/>
          <w:szCs w:val="44"/>
        </w:rPr>
      </w:pPr>
    </w:p>
    <w:p w14:paraId="68FCB87B">
      <w:pPr>
        <w:ind w:firstLine="872" w:firstLineChars="200"/>
        <w:jc w:val="center"/>
        <w:rPr>
          <w:rFonts w:hint="eastAsia" w:ascii="仿宋" w:hAnsi="仿宋" w:eastAsia="仿宋" w:cs="仿宋"/>
          <w:sz w:val="44"/>
          <w:szCs w:val="44"/>
        </w:rPr>
      </w:pPr>
    </w:p>
    <w:p w14:paraId="79E4EAF1">
      <w:pPr>
        <w:ind w:firstLine="872" w:firstLineChars="200"/>
        <w:jc w:val="center"/>
        <w:rPr>
          <w:rFonts w:hint="eastAsia" w:ascii="仿宋" w:hAnsi="仿宋" w:eastAsia="仿宋" w:cs="仿宋"/>
          <w:sz w:val="44"/>
          <w:szCs w:val="44"/>
        </w:rPr>
      </w:pPr>
    </w:p>
    <w:p w14:paraId="73337680">
      <w:pPr>
        <w:ind w:firstLine="712" w:firstLineChars="200"/>
        <w:jc w:val="both"/>
        <w:rPr>
          <w:rFonts w:hint="eastAsia" w:ascii="仿宋" w:hAnsi="仿宋" w:eastAsia="仿宋" w:cs="仿宋"/>
          <w:sz w:val="36"/>
          <w:szCs w:val="36"/>
          <w:lang w:eastAsia="zh-CN"/>
        </w:rPr>
      </w:pPr>
    </w:p>
    <w:p w14:paraId="2EDD13D3">
      <w:pPr>
        <w:ind w:firstLine="712" w:firstLineChars="200"/>
        <w:jc w:val="both"/>
        <w:rPr>
          <w:rFonts w:hint="eastAsia" w:ascii="仿宋" w:hAnsi="仿宋" w:eastAsia="仿宋" w:cs="仿宋"/>
          <w:sz w:val="36"/>
          <w:szCs w:val="36"/>
          <w:lang w:eastAsia="zh-CN"/>
        </w:rPr>
      </w:pPr>
    </w:p>
    <w:p w14:paraId="7E5AC833">
      <w:pPr>
        <w:ind w:firstLine="712"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14:paraId="390B6D95">
      <w:pPr>
        <w:ind w:firstLine="3204" w:firstLineChars="900"/>
        <w:jc w:val="both"/>
        <w:rPr>
          <w:rFonts w:hint="eastAsia" w:ascii="仿宋" w:hAnsi="仿宋" w:eastAsia="仿宋" w:cs="仿宋"/>
          <w:sz w:val="36"/>
          <w:szCs w:val="36"/>
          <w:u w:val="none"/>
          <w:lang w:val="en-US" w:eastAsia="zh-CN"/>
        </w:rPr>
      </w:pPr>
    </w:p>
    <w:p w14:paraId="2B4F80B3">
      <w:pPr>
        <w:ind w:firstLine="3204"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5月 15 日</w:t>
      </w:r>
    </w:p>
    <w:p w14:paraId="5CA63965">
      <w:pPr>
        <w:jc w:val="center"/>
        <w:rPr>
          <w:rFonts w:hint="eastAsia" w:ascii="仿宋" w:hAnsi="仿宋" w:eastAsia="仿宋" w:cs="仿宋"/>
          <w:sz w:val="32"/>
          <w:szCs w:val="32"/>
        </w:rPr>
      </w:pPr>
    </w:p>
    <w:p w14:paraId="3E73C35D">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14:paraId="6EBDB22B">
      <w:pPr>
        <w:spacing w:line="560" w:lineRule="exact"/>
        <w:ind w:firstLine="356" w:firstLineChars="100"/>
        <w:jc w:val="center"/>
        <w:rPr>
          <w:rFonts w:hint="eastAsia" w:ascii="仿宋" w:hAnsi="仿宋" w:eastAsia="仿宋" w:cs="仿宋"/>
          <w:sz w:val="36"/>
          <w:szCs w:val="36"/>
          <w:lang w:val="en-US" w:eastAsia="zh-CN"/>
        </w:rPr>
      </w:pPr>
    </w:p>
    <w:p w14:paraId="1C7359B1">
      <w:pPr>
        <w:spacing w:line="600" w:lineRule="exact"/>
        <w:ind w:firstLine="948" w:firstLineChars="300"/>
        <w:jc w:val="both"/>
        <w:rPr>
          <w:rFonts w:hint="eastAsia" w:ascii="仿宋_GB2312" w:hAnsi="仿宋_GB2312" w:cs="仿宋_GB2312"/>
          <w:b/>
          <w:bCs/>
          <w:kern w:val="0"/>
          <w:sz w:val="32"/>
          <w:szCs w:val="32"/>
          <w:lang w:val="en-US" w:eastAsia="zh-CN" w:bidi="ar-SA"/>
        </w:rPr>
      </w:pPr>
    </w:p>
    <w:p w14:paraId="38B152EC">
      <w:pPr>
        <w:autoSpaceDE w:val="0"/>
        <w:jc w:val="center"/>
        <w:rPr>
          <w:rFonts w:ascii="仿宋" w:hAnsi="仿宋" w:eastAsia="仿宋" w:cs="仿宋"/>
          <w:b/>
          <w:color w:val="000000"/>
          <w:kern w:val="0"/>
          <w:sz w:val="44"/>
          <w:szCs w:val="44"/>
        </w:rPr>
      </w:pPr>
      <w:r>
        <w:rPr>
          <w:rFonts w:hint="eastAsia" w:ascii="仿宋" w:hAnsi="仿宋" w:eastAsia="仿宋" w:cs="仿宋"/>
          <w:b/>
          <w:color w:val="000000"/>
          <w:kern w:val="0"/>
          <w:sz w:val="44"/>
          <w:szCs w:val="44"/>
        </w:rPr>
        <w:t>益阳市资阳区工业和信息化局2024年度</w:t>
      </w:r>
    </w:p>
    <w:p w14:paraId="6227AE34">
      <w:pPr>
        <w:autoSpaceDE w:val="0"/>
        <w:jc w:val="center"/>
        <w:rPr>
          <w:rFonts w:ascii="仿宋" w:hAnsi="仿宋" w:eastAsia="仿宋" w:cs="仿宋"/>
          <w:b/>
          <w:color w:val="000000"/>
          <w:kern w:val="0"/>
          <w:sz w:val="44"/>
          <w:szCs w:val="44"/>
        </w:rPr>
      </w:pPr>
      <w:r>
        <w:rPr>
          <w:rFonts w:hint="eastAsia" w:ascii="仿宋" w:hAnsi="仿宋" w:eastAsia="仿宋" w:cs="仿宋"/>
          <w:b/>
          <w:color w:val="000000"/>
          <w:kern w:val="0"/>
          <w:sz w:val="44"/>
          <w:szCs w:val="44"/>
        </w:rPr>
        <w:t>整体支出绩效自评报告</w:t>
      </w:r>
    </w:p>
    <w:p w14:paraId="243EAF2C">
      <w:pPr>
        <w:autoSpaceDE w:val="0"/>
        <w:ind w:firstLine="790" w:firstLineChars="250"/>
        <w:jc w:val="center"/>
        <w:rPr>
          <w:rFonts w:ascii="仿宋" w:hAnsi="仿宋" w:eastAsia="仿宋" w:cs="仿宋"/>
          <w:color w:val="000000"/>
          <w:kern w:val="0"/>
          <w:szCs w:val="32"/>
        </w:rPr>
      </w:pPr>
    </w:p>
    <w:p w14:paraId="768EBAE1">
      <w:pPr>
        <w:autoSpaceDE w:val="0"/>
        <w:spacing w:line="520" w:lineRule="exact"/>
        <w:ind w:firstLine="790" w:firstLineChars="250"/>
        <w:rPr>
          <w:rFonts w:ascii="仿宋" w:hAnsi="仿宋" w:eastAsia="仿宋" w:cs="仿宋"/>
          <w:b/>
          <w:color w:val="000000"/>
          <w:kern w:val="0"/>
          <w:szCs w:val="32"/>
        </w:rPr>
      </w:pPr>
      <w:r>
        <w:rPr>
          <w:rFonts w:hint="eastAsia" w:ascii="仿宋" w:hAnsi="仿宋" w:eastAsia="仿宋" w:cs="仿宋"/>
          <w:color w:val="000000"/>
          <w:kern w:val="0"/>
          <w:szCs w:val="32"/>
        </w:rPr>
        <w:t>为进一步加强财政资金绩效管理，提高资金使用效益，根据《资阳区财政局关于开展2024年度部门绩效自评工作的通知》要求，我局对2024年部门整体支出情况进行了绩效自评，现将有关情况报告如下：</w:t>
      </w:r>
    </w:p>
    <w:p w14:paraId="05B32270">
      <w:pPr>
        <w:autoSpaceDE w:val="0"/>
        <w:spacing w:line="520" w:lineRule="exact"/>
        <w:ind w:firstLine="948" w:firstLineChars="300"/>
        <w:rPr>
          <w:rFonts w:hint="eastAsia" w:ascii="仿宋" w:hAnsi="仿宋" w:eastAsia="仿宋" w:cs="仿宋"/>
          <w:b/>
          <w:color w:val="000000"/>
          <w:kern w:val="0"/>
          <w:szCs w:val="32"/>
          <w:lang w:eastAsia="zh-CN"/>
        </w:rPr>
      </w:pPr>
      <w:r>
        <w:rPr>
          <w:rFonts w:hint="eastAsia" w:ascii="仿宋" w:hAnsi="仿宋" w:eastAsia="仿宋" w:cs="仿宋"/>
          <w:b/>
          <w:color w:val="000000"/>
          <w:kern w:val="0"/>
          <w:szCs w:val="32"/>
        </w:rPr>
        <w:t>一、部门</w:t>
      </w:r>
      <w:r>
        <w:rPr>
          <w:rFonts w:hint="eastAsia" w:ascii="仿宋" w:hAnsi="仿宋" w:eastAsia="仿宋" w:cs="仿宋"/>
          <w:b/>
          <w:color w:val="000000"/>
          <w:kern w:val="0"/>
          <w:szCs w:val="32"/>
          <w:lang w:eastAsia="zh-CN"/>
        </w:rPr>
        <w:t>概况</w:t>
      </w:r>
    </w:p>
    <w:p w14:paraId="3751EA47">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（一）单位职能职责：</w:t>
      </w:r>
    </w:p>
    <w:p w14:paraId="07F8924E">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1、综合管理全区工业经济，指导、协调和服务工业企业；指导园区规范发展，推动产业优化升级，扶优扶强工业企业。 </w:t>
      </w:r>
    </w:p>
    <w:p w14:paraId="2D59CF00">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2、拟定全区新型工业化和信息化发展战略、规划并组织实施，协调解决有关重大问题，推进“两化”融合，推进全区信息化建设；负责工业和信息化领域的国防信息动员有关工作。 </w:t>
      </w:r>
    </w:p>
    <w:p w14:paraId="7463D3C2">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3、综合协调全区工业经济日常运行，监测分析全区工业经济运行态势，进行预测预警和信息引导，协调解决工业经济运行中的突出矛盾和问题并提出建议。 </w:t>
      </w:r>
    </w:p>
    <w:p w14:paraId="75B4EAA2">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4、贯彻落实国家和省、市产业政策；协调减轻企业负担工作，会同有关部门做好改善企业生产、投资环境等工作。 </w:t>
      </w:r>
    </w:p>
    <w:p w14:paraId="09BE3D88">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5、贯彻落实工业能源节约和资源综合利用政策；会同有关部门组织实施节能行动方案和资源综合利用工作；组织推进清洁生产工作；配合环保部门协调工业环境保护；组织协调相关重大示范工程和新产品、新技术、新设备、新材料的推广应用。 </w:t>
      </w:r>
    </w:p>
    <w:p w14:paraId="193AC13F">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6、指导工业企业实施技术改造；推进以先进适用技术改造提升传统产业；指导行业质量管理工作。 </w:t>
      </w:r>
    </w:p>
    <w:p w14:paraId="7C9C9C10">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7、贯彻落实促进非公有制工业经济和中小企业发展的政策措施，协调解决重大问题；推进中小企业服务体系建设。 </w:t>
      </w:r>
    </w:p>
    <w:p w14:paraId="47F0FF34">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8、负责互联网建设、企业信息化推广与应用、农村信息化建设工作。 </w:t>
      </w:r>
    </w:p>
    <w:p w14:paraId="7E4E79CB">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9、负责食品加工、电子信息、装备制造、新材料等工业和信息化行业管理。 </w:t>
      </w:r>
    </w:p>
    <w:p w14:paraId="27834F58">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 xml:space="preserve">10、承办区委、区政府交办的其他事项。 </w:t>
      </w:r>
    </w:p>
    <w:p w14:paraId="59107462">
      <w:pPr>
        <w:autoSpaceDE w:val="0"/>
        <w:spacing w:line="520" w:lineRule="exact"/>
        <w:ind w:firstLine="790" w:firstLineChars="250"/>
        <w:rPr>
          <w:rFonts w:ascii="仿宋" w:hAnsi="仿宋" w:eastAsia="仿宋" w:cs="仿宋"/>
          <w:b/>
          <w:bCs/>
          <w:color w:val="000000"/>
          <w:kern w:val="0"/>
          <w:szCs w:val="32"/>
        </w:rPr>
      </w:pPr>
      <w:r>
        <w:rPr>
          <w:rFonts w:hint="eastAsia" w:ascii="仿宋" w:hAnsi="仿宋" w:eastAsia="仿宋" w:cs="仿宋"/>
          <w:b/>
          <w:bCs/>
          <w:color w:val="000000"/>
          <w:kern w:val="0"/>
          <w:szCs w:val="32"/>
        </w:rPr>
        <w:t>（二）机构设置、人员情况：</w:t>
      </w:r>
    </w:p>
    <w:p w14:paraId="334058AD">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区工信局为独立核算、财政预算一级拨款单位，内设科室6个：办公室（人事股、审计股、老干股）、投资股（推进新型工业化办公室园区办公室）、民营经济服务股、经济运行股（节能与综合利用股）、信息化股（电子通信股、工业互联网与数字产业股）、综合股（企改办、信访股、墙改办、法规股）。</w:t>
      </w:r>
    </w:p>
    <w:p w14:paraId="2DDB54FC">
      <w:pPr>
        <w:pStyle w:val="3"/>
        <w:numPr>
          <w:numId w:val="0"/>
        </w:numPr>
        <w:ind w:firstLine="316" w:firstLineChars="100"/>
        <w:rPr>
          <w:rFonts w:hint="eastAsia" w:ascii="仿宋_GB2312" w:hAnsi="仿宋_GB2312" w:eastAsia="仿宋_GB2312" w:cs="仿宋_GB2312"/>
          <w:kern w:val="0"/>
          <w:sz w:val="32"/>
          <w:szCs w:val="32"/>
          <w:lang w:val="en-US" w:eastAsia="zh-CN" w:bidi="ar-SA"/>
        </w:rPr>
      </w:pPr>
      <w:r>
        <w:rPr>
          <w:rFonts w:hint="eastAsia" w:ascii="仿宋" w:hAnsi="仿宋" w:eastAsia="仿宋" w:cs="仿宋"/>
          <w:color w:val="000000"/>
          <w:kern w:val="0"/>
          <w:szCs w:val="32"/>
        </w:rPr>
        <w:t>资阳区工业和信息化局机关行政编制11个，事业编制5人，工勤编制5人。实有在编人数24人，退休人员82人，共计106人。</w:t>
      </w:r>
    </w:p>
    <w:p w14:paraId="3A9AC12C">
      <w:pPr>
        <w:spacing w:line="600" w:lineRule="exact"/>
        <w:ind w:firstLine="632" w:firstLineChars="200"/>
        <w:rPr>
          <w:rFonts w:ascii="黑体" w:hAnsi="黑体" w:eastAsia="黑体" w:cs="黑体"/>
          <w:szCs w:val="32"/>
        </w:rPr>
      </w:pPr>
      <w:r>
        <w:rPr>
          <w:rFonts w:hint="eastAsia" w:ascii="仿宋_GB2312" w:hAnsi="仿宋_GB2312" w:cs="仿宋_GB2312"/>
          <w:b/>
          <w:bCs/>
          <w:kern w:val="0"/>
          <w:sz w:val="32"/>
          <w:szCs w:val="32"/>
          <w:lang w:val="en-US" w:eastAsia="zh-CN" w:bidi="ar-SA"/>
        </w:rPr>
        <w:t>（三）</w:t>
      </w:r>
      <w:r>
        <w:rPr>
          <w:rFonts w:hint="eastAsia" w:ascii="仿宋_GB2312" w:hAnsi="仿宋_GB2312" w:eastAsia="仿宋_GB2312" w:cs="仿宋_GB2312"/>
          <w:b/>
          <w:bCs/>
          <w:kern w:val="0"/>
          <w:sz w:val="32"/>
          <w:szCs w:val="32"/>
          <w:lang w:val="en-US" w:eastAsia="zh-CN" w:bidi="ar-SA"/>
        </w:rPr>
        <w:t>简要介绍202</w:t>
      </w:r>
      <w:r>
        <w:rPr>
          <w:rFonts w:hint="eastAsia" w:ascii="仿宋_GB2312" w:hAnsi="仿宋_GB2312" w:cs="仿宋_GB2312"/>
          <w:b/>
          <w:bCs/>
          <w:kern w:val="0"/>
          <w:sz w:val="32"/>
          <w:szCs w:val="32"/>
          <w:lang w:val="en-US" w:eastAsia="zh-CN" w:bidi="ar-SA"/>
        </w:rPr>
        <w:t>4</w:t>
      </w:r>
      <w:r>
        <w:rPr>
          <w:rFonts w:hint="eastAsia" w:ascii="仿宋_GB2312" w:hAnsi="仿宋_GB2312" w:eastAsia="仿宋_GB2312" w:cs="仿宋_GB2312"/>
          <w:b/>
          <w:bCs/>
          <w:kern w:val="0"/>
          <w:sz w:val="32"/>
          <w:szCs w:val="32"/>
          <w:lang w:val="en-US" w:eastAsia="zh-CN" w:bidi="ar-SA"/>
        </w:rPr>
        <w:t>年度重点工作计划；</w:t>
      </w:r>
    </w:p>
    <w:p w14:paraId="15CC6AEA">
      <w:pPr>
        <w:spacing w:line="600" w:lineRule="exact"/>
        <w:ind w:firstLine="632" w:firstLineChars="200"/>
        <w:rPr>
          <w:rFonts w:ascii="仿宋" w:hAnsi="仿宋" w:eastAsia="仿宋" w:cs="仿宋"/>
          <w:szCs w:val="32"/>
        </w:rPr>
      </w:pPr>
      <w:r>
        <w:rPr>
          <w:rFonts w:hint="eastAsia" w:ascii="楷体" w:hAnsi="楷体" w:eastAsia="楷体" w:cs="楷体"/>
          <w:b/>
          <w:bCs/>
          <w:szCs w:val="32"/>
          <w:lang w:eastAsia="zh-CN"/>
        </w:rPr>
        <w:t>一是</w:t>
      </w:r>
      <w:r>
        <w:rPr>
          <w:rFonts w:hint="eastAsia" w:ascii="楷体" w:hAnsi="楷体" w:eastAsia="楷体" w:cs="楷体"/>
          <w:b/>
          <w:bCs/>
          <w:szCs w:val="32"/>
        </w:rPr>
        <w:t>抓运行，经济指标稳中有进。</w:t>
      </w:r>
      <w:r>
        <w:rPr>
          <w:rFonts w:hint="eastAsia" w:ascii="仿宋" w:hAnsi="仿宋" w:eastAsia="仿宋" w:cs="仿宋"/>
          <w:szCs w:val="32"/>
        </w:rPr>
        <w:t>全区现有规模工业企业200家，1-11月份，全区规模工业增加值增速10.2%，全市排名第3；工业投资增速33.3%，全市排名第3；工业技改投资增速86.6%，全市排名第1；工业税收增速20.25%，全市排名第2；工业用电增速9.4%，全市排名第2；新增规模工业企业10家，全市排名第3。</w:t>
      </w:r>
      <w:r>
        <w:rPr>
          <w:rFonts w:hint="eastAsia" w:ascii="仿宋" w:hAnsi="仿宋" w:eastAsia="仿宋" w:cs="仿宋"/>
          <w:b/>
          <w:bCs/>
          <w:szCs w:val="32"/>
        </w:rPr>
        <w:t>预计全年，</w:t>
      </w:r>
      <w:r>
        <w:rPr>
          <w:rFonts w:hint="eastAsia" w:ascii="仿宋" w:hAnsi="仿宋" w:eastAsia="仿宋" w:cs="仿宋"/>
          <w:szCs w:val="32"/>
        </w:rPr>
        <w:t>规模工业增加值增速9%；工业投资增速30%；工业技改投资增速60%；工业税收增速10%；工业用电量增速8%；制造业占比43%；新增规模工业企业20家。</w:t>
      </w:r>
    </w:p>
    <w:p w14:paraId="32959452">
      <w:pPr>
        <w:spacing w:line="600" w:lineRule="exact"/>
        <w:ind w:firstLine="632" w:firstLineChars="200"/>
        <w:rPr>
          <w:rFonts w:ascii="仿宋" w:hAnsi="仿宋" w:eastAsia="仿宋" w:cs="仿宋"/>
          <w:szCs w:val="32"/>
        </w:rPr>
      </w:pPr>
      <w:r>
        <w:rPr>
          <w:rFonts w:hint="eastAsia" w:ascii="楷体" w:hAnsi="楷体" w:eastAsia="楷体" w:cs="楷体"/>
          <w:b/>
          <w:bCs/>
          <w:szCs w:val="32"/>
          <w:lang w:eastAsia="zh-CN"/>
        </w:rPr>
        <w:t>二是</w:t>
      </w:r>
      <w:r>
        <w:rPr>
          <w:rFonts w:hint="eastAsia" w:ascii="楷体" w:hAnsi="楷体" w:eastAsia="楷体" w:cs="楷体"/>
          <w:b/>
          <w:bCs/>
          <w:szCs w:val="32"/>
        </w:rPr>
        <w:t>抓特色，重点产业优势明显。</w:t>
      </w:r>
      <w:r>
        <w:rPr>
          <w:rFonts w:hint="eastAsia" w:ascii="仿宋" w:hAnsi="仿宋" w:eastAsia="仿宋" w:cs="仿宋"/>
          <w:szCs w:val="32"/>
        </w:rPr>
        <w:t>制定了《2024年度资阳区打造中国PCB第三极任务清单及考核办法》；促成奥士康与长沙理工大学达成产品技术攻关合作，长春经开区与湖南大学半导体学院达成合作意向；全年获批人才公寓307套，完成投资约1.8亿元；完成土地报批336亩，已开工建设项目506亩；园区实现集中供热；设立PCB产业引导专项资金4544万元。全区现有PCB产业企业57家，1-11月PCB产业总产值109亿元，增速0.89%，税收3.3亿元，增速20.79%。新签约PCB产业企业6家，总投资达20.2亿元。三立诚、群展电子、联创兴等重点项目已全面投产，预计年底可实现产值5亿元以上。正在积极筹备申报国家级产业集群。</w:t>
      </w:r>
    </w:p>
    <w:p w14:paraId="3AEF6A77">
      <w:pPr>
        <w:spacing w:line="600" w:lineRule="exact"/>
        <w:ind w:firstLine="632" w:firstLineChars="200"/>
        <w:rPr>
          <w:rFonts w:ascii="仿宋" w:hAnsi="仿宋" w:eastAsia="仿宋" w:cs="仿宋"/>
          <w:szCs w:val="32"/>
        </w:rPr>
      </w:pPr>
      <w:r>
        <w:rPr>
          <w:rFonts w:hint="eastAsia" w:ascii="楷体" w:hAnsi="楷体" w:eastAsia="楷体" w:cs="楷体"/>
          <w:b/>
          <w:bCs/>
          <w:szCs w:val="32"/>
          <w:lang w:eastAsia="zh-CN"/>
        </w:rPr>
        <w:t>三是</w:t>
      </w:r>
      <w:r>
        <w:rPr>
          <w:rFonts w:hint="eastAsia" w:ascii="楷体" w:hAnsi="楷体" w:eastAsia="楷体" w:cs="楷体"/>
          <w:b/>
          <w:bCs/>
          <w:szCs w:val="32"/>
        </w:rPr>
        <w:t>抓品牌，创新赋能势头强劲。</w:t>
      </w:r>
      <w:r>
        <w:rPr>
          <w:rFonts w:hint="eastAsia" w:ascii="仿宋" w:hAnsi="仿宋" w:eastAsia="仿宋" w:cs="仿宋"/>
          <w:bCs/>
          <w:szCs w:val="32"/>
        </w:rPr>
        <w:t>围绕先进制造业、新型优势产业链等重大产业发展方向，</w:t>
      </w:r>
      <w:r>
        <w:rPr>
          <w:rFonts w:hint="eastAsia" w:ascii="仿宋" w:hAnsi="仿宋" w:eastAsia="仿宋" w:cs="仿宋"/>
          <w:szCs w:val="32"/>
        </w:rPr>
        <w:t>指导企业创建工业品牌。共培育国家级“小巨人”企业2家；省级单项冠军企业2家；省级专精特新中小企业9家；省级企业技术中心1家；省级工业设计中心1家；省级新材料中试平台（基地）1家；省级“智赋万企”十大应用场景1家；省级“智赋万企”人工智能赋能新型工业化典型应用场景1家；省级“数字新基建”标志性项目1个；省级数字化转型标杆项目2个；省级绿色工厂1家。</w:t>
      </w:r>
    </w:p>
    <w:p w14:paraId="4902BF4E">
      <w:pPr>
        <w:spacing w:line="600" w:lineRule="exact"/>
        <w:ind w:firstLine="632" w:firstLineChars="200"/>
        <w:rPr>
          <w:rFonts w:ascii="仿宋" w:hAnsi="仿宋" w:eastAsia="仿宋" w:cs="仿宋"/>
          <w:szCs w:val="32"/>
        </w:rPr>
      </w:pPr>
      <w:r>
        <w:rPr>
          <w:rFonts w:hint="eastAsia" w:ascii="楷体" w:hAnsi="楷体" w:eastAsia="楷体" w:cs="楷体"/>
          <w:b/>
          <w:bCs/>
          <w:szCs w:val="32"/>
          <w:lang w:eastAsia="zh-CN"/>
        </w:rPr>
        <w:t>四是</w:t>
      </w:r>
      <w:r>
        <w:rPr>
          <w:rFonts w:hint="eastAsia" w:ascii="楷体" w:hAnsi="楷体" w:eastAsia="楷体" w:cs="楷体"/>
          <w:b/>
          <w:bCs/>
          <w:szCs w:val="32"/>
        </w:rPr>
        <w:t>抓帮扶，发展环境持续优化。</w:t>
      </w:r>
      <w:r>
        <w:rPr>
          <w:rFonts w:hint="eastAsia" w:ascii="仿宋" w:hAnsi="仿宋" w:eastAsia="仿宋" w:cs="仿宋"/>
          <w:szCs w:val="32"/>
        </w:rPr>
        <w:t>制定了《2024年区级领导联系工业优势产业链和帮扶规模工业企业工作方案》，区级领导</w:t>
      </w:r>
      <w:r>
        <w:rPr>
          <w:rFonts w:hint="eastAsia" w:ascii="仿宋" w:hAnsi="仿宋" w:eastAsia="仿宋"/>
          <w:bCs/>
          <w:szCs w:val="32"/>
        </w:rPr>
        <w:t>常态化开展助企纾困、“两重”“两新”送解优企业帮扶行动，及时收集解决了企业发展诉求，共收集企业问题67个，问题解决率达86%。大力开展“</w:t>
      </w:r>
      <w:r>
        <w:rPr>
          <w:rFonts w:hint="eastAsia" w:ascii="仿宋" w:hAnsi="仿宋" w:eastAsia="仿宋" w:cs="仿宋"/>
          <w:szCs w:val="32"/>
        </w:rPr>
        <w:t>园网共建”活动，进一步提升企业用电便利与可靠性，为企业降低用电成本160余万元。充分利用中小企业公共服务平台窗口优势，为企业提供惠企服务，共组织企业参加相关业务培训10余次，为企业提供就业岗位1000余个，为45家企业了提供融资服务，帮助20多家企业员工争取了2万元/套的惠企购房补贴。</w:t>
      </w:r>
    </w:p>
    <w:p w14:paraId="152F18A9">
      <w:pPr>
        <w:numPr>
          <w:ilvl w:val="0"/>
          <w:numId w:val="0"/>
        </w:numPr>
        <w:spacing w:line="600" w:lineRule="exact"/>
        <w:ind w:firstLine="632" w:firstLineChars="200"/>
        <w:rPr>
          <w:rFonts w:hint="eastAsia" w:ascii="仿宋" w:hAnsi="仿宋" w:eastAsia="仿宋" w:cs="仿宋"/>
          <w:szCs w:val="32"/>
        </w:rPr>
      </w:pPr>
      <w:r>
        <w:rPr>
          <w:rFonts w:hint="eastAsia" w:ascii="楷体" w:hAnsi="楷体" w:eastAsia="楷体" w:cs="楷体"/>
          <w:b/>
          <w:bCs/>
          <w:szCs w:val="32"/>
          <w:lang w:eastAsia="zh-CN"/>
        </w:rPr>
        <w:t>五是</w:t>
      </w:r>
      <w:r>
        <w:rPr>
          <w:rFonts w:hint="eastAsia" w:ascii="楷体" w:hAnsi="楷体" w:eastAsia="楷体" w:cs="楷体"/>
          <w:b/>
          <w:bCs/>
          <w:szCs w:val="32"/>
        </w:rPr>
        <w:t>抓全盘，中心工作稳步推进。</w:t>
      </w:r>
      <w:r>
        <w:rPr>
          <w:rFonts w:hint="eastAsia" w:ascii="仿宋" w:hAnsi="仿宋" w:eastAsia="仿宋" w:cs="仿宋"/>
          <w:szCs w:val="32"/>
        </w:rPr>
        <w:t>围绕全年工作任务，扎实开展中心工作。派出专业骨干专班强力推进拆迁工作，拆迁任务仅剩2户；扎实开展5G网络建设，全区建设5G基站706个，5G网络已覆盖88个行政村，5G网络整体覆盖率达90%以上；积极开展空中线缆整治，整改空中线缆凌乱问题243个；加大企业人才支持力度，为56名企业人才兑现补贴45.3万元；狠抓工业污染防治，配合蓝天办完成了“蓝天保卫战特护期”工作任务，完成了森华木业的销号工作；深入开展除患攻坚行动安全生产大检查行动，共检查工业企业25家，立行立改各类安全隐患40余个，从源头上遏制重大事故发生。</w:t>
      </w:r>
    </w:p>
    <w:p w14:paraId="72A6D469">
      <w:pPr>
        <w:numPr>
          <w:ilvl w:val="0"/>
          <w:numId w:val="1"/>
        </w:numPr>
        <w:autoSpaceDE w:val="0"/>
        <w:spacing w:line="520" w:lineRule="exact"/>
        <w:ind w:left="316" w:leftChars="100" w:firstLine="316" w:firstLineChars="100"/>
        <w:rPr>
          <w:rFonts w:hint="eastAsia"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部门整体支出规模、使用方向、主要内容和涉及范围。</w:t>
      </w:r>
    </w:p>
    <w:p w14:paraId="64F44F77">
      <w:pPr>
        <w:numPr>
          <w:numId w:val="0"/>
        </w:numPr>
        <w:autoSpaceDE w:val="0"/>
        <w:spacing w:line="520" w:lineRule="exact"/>
        <w:ind w:leftChars="200"/>
        <w:rPr>
          <w:rFonts w:hint="eastAsia" w:ascii="仿宋" w:hAnsi="仿宋" w:eastAsia="仿宋" w:cs="仿宋"/>
          <w:color w:val="000000"/>
          <w:kern w:val="0"/>
          <w:szCs w:val="32"/>
        </w:rPr>
      </w:pPr>
    </w:p>
    <w:p w14:paraId="28304909">
      <w:pPr>
        <w:numPr>
          <w:numId w:val="0"/>
        </w:numPr>
        <w:autoSpaceDE w:val="0"/>
        <w:spacing w:line="520" w:lineRule="exact"/>
        <w:rPr>
          <w:rFonts w:ascii="仿宋" w:hAnsi="仿宋" w:eastAsia="仿宋" w:cs="仿宋"/>
          <w:b/>
          <w:color w:val="000000"/>
          <w:kern w:val="0"/>
          <w:szCs w:val="32"/>
        </w:rPr>
      </w:pPr>
      <w:r>
        <w:rPr>
          <w:rFonts w:hint="eastAsia" w:ascii="仿宋" w:hAnsi="仿宋" w:eastAsia="仿宋" w:cs="仿宋"/>
          <w:b/>
          <w:color w:val="000000"/>
          <w:kern w:val="0"/>
          <w:szCs w:val="32"/>
          <w:lang w:eastAsia="zh-CN"/>
        </w:rPr>
        <w:t>二、</w:t>
      </w:r>
      <w:r>
        <w:rPr>
          <w:rFonts w:hint="eastAsia" w:ascii="仿宋" w:hAnsi="仿宋" w:eastAsia="仿宋" w:cs="仿宋"/>
          <w:b/>
          <w:color w:val="000000"/>
          <w:kern w:val="0"/>
          <w:szCs w:val="32"/>
        </w:rPr>
        <w:t>一般公共预算支出情况</w:t>
      </w:r>
    </w:p>
    <w:p w14:paraId="06C85A59">
      <w:pPr>
        <w:autoSpaceDE w:val="0"/>
        <w:spacing w:line="520" w:lineRule="exact"/>
        <w:ind w:firstLine="632" w:firstLineChars="200"/>
        <w:rPr>
          <w:rFonts w:ascii="仿宋" w:hAnsi="仿宋" w:eastAsia="仿宋" w:cs="仿宋"/>
          <w:color w:val="000000"/>
          <w:kern w:val="0"/>
          <w:szCs w:val="32"/>
        </w:rPr>
      </w:pPr>
      <w:r>
        <w:rPr>
          <w:rFonts w:hint="eastAsia" w:ascii="仿宋" w:hAnsi="仿宋" w:eastAsia="仿宋" w:cs="仿宋"/>
          <w:color w:val="000000"/>
          <w:kern w:val="0"/>
          <w:szCs w:val="32"/>
        </w:rPr>
        <w:t>我局2024年一般公共预算财政拨款收入716.31万元，其他收入10.52万元，全年一般公共预算收入总计726.83万元。2024年一般公共预算支出726.83元，其中基本支出388.38万元，占53.43%。项目支出338.45万元，占46.57%。</w:t>
      </w:r>
    </w:p>
    <w:p w14:paraId="4BCBAC28">
      <w:pPr>
        <w:widowControl/>
        <w:shd w:val="clear" w:color="auto" w:fill="FFFFFF"/>
        <w:spacing w:line="520" w:lineRule="exact"/>
        <w:ind w:firstLine="632" w:firstLineChars="200"/>
        <w:jc w:val="left"/>
        <w:rPr>
          <w:rFonts w:ascii="仿宋" w:hAnsi="仿宋" w:eastAsia="仿宋" w:cs="仿宋"/>
          <w:b/>
          <w:bCs/>
          <w:color w:val="000000"/>
          <w:kern w:val="0"/>
          <w:szCs w:val="32"/>
        </w:rPr>
      </w:pPr>
      <w:r>
        <w:rPr>
          <w:rFonts w:hint="eastAsia" w:ascii="仿宋" w:hAnsi="仿宋" w:eastAsia="仿宋" w:cs="仿宋"/>
          <w:b/>
          <w:bCs/>
          <w:color w:val="000000"/>
          <w:kern w:val="0"/>
          <w:szCs w:val="32"/>
        </w:rPr>
        <w:t>（一）基本支出情况</w:t>
      </w:r>
    </w:p>
    <w:p w14:paraId="53701749">
      <w:pPr>
        <w:widowControl/>
        <w:shd w:val="clear" w:color="auto" w:fill="FFFFFF"/>
        <w:spacing w:line="520" w:lineRule="exact"/>
        <w:ind w:firstLine="640"/>
        <w:jc w:val="left"/>
        <w:rPr>
          <w:rFonts w:ascii="仿宋" w:hAnsi="仿宋" w:eastAsia="仿宋" w:cs="仿宋"/>
          <w:color w:val="000000"/>
          <w:kern w:val="0"/>
          <w:szCs w:val="32"/>
        </w:rPr>
      </w:pPr>
      <w:r>
        <w:rPr>
          <w:rFonts w:hint="eastAsia" w:ascii="仿宋" w:hAnsi="仿宋" w:eastAsia="仿宋" w:cs="仿宋"/>
          <w:color w:val="000000"/>
          <w:kern w:val="0"/>
          <w:szCs w:val="32"/>
        </w:rPr>
        <w:t>基本支出是用于为保障机关正常运转、完成日常工作任务而发生的支出，包括人员经费和日公用经费。</w:t>
      </w:r>
    </w:p>
    <w:p w14:paraId="1CF69053">
      <w:pPr>
        <w:widowControl/>
        <w:shd w:val="clear" w:color="auto" w:fill="FFFFFF"/>
        <w:spacing w:line="520" w:lineRule="exact"/>
        <w:ind w:firstLine="640"/>
        <w:jc w:val="left"/>
        <w:rPr>
          <w:rFonts w:ascii="仿宋" w:hAnsi="仿宋" w:eastAsia="仿宋" w:cs="仿宋"/>
          <w:color w:val="000000"/>
          <w:kern w:val="0"/>
          <w:szCs w:val="32"/>
        </w:rPr>
      </w:pPr>
      <w:r>
        <w:rPr>
          <w:rFonts w:hint="eastAsia" w:ascii="仿宋" w:hAnsi="仿宋" w:eastAsia="仿宋" w:cs="仿宋"/>
          <w:color w:val="000000"/>
          <w:kern w:val="0"/>
          <w:szCs w:val="32"/>
        </w:rPr>
        <w:t>2024区财政批复的基本支出年初预算为330.1万元，年中调整追加58.28万元，本年实际支出388.38元。其中人员经费支出319.58万元，公用经费68.8万元。</w:t>
      </w:r>
    </w:p>
    <w:p w14:paraId="2D07C5E0">
      <w:pPr>
        <w:widowControl/>
        <w:shd w:val="clear" w:color="auto" w:fill="FFFFFF"/>
        <w:spacing w:line="520" w:lineRule="exact"/>
        <w:ind w:firstLine="632" w:firstLineChars="200"/>
        <w:jc w:val="left"/>
        <w:rPr>
          <w:rFonts w:ascii="仿宋" w:hAnsi="仿宋" w:eastAsia="仿宋" w:cs="仿宋"/>
          <w:color w:val="000000"/>
          <w:kern w:val="0"/>
          <w:szCs w:val="32"/>
        </w:rPr>
      </w:pPr>
      <w:r>
        <w:rPr>
          <w:rFonts w:hint="eastAsia" w:ascii="仿宋" w:hAnsi="仿宋" w:eastAsia="仿宋" w:cs="仿宋"/>
          <w:b/>
          <w:bCs/>
          <w:color w:val="000000"/>
          <w:kern w:val="0"/>
          <w:szCs w:val="32"/>
        </w:rPr>
        <w:t>（二）项目支出情况</w:t>
      </w:r>
    </w:p>
    <w:p w14:paraId="0B01F15C">
      <w:pPr>
        <w:widowControl/>
        <w:shd w:val="clear" w:color="auto" w:fill="FFFFFF"/>
        <w:spacing w:line="520" w:lineRule="exact"/>
        <w:ind w:firstLine="640"/>
        <w:jc w:val="left"/>
        <w:rPr>
          <w:rFonts w:ascii="仿宋" w:hAnsi="仿宋" w:eastAsia="仿宋" w:cs="仿宋"/>
          <w:color w:val="000000"/>
          <w:kern w:val="0"/>
          <w:szCs w:val="32"/>
        </w:rPr>
      </w:pPr>
      <w:r>
        <w:rPr>
          <w:rFonts w:hint="eastAsia" w:ascii="仿宋" w:hAnsi="仿宋" w:eastAsia="仿宋" w:cs="仿宋"/>
          <w:color w:val="000000"/>
          <w:kern w:val="0"/>
          <w:szCs w:val="32"/>
        </w:rPr>
        <w:t>项目支出是指单位为完成特定行政工作任务或事业发展目标而发生的支出，包括有关事业发展专项、专项业务费、基本建设支出等。</w:t>
      </w:r>
    </w:p>
    <w:p w14:paraId="4AD4E486">
      <w:pPr>
        <w:autoSpaceDE w:val="0"/>
        <w:spacing w:line="520" w:lineRule="exact"/>
        <w:ind w:firstLine="790" w:firstLineChars="250"/>
        <w:rPr>
          <w:rFonts w:ascii="仿宋" w:hAnsi="仿宋" w:eastAsia="仿宋" w:cs="仿宋"/>
          <w:b/>
          <w:bCs/>
          <w:color w:val="000000"/>
          <w:kern w:val="0"/>
          <w:szCs w:val="32"/>
        </w:rPr>
      </w:pPr>
      <w:r>
        <w:rPr>
          <w:rFonts w:hint="eastAsia" w:ascii="仿宋" w:hAnsi="仿宋" w:eastAsia="仿宋" w:cs="仿宋"/>
          <w:b/>
          <w:bCs/>
          <w:color w:val="000000"/>
          <w:kern w:val="0"/>
          <w:szCs w:val="32"/>
        </w:rPr>
        <w:t>三、政府性基金预算支出情况</w:t>
      </w:r>
    </w:p>
    <w:p w14:paraId="48501B1A">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2024年本单位无政府性基金预算支出。</w:t>
      </w:r>
    </w:p>
    <w:p w14:paraId="08FBA596">
      <w:pPr>
        <w:autoSpaceDE w:val="0"/>
        <w:spacing w:line="520" w:lineRule="exact"/>
        <w:ind w:firstLine="790" w:firstLineChars="250"/>
        <w:rPr>
          <w:rFonts w:ascii="仿宋" w:hAnsi="仿宋" w:eastAsia="仿宋" w:cs="仿宋"/>
          <w:b/>
          <w:bCs/>
          <w:color w:val="000000"/>
          <w:kern w:val="0"/>
          <w:szCs w:val="32"/>
        </w:rPr>
      </w:pPr>
      <w:r>
        <w:rPr>
          <w:rFonts w:hint="eastAsia" w:ascii="仿宋" w:hAnsi="仿宋" w:eastAsia="仿宋" w:cs="仿宋"/>
          <w:b/>
          <w:bCs/>
          <w:color w:val="000000"/>
          <w:kern w:val="0"/>
          <w:szCs w:val="32"/>
        </w:rPr>
        <w:t>四、国有资本经营预算支出情况</w:t>
      </w:r>
    </w:p>
    <w:p w14:paraId="25B16201">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2024年本单位无国有资本经营预算支出。</w:t>
      </w:r>
    </w:p>
    <w:p w14:paraId="5748C9A5">
      <w:pPr>
        <w:autoSpaceDE w:val="0"/>
        <w:spacing w:line="520" w:lineRule="exact"/>
        <w:ind w:firstLine="790" w:firstLineChars="250"/>
        <w:rPr>
          <w:rFonts w:ascii="仿宋" w:hAnsi="仿宋" w:eastAsia="仿宋" w:cs="仿宋"/>
          <w:b/>
          <w:bCs/>
          <w:color w:val="000000"/>
          <w:kern w:val="0"/>
          <w:szCs w:val="32"/>
        </w:rPr>
      </w:pPr>
      <w:r>
        <w:rPr>
          <w:rFonts w:hint="eastAsia" w:ascii="仿宋" w:hAnsi="仿宋" w:eastAsia="仿宋" w:cs="仿宋"/>
          <w:b/>
          <w:bCs/>
          <w:color w:val="000000"/>
          <w:kern w:val="0"/>
          <w:szCs w:val="32"/>
        </w:rPr>
        <w:t>五、社会保险基金预算支出情况</w:t>
      </w:r>
    </w:p>
    <w:p w14:paraId="311A7AAA">
      <w:pPr>
        <w:autoSpaceDE w:val="0"/>
        <w:spacing w:line="520" w:lineRule="exact"/>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2024年本单位无社会保险基金预算支出。</w:t>
      </w:r>
    </w:p>
    <w:p w14:paraId="1E607750">
      <w:pPr>
        <w:numPr>
          <w:ilvl w:val="0"/>
          <w:numId w:val="2"/>
        </w:numPr>
        <w:spacing w:line="600" w:lineRule="exact"/>
        <w:ind w:firstLine="632" w:firstLineChars="200"/>
        <w:rPr>
          <w:rFonts w:hint="eastAsia" w:ascii="仿宋" w:hAnsi="仿宋" w:eastAsia="仿宋" w:cs="仿宋"/>
          <w:b/>
          <w:color w:val="000000"/>
          <w:kern w:val="0"/>
          <w:szCs w:val="32"/>
        </w:rPr>
      </w:pPr>
      <w:r>
        <w:rPr>
          <w:rFonts w:hint="eastAsia" w:ascii="仿宋" w:hAnsi="仿宋" w:eastAsia="仿宋" w:cs="仿宋"/>
          <w:b/>
          <w:color w:val="000000"/>
          <w:kern w:val="0"/>
          <w:szCs w:val="32"/>
        </w:rPr>
        <w:t>部门整体支出绩效情况：</w:t>
      </w:r>
    </w:p>
    <w:p w14:paraId="6CAA420E">
      <w:pPr>
        <w:numPr>
          <w:numId w:val="0"/>
        </w:numPr>
        <w:spacing w:line="600" w:lineRule="exact"/>
        <w:rPr>
          <w:rFonts w:ascii="仿宋" w:hAnsi="仿宋" w:eastAsia="仿宋" w:cs="仿宋"/>
          <w:color w:val="000000" w:themeColor="text1"/>
          <w:kern w:val="0"/>
          <w:szCs w:val="32"/>
        </w:rPr>
      </w:pPr>
      <w:r>
        <w:rPr>
          <w:rFonts w:hint="eastAsia" w:ascii="楷体" w:hAnsi="楷体" w:eastAsia="楷体" w:cs="楷体"/>
          <w:b/>
          <w:bCs/>
          <w:szCs w:val="32"/>
          <w:lang w:eastAsia="zh-CN"/>
        </w:rPr>
        <w:t>（一）</w:t>
      </w:r>
      <w:r>
        <w:rPr>
          <w:rFonts w:hint="eastAsia" w:ascii="楷体" w:hAnsi="楷体" w:eastAsia="楷体" w:cs="楷体"/>
          <w:b/>
          <w:bCs/>
          <w:szCs w:val="32"/>
        </w:rPr>
        <w:t>夯实工业基础，促质量提升。</w:t>
      </w:r>
      <w:r>
        <w:rPr>
          <w:rFonts w:hint="eastAsia" w:ascii="仿宋" w:hAnsi="仿宋" w:eastAsia="仿宋" w:cs="仿宋"/>
          <w:b/>
          <w:szCs w:val="32"/>
        </w:rPr>
        <w:t>一是助力扩产提质。</w:t>
      </w:r>
      <w:r>
        <w:rPr>
          <w:rFonts w:hint="eastAsia" w:ascii="仿宋" w:hAnsi="仿宋" w:eastAsia="仿宋" w:cs="仿宋"/>
          <w:szCs w:val="32"/>
        </w:rPr>
        <w:t>全力抓好重点企业增量，及时了解行业发展形势、企业市场订单及增资扩产等情况，准确把握明年存量企业增长点，</w:t>
      </w:r>
      <w:r>
        <w:rPr>
          <w:rFonts w:hint="eastAsia" w:ascii="仿宋" w:hAnsi="仿宋" w:eastAsia="仿宋" w:cs="仿宋"/>
          <w:color w:val="000000" w:themeColor="text1"/>
          <w:szCs w:val="32"/>
        </w:rPr>
        <w:t>确保全区工业经济发展稳中有进、稳中提质、稳中增效，重点经济指标保持全市领先水平</w:t>
      </w:r>
      <w:r>
        <w:rPr>
          <w:rFonts w:hint="eastAsia" w:ascii="仿宋" w:hAnsi="仿宋" w:eastAsia="仿宋" w:cs="仿宋"/>
          <w:szCs w:val="32"/>
        </w:rPr>
        <w:t>。</w:t>
      </w:r>
      <w:r>
        <w:rPr>
          <w:rFonts w:hint="eastAsia" w:ascii="仿宋" w:hAnsi="仿宋" w:eastAsia="仿宋" w:cs="仿宋"/>
          <w:b/>
          <w:bCs/>
          <w:szCs w:val="32"/>
        </w:rPr>
        <w:t>二是加快入规培育。</w:t>
      </w:r>
      <w:r>
        <w:rPr>
          <w:rFonts w:hint="eastAsia" w:ascii="仿宋" w:hAnsi="仿宋" w:eastAsia="仿宋" w:cs="仿宋"/>
          <w:szCs w:val="32"/>
        </w:rPr>
        <w:t>及时跟进</w:t>
      </w:r>
      <w:r>
        <w:rPr>
          <w:rFonts w:hint="eastAsia" w:ascii="仿宋" w:hAnsi="仿宋" w:eastAsia="仿宋" w:cs="仿宋"/>
          <w:color w:val="000000" w:themeColor="text1"/>
          <w:kern w:val="0"/>
          <w:szCs w:val="32"/>
        </w:rPr>
        <w:t>新建工业重点项目库、“小升规”工业重点企业培育库、工业退规风险企业库“三库”台账。全力稳住现有规模以上工业企业，“一企一策”抓好新建企业调度服务，推动其尽快达产入规。</w:t>
      </w:r>
      <w:r>
        <w:rPr>
          <w:rFonts w:hint="eastAsia" w:ascii="仿宋" w:hAnsi="仿宋" w:eastAsia="仿宋" w:cs="仿宋"/>
          <w:b/>
          <w:bCs/>
          <w:szCs w:val="32"/>
        </w:rPr>
        <w:t>三是加强品牌提质。</w:t>
      </w:r>
      <w:r>
        <w:rPr>
          <w:rFonts w:hint="eastAsia" w:ascii="仿宋" w:hAnsi="仿宋" w:eastAsia="仿宋" w:cs="仿宋"/>
          <w:color w:val="000000" w:themeColor="text1"/>
          <w:kern w:val="0"/>
          <w:szCs w:val="32"/>
        </w:rPr>
        <w:t>大力开展“智赋万企”行动，支持企业走“专精特新”发展之路，培育更多单项冠军、“专精特新”企业，打造</w:t>
      </w:r>
      <w:r>
        <w:rPr>
          <w:rFonts w:hint="eastAsia" w:ascii="仿宋" w:hAnsi="仿宋" w:eastAsia="仿宋" w:cs="仿宋"/>
          <w:color w:val="000000" w:themeColor="text1"/>
          <w:kern w:val="0"/>
          <w:szCs w:val="32"/>
          <w:lang w:eastAsia="zh-CN"/>
        </w:rPr>
        <w:t>了</w:t>
      </w:r>
      <w:r>
        <w:rPr>
          <w:rFonts w:hint="eastAsia" w:ascii="仿宋" w:hAnsi="仿宋" w:eastAsia="仿宋" w:cs="仿宋"/>
          <w:color w:val="000000" w:themeColor="text1"/>
          <w:kern w:val="0"/>
          <w:szCs w:val="32"/>
        </w:rPr>
        <w:t>一批智能化、数字化、绿色化品牌标杆。</w:t>
      </w:r>
    </w:p>
    <w:p w14:paraId="4EEE9685">
      <w:pPr>
        <w:spacing w:line="600" w:lineRule="exact"/>
        <w:ind w:firstLine="632" w:firstLineChars="200"/>
        <w:rPr>
          <w:rFonts w:hint="eastAsia" w:ascii="Times New Roman" w:hAnsi="Times New Roman" w:eastAsia="仿宋"/>
          <w:szCs w:val="32"/>
        </w:rPr>
      </w:pPr>
      <w:r>
        <w:rPr>
          <w:rFonts w:hint="eastAsia" w:ascii="楷体" w:hAnsi="楷体" w:eastAsia="楷体" w:cs="楷体"/>
          <w:b/>
          <w:bCs/>
          <w:szCs w:val="32"/>
        </w:rPr>
        <w:t>（二）聚焦“PCB”第三极，促产业升级。</w:t>
      </w:r>
      <w:r>
        <w:rPr>
          <w:rFonts w:hint="eastAsia" w:ascii="Times New Roman" w:hAnsi="Times New Roman" w:eastAsia="仿宋"/>
          <w:szCs w:val="32"/>
        </w:rPr>
        <w:t>围绕打造中国PCB“第三极”战略目标和PCB产业发展三年行动计划，持续在产业研判、招大引强、要素保障、平台建设、企业帮扶、优化环境等方面精准发力，做大做强PCB产业集群。</w:t>
      </w:r>
    </w:p>
    <w:p w14:paraId="4DDED358">
      <w:pPr>
        <w:spacing w:line="600" w:lineRule="exact"/>
        <w:ind w:firstLine="632" w:firstLineChars="200"/>
        <w:rPr>
          <w:rFonts w:ascii="楷体" w:hAnsi="楷体" w:eastAsia="楷体" w:cs="楷体"/>
          <w:b/>
          <w:bCs/>
          <w:szCs w:val="32"/>
        </w:rPr>
      </w:pPr>
      <w:r>
        <w:rPr>
          <w:rFonts w:hint="eastAsia" w:ascii="楷体" w:hAnsi="楷体" w:eastAsia="楷体" w:cs="楷体"/>
          <w:b/>
          <w:bCs/>
          <w:szCs w:val="32"/>
        </w:rPr>
        <w:t>（三）加快项目建设进度，促提速增效。</w:t>
      </w:r>
      <w:r>
        <w:rPr>
          <w:rFonts w:hint="eastAsia" w:ascii="仿宋" w:hAnsi="仿宋" w:eastAsia="仿宋" w:cs="仿宋"/>
          <w:color w:val="000000" w:themeColor="text1"/>
          <w:szCs w:val="32"/>
        </w:rPr>
        <w:t>加强重点项目实时调度和跟踪服务，协调解决项目建设中存在的问题，加快项目开工、竣工、投产、达产步伐。</w:t>
      </w:r>
      <w:r>
        <w:rPr>
          <w:rFonts w:hint="eastAsia" w:ascii="仿宋" w:hAnsi="仿宋" w:eastAsia="仿宋" w:cs="仿宋"/>
          <w:bCs/>
          <w:szCs w:val="32"/>
        </w:rPr>
        <w:t>持续推进菲美特二期、锂驰新材、车载光学等项目建设进度</w:t>
      </w:r>
      <w:r>
        <w:rPr>
          <w:rFonts w:hint="eastAsia" w:ascii="Times New Roman" w:hAnsi="Times New Roman" w:eastAsia="仿宋"/>
          <w:szCs w:val="32"/>
        </w:rPr>
        <w:t>，助力易迅达、明正宏二期、莱通光学等项目早日建成投产。加快推进设备更新</w:t>
      </w:r>
      <w:r>
        <w:rPr>
          <w:rFonts w:ascii="Times New Roman" w:hAnsi="Times New Roman" w:eastAsia="仿宋"/>
          <w:szCs w:val="32"/>
        </w:rPr>
        <w:t>制造业入库项目</w:t>
      </w:r>
      <w:r>
        <w:rPr>
          <w:rFonts w:hint="eastAsia" w:ascii="Times New Roman" w:hAnsi="Times New Roman" w:eastAsia="仿宋"/>
          <w:szCs w:val="32"/>
        </w:rPr>
        <w:t>建设，2025年计划续建明正宏智能制造生产基地二期、富佳科技南方智能农机产业高地示范项</w:t>
      </w:r>
      <w:r>
        <w:rPr>
          <w:rFonts w:hint="eastAsia" w:ascii="仿宋" w:hAnsi="仿宋" w:eastAsia="仿宋" w:cs="仿宋"/>
          <w:bCs/>
          <w:szCs w:val="32"/>
        </w:rPr>
        <w:t>目、菲美特新能源泡沫金属材料产业化建设项目等重大项目3个。</w:t>
      </w:r>
    </w:p>
    <w:p w14:paraId="0A08A1FC">
      <w:pPr>
        <w:spacing w:line="600" w:lineRule="exact"/>
        <w:ind w:firstLine="632" w:firstLineChars="200"/>
        <w:rPr>
          <w:rFonts w:ascii="仿宋" w:hAnsi="仿宋" w:eastAsia="仿宋" w:cs="仿宋"/>
          <w:b/>
          <w:bCs/>
          <w:szCs w:val="32"/>
        </w:rPr>
      </w:pPr>
      <w:r>
        <w:rPr>
          <w:rFonts w:hint="eastAsia" w:ascii="楷体" w:hAnsi="楷体" w:eastAsia="楷体" w:cs="楷体"/>
          <w:b/>
          <w:bCs/>
          <w:szCs w:val="32"/>
        </w:rPr>
        <w:t>（四）紧盯企业难题，促纾困增效。</w:t>
      </w:r>
      <w:r>
        <w:rPr>
          <w:rFonts w:hint="eastAsia" w:ascii="仿宋" w:hAnsi="仿宋" w:eastAsia="仿宋" w:cs="仿宋"/>
          <w:b/>
          <w:bCs/>
          <w:szCs w:val="32"/>
        </w:rPr>
        <w:t>一是狠抓立项争资。</w:t>
      </w:r>
      <w:r>
        <w:rPr>
          <w:rFonts w:hint="eastAsia" w:ascii="仿宋" w:hAnsi="仿宋" w:eastAsia="仿宋" w:cs="仿宋"/>
          <w:szCs w:val="32"/>
        </w:rPr>
        <w:t>加大项目资金申报力度，积极谋划一批符合国家产业政策的大项目、好项目，为企业争取项目扶持资金。力争为明正宏、群展电子、莱通光学等企业申报先进制造业高地重大产业类项目。</w:t>
      </w:r>
      <w:r>
        <w:rPr>
          <w:rFonts w:hint="eastAsia" w:ascii="仿宋" w:hAnsi="仿宋" w:eastAsia="仿宋" w:cs="仿宋"/>
          <w:b/>
          <w:bCs/>
          <w:szCs w:val="32"/>
        </w:rPr>
        <w:t>二是破解要素保障难题。</w:t>
      </w:r>
      <w:r>
        <w:rPr>
          <w:rFonts w:hint="eastAsia" w:ascii="仿宋" w:hAnsi="仿宋" w:eastAsia="仿宋" w:cs="仿宋"/>
          <w:szCs w:val="32"/>
        </w:rPr>
        <w:t>持续落实</w:t>
      </w:r>
      <w:r>
        <w:rPr>
          <w:rFonts w:hint="eastAsia" w:ascii="仿宋" w:hAnsi="仿宋" w:eastAsia="仿宋" w:cs="仿宋"/>
          <w:color w:val="000000" w:themeColor="text1"/>
          <w:kern w:val="0"/>
          <w:szCs w:val="32"/>
        </w:rPr>
        <w:t>区级领导帮扶责任制，大力开展“两重”“两新”送解优帮扶行动，</w:t>
      </w:r>
      <w:r>
        <w:rPr>
          <w:rFonts w:hint="eastAsia" w:ascii="仿宋" w:hAnsi="仿宋" w:eastAsia="仿宋" w:cs="仿宋"/>
          <w:szCs w:val="32"/>
        </w:rPr>
        <w:t>帮助企业研究针对性对策举措，切实解决好水电气、融资贷款、用地、用工、资金奖补等方面问题，着力推动企业降本增效。</w:t>
      </w:r>
      <w:r>
        <w:rPr>
          <w:rFonts w:hint="eastAsia" w:ascii="仿宋" w:hAnsi="仿宋" w:eastAsia="仿宋" w:cs="仿宋"/>
          <w:b/>
          <w:bCs/>
          <w:szCs w:val="32"/>
        </w:rPr>
        <w:t>三是优化营商环境。</w:t>
      </w:r>
      <w:r>
        <w:rPr>
          <w:rFonts w:hint="eastAsia" w:ascii="Times New Roman" w:hAnsi="Times New Roman" w:eastAsia="仿宋"/>
          <w:szCs w:val="32"/>
        </w:rPr>
        <w:t>持续优化企业投资项目审批流程和代办服务，优化公共交通、企业高管及专业技术人员子女就学等配套服务，助企一心一意谋生产。</w:t>
      </w:r>
    </w:p>
    <w:p w14:paraId="3BFEFD2E">
      <w:pPr>
        <w:widowControl/>
        <w:numPr>
          <w:numId w:val="0"/>
        </w:numPr>
        <w:autoSpaceDN w:val="0"/>
        <w:spacing w:line="540" w:lineRule="exact"/>
        <w:ind w:left="480" w:leftChars="0"/>
        <w:rPr>
          <w:rFonts w:hint="eastAsia" w:ascii="黑体" w:hAnsi="黑体" w:eastAsia="黑体" w:cs="宋体"/>
          <w:color w:val="000000"/>
          <w:kern w:val="0"/>
          <w:sz w:val="32"/>
          <w:szCs w:val="32"/>
        </w:rPr>
      </w:pPr>
      <w:r>
        <w:rPr>
          <w:rFonts w:hint="eastAsia" w:ascii="仿宋" w:hAnsi="仿宋" w:eastAsia="仿宋" w:cs="仿宋"/>
          <w:szCs w:val="32"/>
        </w:rPr>
        <w:t>今年以来，我局锚定“三高四新”美好蓝图，坚持稳中求进工作总基调，全力建设现代化产业体系，奋力打造PCB“第三极”，工业经济实现稳中向好发展。</w:t>
      </w:r>
    </w:p>
    <w:p w14:paraId="501C3FF7">
      <w:pPr>
        <w:widowControl/>
        <w:numPr>
          <w:ilvl w:val="0"/>
          <w:numId w:val="3"/>
        </w:numPr>
        <w:autoSpaceDN w:val="0"/>
        <w:spacing w:line="540" w:lineRule="exact"/>
        <w:ind w:left="480" w:leftChars="0" w:firstLine="0" w:firstLineChars="0"/>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总体评</w:t>
      </w:r>
      <w:r>
        <w:rPr>
          <w:rFonts w:hint="eastAsia" w:ascii="黑体" w:hAnsi="黑体" w:eastAsia="黑体" w:cs="宋体"/>
          <w:color w:val="000000"/>
          <w:kern w:val="0"/>
          <w:sz w:val="32"/>
          <w:szCs w:val="32"/>
        </w:rPr>
        <w:t>价和自评得分情况</w:t>
      </w:r>
    </w:p>
    <w:p w14:paraId="5490DC6A">
      <w:pPr>
        <w:widowControl/>
        <w:numPr>
          <w:ilvl w:val="0"/>
          <w:numId w:val="0"/>
        </w:numPr>
        <w:autoSpaceDN w:val="0"/>
        <w:spacing w:line="540" w:lineRule="exact"/>
        <w:ind w:firstLine="632" w:firstLineChars="200"/>
        <w:rPr>
          <w:rFonts w:hint="eastAsia" w:ascii="仿宋_GB2312" w:hAnsi="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根据预算绩效管理要求，本单位组织对202</w:t>
      </w:r>
      <w:r>
        <w:rPr>
          <w:rFonts w:hint="eastAsia" w:ascii="仿宋_GB2312" w:hAnsi="仿宋_GB2312" w:cs="仿宋_GB2312"/>
          <w:i w:val="0"/>
          <w:iCs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度部门整体支出全面开展绩效自评，我局围绕加强和深化</w:t>
      </w:r>
      <w:r>
        <w:rPr>
          <w:rFonts w:hint="eastAsia" w:ascii="仿宋_GB2312" w:hAnsi="仿宋_GB2312" w:cs="仿宋_GB2312"/>
          <w:i w:val="0"/>
          <w:iCs w:val="0"/>
          <w:caps w:val="0"/>
          <w:color w:val="auto"/>
          <w:spacing w:val="0"/>
          <w:sz w:val="32"/>
          <w:szCs w:val="32"/>
          <w:highlight w:val="none"/>
          <w:shd w:val="clear" w:color="auto" w:fill="FFFFFF"/>
          <w:lang w:eastAsia="zh-CN"/>
        </w:rPr>
        <w:t>工业企业</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管理工作，做了大量的工作，较好地完成了各项任务，全面促进了</w:t>
      </w:r>
      <w:r>
        <w:rPr>
          <w:rFonts w:hint="eastAsia" w:ascii="仿宋_GB2312" w:hAnsi="仿宋_GB2312" w:cs="仿宋_GB2312"/>
          <w:i w:val="0"/>
          <w:iCs w:val="0"/>
          <w:caps w:val="0"/>
          <w:color w:val="auto"/>
          <w:spacing w:val="0"/>
          <w:sz w:val="32"/>
          <w:szCs w:val="32"/>
          <w:highlight w:val="none"/>
          <w:shd w:val="clear" w:color="auto" w:fill="FFFFFF"/>
          <w:lang w:eastAsia="zh-CN"/>
        </w:rPr>
        <w:t>工业企业管理</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水平。一是精抓队伍建设，实现</w:t>
      </w:r>
      <w:r>
        <w:rPr>
          <w:rFonts w:hint="eastAsia" w:ascii="仿宋_GB2312" w:hAnsi="仿宋_GB2312" w:cs="仿宋_GB2312"/>
          <w:i w:val="0"/>
          <w:iCs w:val="0"/>
          <w:caps w:val="0"/>
          <w:color w:val="auto"/>
          <w:spacing w:val="0"/>
          <w:sz w:val="32"/>
          <w:szCs w:val="32"/>
          <w:highlight w:val="none"/>
          <w:shd w:val="clear" w:color="auto" w:fill="FFFFFF"/>
          <w:lang w:eastAsia="zh-CN"/>
        </w:rPr>
        <w:t>工业企业</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整体素养再提升</w:t>
      </w:r>
      <w:r>
        <w:rPr>
          <w:rFonts w:hint="eastAsia" w:ascii="仿宋_GB2312" w:hAnsi="仿宋_GB2312" w:cs="仿宋_GB2312"/>
          <w:i w:val="0"/>
          <w:iCs w:val="0"/>
          <w:caps w:val="0"/>
          <w:color w:val="auto"/>
          <w:spacing w:val="0"/>
          <w:sz w:val="32"/>
          <w:szCs w:val="32"/>
          <w:highlight w:val="none"/>
          <w:shd w:val="clear" w:color="auto" w:fill="FFFFFF"/>
          <w:lang w:eastAsia="zh-CN"/>
        </w:rPr>
        <w:t>，二</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是精抓安全监管，实现</w:t>
      </w:r>
      <w:r>
        <w:rPr>
          <w:rFonts w:hint="eastAsia" w:ascii="仿宋_GB2312" w:hAnsi="仿宋_GB2312" w:cs="仿宋_GB2312"/>
          <w:i w:val="0"/>
          <w:iCs w:val="0"/>
          <w:caps w:val="0"/>
          <w:color w:val="auto"/>
          <w:spacing w:val="0"/>
          <w:sz w:val="32"/>
          <w:szCs w:val="32"/>
          <w:highlight w:val="none"/>
          <w:shd w:val="clear" w:color="auto" w:fill="FFFFFF"/>
          <w:lang w:eastAsia="zh-CN"/>
        </w:rPr>
        <w:t>工业企业</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管理再提升；</w:t>
      </w:r>
      <w:r>
        <w:rPr>
          <w:rFonts w:hint="eastAsia" w:ascii="仿宋_GB2312" w:hAnsi="仿宋_GB2312" w:cs="仿宋_GB2312"/>
          <w:i w:val="0"/>
          <w:iCs w:val="0"/>
          <w:caps w:val="0"/>
          <w:color w:val="auto"/>
          <w:spacing w:val="0"/>
          <w:sz w:val="32"/>
          <w:szCs w:val="32"/>
          <w:highlight w:val="none"/>
          <w:shd w:val="clear" w:color="auto" w:fill="FFFFFF"/>
          <w:lang w:eastAsia="zh-CN"/>
        </w:rPr>
        <w:t>三</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是</w:t>
      </w:r>
      <w:r>
        <w:rPr>
          <w:rFonts w:hint="eastAsia" w:ascii="仿宋_GB2312" w:hAnsi="仿宋_GB2312" w:cs="仿宋_GB2312"/>
          <w:i w:val="0"/>
          <w:iCs w:val="0"/>
          <w:caps w:val="0"/>
          <w:color w:val="auto"/>
          <w:spacing w:val="0"/>
          <w:sz w:val="32"/>
          <w:szCs w:val="32"/>
          <w:highlight w:val="none"/>
          <w:shd w:val="clear" w:color="auto" w:fill="FFFFFF"/>
          <w:lang w:eastAsia="zh-CN"/>
        </w:rPr>
        <w:t>力争全区工业增值增速</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w:t>
      </w:r>
      <w:r>
        <w:rPr>
          <w:rFonts w:hint="eastAsia" w:ascii="仿宋_GB2312" w:hAnsi="仿宋_GB2312" w:cs="仿宋_GB2312"/>
          <w:i w:val="0"/>
          <w:iCs w:val="0"/>
          <w:caps w:val="0"/>
          <w:color w:val="auto"/>
          <w:spacing w:val="0"/>
          <w:sz w:val="32"/>
          <w:szCs w:val="32"/>
          <w:highlight w:val="none"/>
          <w:shd w:val="clear" w:color="auto" w:fill="FFFFFF"/>
          <w:lang w:eastAsia="zh-CN"/>
        </w:rPr>
        <w:t>四是实现新增规模</w:t>
      </w:r>
      <w:r>
        <w:rPr>
          <w:rFonts w:hint="eastAsia" w:ascii="仿宋_GB2312" w:hAnsi="仿宋_GB2312" w:cs="仿宋_GB2312"/>
          <w:i w:val="0"/>
          <w:iCs w:val="0"/>
          <w:caps w:val="0"/>
          <w:color w:val="auto"/>
          <w:spacing w:val="0"/>
          <w:sz w:val="32"/>
          <w:szCs w:val="32"/>
          <w:highlight w:val="none"/>
          <w:shd w:val="clear" w:color="auto" w:fill="FFFFFF"/>
          <w:lang w:val="en-US" w:eastAsia="zh-CN"/>
        </w:rPr>
        <w:t>18家，五是做好企业改制扫尾工作</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实现</w:t>
      </w:r>
      <w:r>
        <w:rPr>
          <w:rFonts w:hint="eastAsia" w:ascii="仿宋_GB2312" w:hAnsi="仿宋_GB2312" w:cs="仿宋_GB2312"/>
          <w:i w:val="0"/>
          <w:iCs w:val="0"/>
          <w:caps w:val="0"/>
          <w:color w:val="auto"/>
          <w:spacing w:val="0"/>
          <w:sz w:val="32"/>
          <w:szCs w:val="32"/>
          <w:highlight w:val="none"/>
          <w:shd w:val="clear" w:color="auto" w:fill="FFFFFF"/>
          <w:lang w:eastAsia="zh-CN"/>
        </w:rPr>
        <w:t>工业企业和信息化管理的</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再提升。</w:t>
      </w:r>
      <w:r>
        <w:rPr>
          <w:rFonts w:hint="eastAsia" w:ascii="仿宋_GB2312" w:hAnsi="仿宋_GB2312" w:cs="仿宋_GB2312"/>
          <w:i w:val="0"/>
          <w:iCs w:val="0"/>
          <w:caps w:val="0"/>
          <w:color w:val="auto"/>
          <w:spacing w:val="0"/>
          <w:sz w:val="32"/>
          <w:szCs w:val="32"/>
          <w:highlight w:val="none"/>
          <w:shd w:val="clear" w:color="auto" w:fill="FFFFFF"/>
          <w:lang w:val="en-US" w:eastAsia="zh-CN"/>
        </w:rPr>
        <w:t>2024年度整体支出绩效</w:t>
      </w:r>
      <w:r>
        <w:rPr>
          <w:rFonts w:hint="eastAsia" w:ascii="仿宋_GB2312" w:hAnsi="仿宋_GB2312" w:cs="仿宋_GB2312"/>
          <w:i w:val="0"/>
          <w:iCs w:val="0"/>
          <w:caps w:val="0"/>
          <w:color w:val="auto"/>
          <w:spacing w:val="0"/>
          <w:sz w:val="32"/>
          <w:szCs w:val="32"/>
          <w:highlight w:val="none"/>
          <w:shd w:val="clear" w:color="auto" w:fill="FFFFFF"/>
          <w:lang w:eastAsia="zh-CN"/>
        </w:rPr>
        <w:t>自评得分</w:t>
      </w:r>
      <w:r>
        <w:rPr>
          <w:rFonts w:hint="eastAsia" w:ascii="仿宋_GB2312" w:hAnsi="仿宋_GB2312" w:cs="仿宋_GB2312"/>
          <w:i w:val="0"/>
          <w:iCs w:val="0"/>
          <w:caps w:val="0"/>
          <w:color w:val="auto"/>
          <w:spacing w:val="0"/>
          <w:sz w:val="32"/>
          <w:szCs w:val="32"/>
          <w:highlight w:val="none"/>
          <w:shd w:val="clear" w:color="auto" w:fill="FFFFFF"/>
          <w:lang w:val="en-US" w:eastAsia="zh-CN"/>
        </w:rPr>
        <w:t>99.5分。</w:t>
      </w:r>
    </w:p>
    <w:p w14:paraId="4A4BC35E">
      <w:pPr>
        <w:autoSpaceDE w:val="0"/>
        <w:spacing w:line="520" w:lineRule="exact"/>
        <w:rPr>
          <w:rFonts w:ascii="仿宋" w:hAnsi="仿宋" w:eastAsia="仿宋" w:cs="仿宋"/>
          <w:b/>
          <w:bCs/>
          <w:color w:val="000000"/>
          <w:kern w:val="0"/>
          <w:szCs w:val="32"/>
        </w:rPr>
      </w:pPr>
      <w:r>
        <w:rPr>
          <w:rFonts w:hint="eastAsia" w:ascii="仿宋" w:hAnsi="仿宋" w:eastAsia="仿宋" w:cs="仿宋"/>
          <w:b/>
          <w:bCs/>
          <w:color w:val="000000"/>
          <w:kern w:val="0"/>
          <w:szCs w:val="32"/>
          <w:lang w:eastAsia="zh-CN"/>
        </w:rPr>
        <w:t>八</w:t>
      </w:r>
      <w:r>
        <w:rPr>
          <w:rFonts w:hint="eastAsia" w:ascii="仿宋" w:hAnsi="仿宋" w:eastAsia="仿宋" w:cs="仿宋"/>
          <w:b/>
          <w:bCs/>
          <w:color w:val="000000"/>
          <w:kern w:val="0"/>
          <w:szCs w:val="32"/>
        </w:rPr>
        <w:t>、存在的问题及原因分析</w:t>
      </w:r>
    </w:p>
    <w:p w14:paraId="45C841D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lang w:val="en-US" w:eastAsia="zh-CN"/>
        </w:rPr>
      </w:pPr>
      <w:r>
        <w:rPr>
          <w:rFonts w:hint="eastAsia"/>
          <w:lang w:val="en-US" w:eastAsia="zh-CN"/>
        </w:rPr>
        <w:t>年初预算编制时，项目预算要进一步细化，要科学设置绩效评估指标体系。</w:t>
      </w:r>
    </w:p>
    <w:p w14:paraId="07D45CC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预算执行工作重视不够，年底因手续不齐全、资金不完善等原因造成资金无法支付，造成资金滞留结转下年再支出。</w:t>
      </w:r>
    </w:p>
    <w:p w14:paraId="742429A1">
      <w:pPr>
        <w:widowControl/>
        <w:pBdr>
          <w:bottom w:val="single" w:color="FFFFFF" w:sz="8" w:space="17"/>
        </w:pBdr>
        <w:shd w:val="clear" w:color="auto" w:fill="FFFFFF"/>
        <w:spacing w:line="520" w:lineRule="exact"/>
        <w:ind w:firstLine="608" w:firstLineChars="200"/>
        <w:rPr>
          <w:rFonts w:ascii="仿宋" w:hAnsi="仿宋" w:eastAsia="仿宋" w:cs="仿宋"/>
          <w:color w:val="000000"/>
          <w:kern w:val="0"/>
          <w:szCs w:val="32"/>
        </w:rPr>
      </w:pPr>
      <w:r>
        <w:rPr>
          <w:rFonts w:hint="eastAsia" w:ascii="仿宋" w:hAnsi="仿宋" w:eastAsia="仿宋" w:cs="仿宋"/>
          <w:color w:val="000000"/>
          <w:spacing w:val="-6"/>
          <w:kern w:val="0"/>
          <w:szCs w:val="32"/>
        </w:rPr>
        <w:t>我局虽然在绩效考核上取得了一定成绩，但目前在整体支出预算编制、执行和管理过程中，依然存在一些问题和不足。</w:t>
      </w:r>
    </w:p>
    <w:p w14:paraId="0CC966C6">
      <w:pPr>
        <w:widowControl/>
        <w:pBdr>
          <w:bottom w:val="single" w:color="FFFFFF" w:sz="8" w:space="17"/>
        </w:pBdr>
        <w:shd w:val="clear" w:color="auto" w:fill="FFFFFF"/>
        <w:spacing w:line="520" w:lineRule="exact"/>
        <w:ind w:firstLine="632" w:firstLineChars="200"/>
        <w:rPr>
          <w:rFonts w:ascii="仿宋" w:hAnsi="仿宋" w:eastAsia="仿宋" w:cs="仿宋"/>
          <w:color w:val="000000"/>
          <w:spacing w:val="-6"/>
          <w:kern w:val="0"/>
          <w:szCs w:val="32"/>
        </w:rPr>
      </w:pPr>
      <w:r>
        <w:rPr>
          <w:rFonts w:hint="eastAsia" w:ascii="仿宋" w:hAnsi="仿宋" w:eastAsia="仿宋" w:cs="仿宋"/>
          <w:color w:val="000000"/>
          <w:kern w:val="0"/>
          <w:szCs w:val="32"/>
        </w:rPr>
        <w:t>我局实施绩效管理后财政预算资金管理精细化水平已有提</w:t>
      </w:r>
      <w:r>
        <w:rPr>
          <w:rFonts w:hint="eastAsia" w:ascii="仿宋" w:hAnsi="仿宋" w:eastAsia="仿宋" w:cs="仿宋"/>
          <w:color w:val="000000"/>
          <w:spacing w:val="-6"/>
          <w:kern w:val="0"/>
          <w:szCs w:val="32"/>
        </w:rPr>
        <w:t>高，但在绩效指标设置的精准性、合理性上有待进一步改善。资金管理存在瑕疵，主要是因为人员经费缺口较大。在岗人员中有三个差额和二个自收自支人员，人员经费的钢性支出缺口较大等。</w:t>
      </w:r>
    </w:p>
    <w:p w14:paraId="51138036">
      <w:pPr>
        <w:widowControl/>
        <w:pBdr>
          <w:bottom w:val="single" w:color="FFFFFF" w:sz="8" w:space="17"/>
        </w:pBdr>
        <w:shd w:val="clear" w:color="auto" w:fill="FFFFFF"/>
        <w:spacing w:line="520" w:lineRule="exact"/>
        <w:ind w:firstLine="632" w:firstLineChars="200"/>
        <w:rPr>
          <w:rFonts w:ascii="仿宋" w:hAnsi="仿宋" w:eastAsia="仿宋" w:cs="仿宋"/>
          <w:color w:val="000000"/>
          <w:spacing w:val="-6"/>
          <w:kern w:val="0"/>
          <w:szCs w:val="32"/>
        </w:rPr>
      </w:pPr>
      <w:r>
        <w:rPr>
          <w:rFonts w:hint="eastAsia" w:ascii="仿宋" w:hAnsi="仿宋" w:eastAsia="仿宋" w:cs="仿宋"/>
          <w:b/>
          <w:bCs/>
          <w:color w:val="000000"/>
          <w:kern w:val="0"/>
          <w:szCs w:val="32"/>
          <w:lang w:eastAsia="zh-CN"/>
        </w:rPr>
        <w:t>九</w:t>
      </w:r>
      <w:r>
        <w:rPr>
          <w:rFonts w:hint="eastAsia" w:ascii="仿宋" w:hAnsi="仿宋" w:eastAsia="仿宋" w:cs="仿宋"/>
          <w:b/>
          <w:bCs/>
          <w:color w:val="000000"/>
          <w:kern w:val="0"/>
          <w:szCs w:val="32"/>
        </w:rPr>
        <w:t>、下一步改进措施</w:t>
      </w:r>
    </w:p>
    <w:p w14:paraId="32BBD39C">
      <w:pPr>
        <w:widowControl/>
        <w:pBdr>
          <w:bottom w:val="single" w:color="FFFFFF" w:sz="8" w:space="17"/>
        </w:pBdr>
        <w:shd w:val="clear" w:color="auto" w:fill="FFFFFF"/>
        <w:spacing w:line="520" w:lineRule="exact"/>
        <w:ind w:firstLine="608" w:firstLineChars="200"/>
        <w:rPr>
          <w:rFonts w:hint="eastAsia" w:ascii="Times New Roman" w:hAnsi="Times New Roman" w:cs="Times New Roman"/>
          <w:lang w:val="en-US" w:eastAsia="zh-CN"/>
        </w:rPr>
      </w:pPr>
      <w:r>
        <w:rPr>
          <w:rFonts w:hint="eastAsia" w:ascii="仿宋" w:hAnsi="仿宋" w:eastAsia="仿宋" w:cs="仿宋"/>
          <w:color w:val="000000"/>
          <w:spacing w:val="-6"/>
          <w:kern w:val="0"/>
          <w:szCs w:val="32"/>
        </w:rPr>
        <w:t>（一）进一步加强预算管理意识，遵循预算管理办法，科学合理使用财政资金，确保财政资金发挥最大效益。</w:t>
      </w:r>
      <w:r>
        <w:rPr>
          <w:rFonts w:hint="eastAsia" w:ascii="Times New Roman" w:hAnsi="Times New Roman" w:cs="Times New Roman"/>
          <w:lang w:val="en-US" w:eastAsia="zh-CN"/>
        </w:rPr>
        <w:t>在编制年初预算时，要本着实事求是，量力而行的原则，合理编制年初预算，以提高预算的科学合理性、预算执行的准确性、预算执行率。</w:t>
      </w:r>
      <w:r>
        <w:rPr>
          <w:rFonts w:hint="eastAsia" w:ascii="Times New Roman" w:hAnsi="Times New Roman" w:cs="Times New Roman"/>
          <w:lang w:val="en-US" w:eastAsia="zh-CN"/>
        </w:rPr>
        <w:br w:type="textWrapping"/>
      </w:r>
      <w:r>
        <w:rPr>
          <w:rFonts w:hint="eastAsia" w:ascii="仿宋" w:hAnsi="仿宋" w:eastAsia="仿宋" w:cs="仿宋"/>
          <w:color w:val="000000"/>
          <w:spacing w:val="-6"/>
          <w:kern w:val="0"/>
          <w:szCs w:val="32"/>
        </w:rPr>
        <w:t>（二）加强绩效管理，健全相关制度，进一步加强管理人员对相关业务知识的学习，规范部门预算收支核算，切实提高预算收支管理水平。</w:t>
      </w:r>
      <w:r>
        <w:rPr>
          <w:rFonts w:hint="eastAsia" w:ascii="Times New Roman" w:hAnsi="Times New Roman" w:cs="Times New Roman"/>
          <w:lang w:val="en-US" w:eastAsia="zh-CN"/>
        </w:rPr>
        <w:t xml:space="preserve">    </w:t>
      </w:r>
    </w:p>
    <w:p w14:paraId="2FEA0BB2">
      <w:pPr>
        <w:widowControl/>
        <w:pBdr>
          <w:bottom w:val="single" w:color="FFFFFF" w:sz="8" w:space="17"/>
        </w:pBdr>
        <w:shd w:val="clear" w:color="auto" w:fill="FFFFFF"/>
        <w:spacing w:line="520" w:lineRule="exact"/>
        <w:ind w:firstLine="632" w:firstLineChars="200"/>
        <w:rPr>
          <w:rFonts w:ascii="仿宋" w:hAnsi="仿宋" w:eastAsia="仿宋" w:cs="仿宋"/>
          <w:color w:val="000000"/>
          <w:spacing w:val="-6"/>
          <w:kern w:val="0"/>
          <w:szCs w:val="32"/>
        </w:rPr>
      </w:pPr>
      <w:r>
        <w:rPr>
          <w:rFonts w:hint="eastAsia" w:ascii="Times New Roman" w:hAnsi="Times New Roman" w:cs="Times New Roman"/>
          <w:b/>
          <w:bCs/>
          <w:lang w:val="en-US" w:eastAsia="zh-CN"/>
        </w:rPr>
        <w:t>（三）加强预算编制审核力度。</w:t>
      </w:r>
      <w:r>
        <w:rPr>
          <w:rFonts w:hint="eastAsia" w:ascii="Times New Roman" w:hAnsi="Times New Roman" w:cs="Times New Roman"/>
          <w:lang w:val="en-US" w:eastAsia="zh-CN"/>
        </w:rPr>
        <w:t>监管部门要加强对各部门预算编报的指导和审核力度，通过预算编制“两上两下”的过程把关和审核，确保各部门的年初部门预算更加科学合理，为预算执行率的提升打下基础。</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（四）加强预算执行监管力度。</w:t>
      </w:r>
      <w:r>
        <w:rPr>
          <w:rFonts w:hint="eastAsia" w:ascii="Times New Roman" w:hAnsi="Times New Roman" w:cs="Times New Roman"/>
          <w:lang w:val="en-US" w:eastAsia="zh-CN"/>
        </w:rPr>
        <w:t>加强本单位预算执行过程的调度管理，大力推进项目进度和支出进度，促进预算的有效执行和支出的及时实现，从而促进预算执行率的提升。</w:t>
      </w:r>
    </w:p>
    <w:p w14:paraId="7A06FDBC">
      <w:pPr>
        <w:widowControl/>
        <w:pBdr>
          <w:bottom w:val="single" w:color="FFFFFF" w:sz="8" w:space="17"/>
        </w:pBdr>
        <w:shd w:val="clear" w:color="auto" w:fill="FFFFFF"/>
        <w:spacing w:line="520" w:lineRule="exact"/>
        <w:ind w:firstLine="632" w:firstLineChars="200"/>
        <w:rPr>
          <w:rFonts w:ascii="仿宋" w:hAnsi="仿宋" w:eastAsia="仿宋" w:cs="仿宋"/>
          <w:b/>
          <w:bCs/>
          <w:color w:val="000000"/>
          <w:kern w:val="0"/>
          <w:szCs w:val="32"/>
        </w:rPr>
      </w:pPr>
      <w:r>
        <w:rPr>
          <w:rFonts w:hint="eastAsia" w:ascii="仿宋" w:hAnsi="仿宋" w:eastAsia="仿宋" w:cs="仿宋"/>
          <w:b/>
          <w:bCs/>
          <w:color w:val="000000"/>
          <w:kern w:val="0"/>
          <w:szCs w:val="32"/>
          <w:lang w:eastAsia="zh-CN"/>
        </w:rPr>
        <w:t>十</w:t>
      </w:r>
      <w:r>
        <w:rPr>
          <w:rFonts w:hint="eastAsia" w:ascii="仿宋" w:hAnsi="仿宋" w:eastAsia="仿宋" w:cs="仿宋"/>
          <w:b/>
          <w:bCs/>
          <w:color w:val="000000"/>
          <w:kern w:val="0"/>
          <w:szCs w:val="32"/>
        </w:rPr>
        <w:t>、部门整体支出绩效自评结果拟应用和公开情况</w:t>
      </w:r>
    </w:p>
    <w:p w14:paraId="784AD694">
      <w:pPr>
        <w:widowControl/>
        <w:pBdr>
          <w:bottom w:val="single" w:color="FFFFFF" w:sz="8" w:space="17"/>
        </w:pBdr>
        <w:shd w:val="clear" w:color="auto" w:fill="FFFFFF"/>
        <w:spacing w:line="520" w:lineRule="exact"/>
        <w:ind w:firstLine="608" w:firstLineChars="200"/>
        <w:rPr>
          <w:rFonts w:ascii="仿宋" w:hAnsi="仿宋" w:eastAsia="仿宋" w:cs="仿宋"/>
          <w:color w:val="000000"/>
          <w:spacing w:val="-6"/>
          <w:kern w:val="0"/>
          <w:szCs w:val="32"/>
        </w:rPr>
      </w:pPr>
      <w:r>
        <w:rPr>
          <w:rFonts w:hint="eastAsia" w:ascii="仿宋" w:hAnsi="仿宋" w:eastAsia="仿宋" w:cs="仿宋"/>
          <w:color w:val="000000"/>
          <w:spacing w:val="-6"/>
          <w:kern w:val="0"/>
          <w:szCs w:val="32"/>
        </w:rPr>
        <w:t>（一）绩效自评结果拟应用</w:t>
      </w:r>
    </w:p>
    <w:p w14:paraId="03DAA88D">
      <w:pPr>
        <w:widowControl/>
        <w:pBdr>
          <w:bottom w:val="single" w:color="FFFFFF" w:sz="8" w:space="17"/>
        </w:pBdr>
        <w:shd w:val="clear" w:color="auto" w:fill="FFFFFF"/>
        <w:spacing w:line="520" w:lineRule="exact"/>
        <w:ind w:firstLine="608" w:firstLineChars="200"/>
        <w:rPr>
          <w:rFonts w:ascii="仿宋" w:hAnsi="仿宋" w:eastAsia="仿宋" w:cs="仿宋"/>
          <w:color w:val="000000"/>
          <w:kern w:val="0"/>
          <w:szCs w:val="32"/>
        </w:rPr>
      </w:pPr>
      <w:r>
        <w:rPr>
          <w:rFonts w:hint="eastAsia" w:ascii="仿宋" w:hAnsi="仿宋" w:eastAsia="仿宋" w:cs="仿宋"/>
          <w:color w:val="000000"/>
          <w:spacing w:val="-6"/>
          <w:kern w:val="0"/>
          <w:szCs w:val="32"/>
        </w:rPr>
        <w:t>通过绩效自评，进一步掌握到了资金使用情况，</w:t>
      </w:r>
      <w:r>
        <w:rPr>
          <w:rFonts w:hint="eastAsia" w:ascii="仿宋" w:hAnsi="仿宋" w:eastAsia="仿宋" w:cs="仿宋"/>
          <w:color w:val="000000"/>
          <w:kern w:val="0"/>
          <w:szCs w:val="32"/>
        </w:rPr>
        <w:t>对于规范资金和更高效率的使用资金起到了很好地作用。并为不断完善预决算编制、专项资金管理起到了很好地指导作用。</w:t>
      </w:r>
    </w:p>
    <w:p w14:paraId="3F85BFD9">
      <w:pPr>
        <w:widowControl/>
        <w:pBdr>
          <w:bottom w:val="single" w:color="FFFFFF" w:sz="8" w:space="17"/>
        </w:pBdr>
        <w:shd w:val="clear" w:color="auto" w:fill="FFFFFF"/>
        <w:spacing w:line="520" w:lineRule="exact"/>
        <w:ind w:firstLine="632" w:firstLineChars="200"/>
        <w:rPr>
          <w:rFonts w:ascii="仿宋" w:hAnsi="仿宋" w:eastAsia="仿宋" w:cs="仿宋"/>
          <w:color w:val="000000"/>
          <w:kern w:val="0"/>
          <w:szCs w:val="32"/>
        </w:rPr>
      </w:pPr>
      <w:r>
        <w:rPr>
          <w:rFonts w:hint="eastAsia" w:ascii="仿宋" w:hAnsi="仿宋" w:eastAsia="仿宋" w:cs="仿宋"/>
          <w:color w:val="000000"/>
          <w:kern w:val="0"/>
          <w:szCs w:val="32"/>
        </w:rPr>
        <w:t>（二）绩效自评结果公开情况</w:t>
      </w:r>
    </w:p>
    <w:p w14:paraId="45DFC28A">
      <w:pPr>
        <w:widowControl/>
        <w:pBdr>
          <w:bottom w:val="single" w:color="FFFFFF" w:sz="8" w:space="17"/>
        </w:pBdr>
        <w:shd w:val="clear" w:color="auto" w:fill="FFFFFF"/>
        <w:spacing w:line="520" w:lineRule="exact"/>
        <w:ind w:firstLine="632" w:firstLineChars="200"/>
        <w:rPr>
          <w:rFonts w:ascii="仿宋" w:hAnsi="仿宋" w:eastAsia="仿宋" w:cs="仿宋"/>
          <w:color w:val="000000"/>
          <w:kern w:val="0"/>
          <w:szCs w:val="32"/>
        </w:rPr>
      </w:pPr>
      <w:r>
        <w:rPr>
          <w:rFonts w:hint="eastAsia" w:ascii="仿宋" w:hAnsi="仿宋" w:eastAsia="仿宋" w:cs="仿宋"/>
          <w:color w:val="000000"/>
          <w:kern w:val="0"/>
          <w:szCs w:val="32"/>
        </w:rPr>
        <w:t>此次绩效自评报告将在资阳区政府官网上予以全文公布，向社会公开，广泛接受群众监督。</w:t>
      </w:r>
    </w:p>
    <w:p w14:paraId="753DC368">
      <w:pPr>
        <w:widowControl/>
        <w:pBdr>
          <w:bottom w:val="single" w:color="FFFFFF" w:sz="8" w:space="17"/>
        </w:pBdr>
        <w:shd w:val="clear" w:color="auto" w:fill="FFFFFF"/>
        <w:spacing w:line="520" w:lineRule="exact"/>
        <w:ind w:firstLine="632" w:firstLineChars="200"/>
        <w:rPr>
          <w:rFonts w:ascii="仿宋" w:hAnsi="仿宋" w:eastAsia="仿宋" w:cs="仿宋"/>
          <w:b/>
          <w:bCs/>
          <w:color w:val="000000"/>
          <w:kern w:val="0"/>
          <w:szCs w:val="32"/>
        </w:rPr>
      </w:pPr>
      <w:r>
        <w:rPr>
          <w:rFonts w:hint="eastAsia" w:ascii="仿宋" w:hAnsi="仿宋" w:eastAsia="仿宋" w:cs="仿宋"/>
          <w:b/>
          <w:bCs/>
          <w:color w:val="000000"/>
          <w:kern w:val="0"/>
          <w:szCs w:val="32"/>
        </w:rPr>
        <w:t>十</w:t>
      </w:r>
      <w:r>
        <w:rPr>
          <w:rFonts w:hint="eastAsia" w:ascii="仿宋" w:hAnsi="仿宋" w:eastAsia="仿宋" w:cs="仿宋"/>
          <w:b/>
          <w:bCs/>
          <w:color w:val="000000"/>
          <w:kern w:val="0"/>
          <w:szCs w:val="32"/>
          <w:lang w:eastAsia="zh-CN"/>
        </w:rPr>
        <w:t>一</w:t>
      </w:r>
      <w:bookmarkStart w:id="0" w:name="_GoBack"/>
      <w:bookmarkEnd w:id="0"/>
      <w:r>
        <w:rPr>
          <w:rFonts w:hint="eastAsia" w:ascii="仿宋" w:hAnsi="仿宋" w:eastAsia="仿宋" w:cs="仿宋"/>
          <w:b/>
          <w:bCs/>
          <w:color w:val="000000"/>
          <w:kern w:val="0"/>
          <w:szCs w:val="32"/>
        </w:rPr>
        <w:t>、其他需要说明的情况</w:t>
      </w:r>
    </w:p>
    <w:p w14:paraId="3B6CCB50">
      <w:pPr>
        <w:widowControl/>
        <w:pBdr>
          <w:bottom w:val="single" w:color="FFFFFF" w:sz="8" w:space="17"/>
        </w:pBdr>
        <w:shd w:val="clear" w:color="auto" w:fill="FFFFFF"/>
        <w:spacing w:line="520" w:lineRule="exact"/>
        <w:ind w:firstLine="632" w:firstLineChars="200"/>
        <w:rPr>
          <w:rFonts w:ascii="仿宋" w:hAnsi="仿宋" w:eastAsia="仿宋" w:cs="仿宋"/>
          <w:color w:val="000000"/>
          <w:kern w:val="0"/>
          <w:szCs w:val="32"/>
        </w:rPr>
      </w:pPr>
      <w:r>
        <w:rPr>
          <w:rFonts w:hint="eastAsia" w:ascii="仿宋" w:hAnsi="仿宋" w:eastAsia="仿宋" w:cs="仿宋"/>
          <w:color w:val="000000"/>
          <w:kern w:val="0"/>
          <w:szCs w:val="32"/>
        </w:rPr>
        <w:t>本单位无其他重要事项需要说明</w:t>
      </w:r>
    </w:p>
    <w:p w14:paraId="6F6F7C2C">
      <w:pPr>
        <w:autoSpaceDE w:val="0"/>
        <w:ind w:firstLine="790" w:firstLineChars="250"/>
        <w:rPr>
          <w:rFonts w:ascii="仿宋" w:hAnsi="仿宋" w:eastAsia="仿宋" w:cs="仿宋"/>
          <w:color w:val="000000"/>
          <w:kern w:val="0"/>
          <w:szCs w:val="32"/>
        </w:rPr>
      </w:pPr>
    </w:p>
    <w:p w14:paraId="49C6E393">
      <w:pPr>
        <w:autoSpaceDE w:val="0"/>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附件：</w:t>
      </w:r>
    </w:p>
    <w:p w14:paraId="2F62B5D7">
      <w:pPr>
        <w:autoSpaceDE w:val="0"/>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1、部门整体支出绩效评价基础数据表</w:t>
      </w:r>
    </w:p>
    <w:p w14:paraId="5C46C4CC">
      <w:pPr>
        <w:autoSpaceDE w:val="0"/>
        <w:ind w:firstLine="790" w:firstLineChars="250"/>
        <w:rPr>
          <w:rFonts w:ascii="仿宋" w:hAnsi="仿宋" w:eastAsia="仿宋" w:cs="仿宋"/>
          <w:color w:val="000000"/>
          <w:kern w:val="0"/>
          <w:szCs w:val="32"/>
        </w:rPr>
      </w:pPr>
      <w:r>
        <w:rPr>
          <w:rFonts w:hint="eastAsia" w:ascii="仿宋" w:hAnsi="仿宋" w:eastAsia="仿宋" w:cs="仿宋"/>
          <w:color w:val="000000"/>
          <w:kern w:val="0"/>
          <w:szCs w:val="32"/>
        </w:rPr>
        <w:t>2、部门整体支出绩效自评表</w:t>
      </w:r>
    </w:p>
    <w:p w14:paraId="5BF7E554">
      <w:pPr>
        <w:widowControl/>
        <w:spacing w:line="560" w:lineRule="exact"/>
        <w:jc w:val="left"/>
        <w:rPr>
          <w:rFonts w:ascii="仿宋" w:hAnsi="仿宋" w:eastAsia="仿宋" w:cs="仿宋"/>
          <w:szCs w:val="32"/>
        </w:rPr>
      </w:pPr>
    </w:p>
    <w:p w14:paraId="5E1B160D">
      <w:pPr>
        <w:widowControl/>
        <w:spacing w:line="560" w:lineRule="exact"/>
        <w:jc w:val="left"/>
        <w:rPr>
          <w:rFonts w:ascii="仿宋" w:hAnsi="仿宋" w:eastAsia="仿宋" w:cs="仿宋"/>
          <w:szCs w:val="32"/>
        </w:rPr>
      </w:pPr>
    </w:p>
    <w:p w14:paraId="744F56A9">
      <w:pPr>
        <w:widowControl/>
        <w:spacing w:line="560" w:lineRule="exact"/>
        <w:jc w:val="left"/>
        <w:rPr>
          <w:rFonts w:ascii="仿宋" w:hAnsi="仿宋" w:eastAsia="仿宋" w:cs="仿宋"/>
          <w:szCs w:val="32"/>
        </w:rPr>
      </w:pPr>
    </w:p>
    <w:p w14:paraId="3D7ED837">
      <w:pPr>
        <w:widowControl/>
        <w:spacing w:line="560" w:lineRule="exact"/>
        <w:jc w:val="left"/>
        <w:rPr>
          <w:rFonts w:ascii="仿宋" w:hAnsi="仿宋" w:eastAsia="仿宋" w:cs="仿宋"/>
          <w:szCs w:val="32"/>
        </w:rPr>
      </w:pPr>
    </w:p>
    <w:p w14:paraId="66656DF8">
      <w:pPr>
        <w:widowControl/>
        <w:spacing w:line="560" w:lineRule="exact"/>
        <w:jc w:val="left"/>
        <w:rPr>
          <w:rFonts w:ascii="仿宋" w:hAnsi="仿宋" w:eastAsia="仿宋" w:cs="仿宋"/>
          <w:szCs w:val="32"/>
        </w:rPr>
      </w:pPr>
    </w:p>
    <w:p w14:paraId="58214157">
      <w:pPr>
        <w:widowControl/>
        <w:spacing w:line="560" w:lineRule="exact"/>
        <w:jc w:val="left"/>
        <w:rPr>
          <w:rFonts w:ascii="仿宋" w:hAnsi="仿宋" w:eastAsia="仿宋" w:cs="仿宋"/>
          <w:szCs w:val="32"/>
        </w:rPr>
      </w:pPr>
    </w:p>
    <w:p w14:paraId="1EFFF593">
      <w:pPr>
        <w:widowControl/>
        <w:jc w:val="left"/>
        <w:rPr>
          <w:rFonts w:ascii="仿宋" w:hAnsi="仿宋" w:eastAsia="仿宋" w:cs="仿宋"/>
          <w:szCs w:val="32"/>
        </w:rPr>
      </w:pPr>
      <w:r>
        <w:rPr>
          <w:rFonts w:ascii="仿宋" w:hAnsi="仿宋" w:eastAsia="仿宋" w:cs="仿宋"/>
          <w:szCs w:val="32"/>
        </w:rPr>
        <w:br w:type="page"/>
      </w:r>
    </w:p>
    <w:p w14:paraId="6A56C7D7">
      <w:pPr>
        <w:widowControl/>
        <w:spacing w:line="560" w:lineRule="exact"/>
        <w:jc w:val="left"/>
        <w:rPr>
          <w:rFonts w:ascii="仿宋" w:hAnsi="仿宋" w:eastAsia="仿宋" w:cs="仿宋"/>
          <w:szCs w:val="32"/>
        </w:rPr>
      </w:pPr>
      <w:r>
        <w:rPr>
          <w:rFonts w:hint="eastAsia" w:ascii="仿宋" w:hAnsi="仿宋" w:eastAsia="仿宋" w:cs="仿宋"/>
          <w:szCs w:val="32"/>
        </w:rPr>
        <w:t>附件1</w:t>
      </w:r>
    </w:p>
    <w:p w14:paraId="3CC0A5D3">
      <w:pPr>
        <w:widowControl/>
        <w:shd w:val="clear" w:color="auto" w:fill="FFFFFF"/>
        <w:spacing w:line="600" w:lineRule="atLeast"/>
        <w:jc w:val="center"/>
        <w:rPr>
          <w:rFonts w:ascii="方正小标宋简体" w:hAnsi="微软雅黑" w:eastAsia="方正小标宋简体" w:cs="宋体"/>
          <w:color w:val="000000"/>
          <w:kern w:val="0"/>
          <w:sz w:val="36"/>
          <w:szCs w:val="36"/>
        </w:rPr>
      </w:pPr>
      <w:r>
        <w:rPr>
          <w:rFonts w:hint="eastAsia" w:ascii="方正小标宋简体" w:hAnsi="微软雅黑" w:eastAsia="方正小标宋简体" w:cs="宋体"/>
          <w:color w:val="000000"/>
          <w:kern w:val="0"/>
          <w:sz w:val="36"/>
          <w:szCs w:val="36"/>
        </w:rPr>
        <w:t>2024年度资阳区工信局整体支出绩效评价基础数据表</w:t>
      </w:r>
    </w:p>
    <w:tbl>
      <w:tblPr>
        <w:tblStyle w:val="8"/>
        <w:tblW w:w="0" w:type="auto"/>
        <w:jc w:val="center"/>
        <w:tblLayout w:type="autofit"/>
        <w:tblCellMar>
          <w:top w:w="0" w:type="dxa"/>
          <w:left w:w="108" w:type="dxa"/>
          <w:bottom w:w="0" w:type="dxa"/>
          <w:right w:w="108" w:type="dxa"/>
        </w:tblCellMar>
      </w:tblPr>
      <w:tblGrid>
        <w:gridCol w:w="2943"/>
        <w:gridCol w:w="993"/>
        <w:gridCol w:w="850"/>
        <w:gridCol w:w="1134"/>
        <w:gridCol w:w="1039"/>
        <w:gridCol w:w="1087"/>
        <w:gridCol w:w="1015"/>
      </w:tblGrid>
      <w:tr w14:paraId="452D292E">
        <w:tblPrEx>
          <w:tblCellMar>
            <w:top w:w="0" w:type="dxa"/>
            <w:left w:w="108" w:type="dxa"/>
            <w:bottom w:w="0" w:type="dxa"/>
            <w:right w:w="108" w:type="dxa"/>
          </w:tblCellMar>
        </w:tblPrEx>
        <w:trPr>
          <w:trHeight w:val="373" w:hRule="atLeast"/>
          <w:jc w:val="center"/>
        </w:trPr>
        <w:tc>
          <w:tcPr>
            <w:tcW w:w="2943" w:type="dxa"/>
            <w:vMerge w:val="restart"/>
            <w:tcBorders>
              <w:top w:val="single" w:color="auto" w:sz="4" w:space="0"/>
              <w:left w:val="single" w:color="auto" w:sz="4" w:space="0"/>
              <w:bottom w:val="single" w:color="auto" w:sz="4" w:space="0"/>
              <w:right w:val="single" w:color="auto" w:sz="4" w:space="0"/>
            </w:tcBorders>
            <w:vAlign w:val="center"/>
          </w:tcPr>
          <w:p w14:paraId="26D06ACA">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财政供养人员情况（人）</w:t>
            </w:r>
          </w:p>
        </w:tc>
        <w:tc>
          <w:tcPr>
            <w:tcW w:w="1843" w:type="dxa"/>
            <w:gridSpan w:val="2"/>
            <w:tcBorders>
              <w:top w:val="single" w:color="auto" w:sz="4" w:space="0"/>
              <w:left w:val="nil"/>
              <w:bottom w:val="single" w:color="auto" w:sz="4" w:space="0"/>
              <w:right w:val="single" w:color="auto" w:sz="4" w:space="0"/>
            </w:tcBorders>
            <w:vAlign w:val="center"/>
          </w:tcPr>
          <w:p w14:paraId="702991A8">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编制数</w:t>
            </w:r>
          </w:p>
        </w:tc>
        <w:tc>
          <w:tcPr>
            <w:tcW w:w="2173" w:type="dxa"/>
            <w:gridSpan w:val="2"/>
            <w:tcBorders>
              <w:top w:val="single" w:color="auto" w:sz="4" w:space="0"/>
              <w:left w:val="nil"/>
              <w:bottom w:val="single" w:color="auto" w:sz="4" w:space="0"/>
              <w:right w:val="single" w:color="auto" w:sz="4" w:space="0"/>
            </w:tcBorders>
            <w:vAlign w:val="center"/>
          </w:tcPr>
          <w:p w14:paraId="066278A9">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2023年实际在职人数</w:t>
            </w:r>
          </w:p>
        </w:tc>
        <w:tc>
          <w:tcPr>
            <w:tcW w:w="2102" w:type="dxa"/>
            <w:gridSpan w:val="2"/>
            <w:tcBorders>
              <w:top w:val="single" w:color="auto" w:sz="4" w:space="0"/>
              <w:left w:val="nil"/>
              <w:bottom w:val="single" w:color="auto" w:sz="4" w:space="0"/>
              <w:right w:val="single" w:color="auto" w:sz="4" w:space="0"/>
            </w:tcBorders>
            <w:vAlign w:val="center"/>
          </w:tcPr>
          <w:p w14:paraId="45ABF3BE">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控制率</w:t>
            </w:r>
          </w:p>
        </w:tc>
      </w:tr>
      <w:tr w14:paraId="676216D6">
        <w:tblPrEx>
          <w:tblCellMar>
            <w:top w:w="0" w:type="dxa"/>
            <w:left w:w="108" w:type="dxa"/>
            <w:bottom w:w="0" w:type="dxa"/>
            <w:right w:w="108" w:type="dxa"/>
          </w:tblCellMar>
        </w:tblPrEx>
        <w:trPr>
          <w:trHeight w:val="123" w:hRule="atLeast"/>
          <w:jc w:val="center"/>
        </w:trPr>
        <w:tc>
          <w:tcPr>
            <w:tcW w:w="2943" w:type="dxa"/>
            <w:vMerge w:val="continue"/>
            <w:tcBorders>
              <w:top w:val="single" w:color="auto" w:sz="4" w:space="0"/>
              <w:left w:val="single" w:color="auto" w:sz="4" w:space="0"/>
              <w:bottom w:val="single" w:color="auto" w:sz="4" w:space="0"/>
              <w:right w:val="single" w:color="auto" w:sz="4" w:space="0"/>
            </w:tcBorders>
            <w:vAlign w:val="center"/>
          </w:tcPr>
          <w:p w14:paraId="149106BD">
            <w:pPr>
              <w:widowControl/>
              <w:spacing w:line="440" w:lineRule="exact"/>
              <w:jc w:val="center"/>
              <w:rPr>
                <w:rFonts w:cs="仿宋" w:asciiTheme="minorEastAsia" w:hAnsiTheme="minorEastAsia" w:eastAsiaTheme="minorEastAsia"/>
                <w:kern w:val="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14:paraId="6AD03D83">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24</w:t>
            </w:r>
          </w:p>
        </w:tc>
        <w:tc>
          <w:tcPr>
            <w:tcW w:w="2173" w:type="dxa"/>
            <w:gridSpan w:val="2"/>
            <w:tcBorders>
              <w:top w:val="single" w:color="auto" w:sz="4" w:space="0"/>
              <w:left w:val="nil"/>
              <w:bottom w:val="single" w:color="auto" w:sz="4" w:space="0"/>
              <w:right w:val="single" w:color="auto" w:sz="4" w:space="0"/>
            </w:tcBorders>
            <w:vAlign w:val="center"/>
          </w:tcPr>
          <w:p w14:paraId="69742C6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24</w:t>
            </w:r>
          </w:p>
        </w:tc>
        <w:tc>
          <w:tcPr>
            <w:tcW w:w="2102" w:type="dxa"/>
            <w:gridSpan w:val="2"/>
            <w:tcBorders>
              <w:top w:val="single" w:color="auto" w:sz="4" w:space="0"/>
              <w:left w:val="nil"/>
              <w:bottom w:val="single" w:color="auto" w:sz="4" w:space="0"/>
              <w:right w:val="single" w:color="auto" w:sz="4" w:space="0"/>
            </w:tcBorders>
            <w:vAlign w:val="center"/>
          </w:tcPr>
          <w:p w14:paraId="16D3767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100%</w:t>
            </w:r>
          </w:p>
        </w:tc>
      </w:tr>
      <w:tr w14:paraId="2737864A">
        <w:tblPrEx>
          <w:tblCellMar>
            <w:top w:w="0" w:type="dxa"/>
            <w:left w:w="108" w:type="dxa"/>
            <w:bottom w:w="0" w:type="dxa"/>
            <w:right w:w="108" w:type="dxa"/>
          </w:tblCellMar>
        </w:tblPrEx>
        <w:trPr>
          <w:trHeight w:val="373" w:hRule="atLeast"/>
          <w:jc w:val="center"/>
        </w:trPr>
        <w:tc>
          <w:tcPr>
            <w:tcW w:w="2943" w:type="dxa"/>
            <w:tcBorders>
              <w:top w:val="nil"/>
              <w:left w:val="single" w:color="auto" w:sz="4" w:space="0"/>
              <w:bottom w:val="single" w:color="auto" w:sz="4" w:space="0"/>
              <w:right w:val="single" w:color="auto" w:sz="4" w:space="0"/>
            </w:tcBorders>
            <w:vAlign w:val="center"/>
          </w:tcPr>
          <w:p w14:paraId="5BDBD8F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经费控制情况（万元）</w:t>
            </w:r>
          </w:p>
        </w:tc>
        <w:tc>
          <w:tcPr>
            <w:tcW w:w="1843" w:type="dxa"/>
            <w:gridSpan w:val="2"/>
            <w:tcBorders>
              <w:top w:val="single" w:color="auto" w:sz="4" w:space="0"/>
              <w:left w:val="nil"/>
              <w:bottom w:val="single" w:color="auto" w:sz="4" w:space="0"/>
              <w:right w:val="single" w:color="000000" w:sz="4" w:space="0"/>
            </w:tcBorders>
            <w:vAlign w:val="center"/>
          </w:tcPr>
          <w:p w14:paraId="252CAE55">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2023年决算数</w:t>
            </w:r>
          </w:p>
        </w:tc>
        <w:tc>
          <w:tcPr>
            <w:tcW w:w="2173" w:type="dxa"/>
            <w:gridSpan w:val="2"/>
            <w:tcBorders>
              <w:top w:val="single" w:color="auto" w:sz="4" w:space="0"/>
              <w:left w:val="nil"/>
              <w:bottom w:val="single" w:color="auto" w:sz="4" w:space="0"/>
              <w:right w:val="single" w:color="000000" w:sz="4" w:space="0"/>
            </w:tcBorders>
            <w:vAlign w:val="center"/>
          </w:tcPr>
          <w:p w14:paraId="34F72FC8">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2024年预算数</w:t>
            </w:r>
          </w:p>
        </w:tc>
        <w:tc>
          <w:tcPr>
            <w:tcW w:w="2102" w:type="dxa"/>
            <w:gridSpan w:val="2"/>
            <w:tcBorders>
              <w:top w:val="single" w:color="auto" w:sz="4" w:space="0"/>
              <w:left w:val="nil"/>
              <w:bottom w:val="single" w:color="auto" w:sz="4" w:space="0"/>
              <w:right w:val="single" w:color="000000" w:sz="4" w:space="0"/>
            </w:tcBorders>
            <w:vAlign w:val="center"/>
          </w:tcPr>
          <w:p w14:paraId="4B0D9933">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2024年决算数</w:t>
            </w:r>
          </w:p>
        </w:tc>
      </w:tr>
      <w:tr w14:paraId="4DA6DA10">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0984EC51">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b/>
                <w:bCs/>
                <w:kern w:val="0"/>
                <w:sz w:val="18"/>
                <w:szCs w:val="18"/>
              </w:rPr>
              <w:t>支出总额</w:t>
            </w:r>
          </w:p>
        </w:tc>
        <w:tc>
          <w:tcPr>
            <w:tcW w:w="1843" w:type="dxa"/>
            <w:gridSpan w:val="2"/>
            <w:tcBorders>
              <w:top w:val="single" w:color="auto" w:sz="4" w:space="0"/>
              <w:left w:val="nil"/>
              <w:bottom w:val="single" w:color="auto" w:sz="4" w:space="0"/>
              <w:right w:val="single" w:color="000000" w:sz="4" w:space="0"/>
            </w:tcBorders>
            <w:vAlign w:val="center"/>
          </w:tcPr>
          <w:p w14:paraId="6EB2947D">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4319.85</w:t>
            </w:r>
          </w:p>
        </w:tc>
        <w:tc>
          <w:tcPr>
            <w:tcW w:w="2173" w:type="dxa"/>
            <w:gridSpan w:val="2"/>
            <w:tcBorders>
              <w:top w:val="single" w:color="auto" w:sz="4" w:space="0"/>
              <w:left w:val="nil"/>
              <w:bottom w:val="single" w:color="auto" w:sz="4" w:space="0"/>
              <w:right w:val="single" w:color="000000" w:sz="4" w:space="0"/>
            </w:tcBorders>
            <w:vAlign w:val="center"/>
          </w:tcPr>
          <w:p w14:paraId="45FB62AE">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726.93</w:t>
            </w:r>
          </w:p>
        </w:tc>
        <w:tc>
          <w:tcPr>
            <w:tcW w:w="2102" w:type="dxa"/>
            <w:gridSpan w:val="2"/>
            <w:tcBorders>
              <w:top w:val="single" w:color="auto" w:sz="4" w:space="0"/>
              <w:left w:val="nil"/>
              <w:bottom w:val="single" w:color="auto" w:sz="4" w:space="0"/>
              <w:right w:val="single" w:color="000000" w:sz="4" w:space="0"/>
            </w:tcBorders>
            <w:vAlign w:val="center"/>
          </w:tcPr>
          <w:p w14:paraId="6AA98E1C">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b/>
                <w:bCs/>
                <w:kern w:val="0"/>
                <w:sz w:val="18"/>
                <w:szCs w:val="18"/>
              </w:rPr>
              <w:t>726.83</w:t>
            </w:r>
          </w:p>
        </w:tc>
      </w:tr>
      <w:tr w14:paraId="12E1ACC0">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73F7A86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b/>
                <w:bCs/>
                <w:kern w:val="0"/>
                <w:sz w:val="18"/>
                <w:szCs w:val="18"/>
              </w:rPr>
              <w:t>基本支出</w:t>
            </w:r>
          </w:p>
        </w:tc>
        <w:tc>
          <w:tcPr>
            <w:tcW w:w="1843" w:type="dxa"/>
            <w:gridSpan w:val="2"/>
            <w:tcBorders>
              <w:top w:val="single" w:color="auto" w:sz="4" w:space="0"/>
              <w:left w:val="nil"/>
              <w:bottom w:val="single" w:color="auto" w:sz="4" w:space="0"/>
              <w:right w:val="single" w:color="000000" w:sz="4" w:space="0"/>
            </w:tcBorders>
            <w:vAlign w:val="center"/>
          </w:tcPr>
          <w:p w14:paraId="16028106">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448.37</w:t>
            </w:r>
          </w:p>
        </w:tc>
        <w:tc>
          <w:tcPr>
            <w:tcW w:w="2173" w:type="dxa"/>
            <w:gridSpan w:val="2"/>
            <w:tcBorders>
              <w:top w:val="single" w:color="auto" w:sz="4" w:space="0"/>
              <w:left w:val="nil"/>
              <w:bottom w:val="single" w:color="auto" w:sz="4" w:space="0"/>
              <w:right w:val="single" w:color="000000" w:sz="4" w:space="0"/>
            </w:tcBorders>
            <w:vAlign w:val="center"/>
          </w:tcPr>
          <w:p w14:paraId="077016B7">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338.38</w:t>
            </w:r>
          </w:p>
        </w:tc>
        <w:tc>
          <w:tcPr>
            <w:tcW w:w="2102" w:type="dxa"/>
            <w:gridSpan w:val="2"/>
            <w:tcBorders>
              <w:top w:val="single" w:color="auto" w:sz="4" w:space="0"/>
              <w:left w:val="nil"/>
              <w:bottom w:val="single" w:color="auto" w:sz="4" w:space="0"/>
              <w:right w:val="single" w:color="000000" w:sz="4" w:space="0"/>
            </w:tcBorders>
            <w:vAlign w:val="center"/>
          </w:tcPr>
          <w:p w14:paraId="512CA7CA">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388.38</w:t>
            </w:r>
          </w:p>
        </w:tc>
      </w:tr>
      <w:tr w14:paraId="613D78B1">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601632B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其中：</w:t>
            </w:r>
            <w:r>
              <w:rPr>
                <w:rFonts w:cs="仿宋" w:asciiTheme="minorEastAsia" w:hAnsiTheme="minorEastAsia" w:eastAsiaTheme="minorEastAsia"/>
                <w:kern w:val="0"/>
                <w:sz w:val="18"/>
                <w:szCs w:val="18"/>
              </w:rPr>
              <w:t xml:space="preserve"> </w:t>
            </w:r>
          </w:p>
        </w:tc>
        <w:tc>
          <w:tcPr>
            <w:tcW w:w="1843" w:type="dxa"/>
            <w:gridSpan w:val="2"/>
            <w:tcBorders>
              <w:top w:val="single" w:color="auto" w:sz="4" w:space="0"/>
              <w:left w:val="nil"/>
              <w:bottom w:val="single" w:color="auto" w:sz="4" w:space="0"/>
              <w:right w:val="single" w:color="000000" w:sz="4" w:space="0"/>
            </w:tcBorders>
            <w:vAlign w:val="center"/>
          </w:tcPr>
          <w:p w14:paraId="5B554C66">
            <w:pPr>
              <w:widowControl/>
              <w:spacing w:line="440" w:lineRule="exact"/>
              <w:jc w:val="center"/>
              <w:rPr>
                <w:rFonts w:cs="仿宋" w:asciiTheme="minorEastAsia" w:hAnsiTheme="minorEastAsia" w:eastAsiaTheme="minorEastAsia"/>
                <w:kern w:val="0"/>
                <w:sz w:val="18"/>
                <w:szCs w:val="18"/>
              </w:rPr>
            </w:pPr>
          </w:p>
        </w:tc>
        <w:tc>
          <w:tcPr>
            <w:tcW w:w="2173" w:type="dxa"/>
            <w:gridSpan w:val="2"/>
            <w:tcBorders>
              <w:top w:val="single" w:color="auto" w:sz="4" w:space="0"/>
              <w:left w:val="nil"/>
              <w:bottom w:val="single" w:color="auto" w:sz="4" w:space="0"/>
              <w:right w:val="single" w:color="000000" w:sz="4" w:space="0"/>
            </w:tcBorders>
            <w:vAlign w:val="center"/>
          </w:tcPr>
          <w:p w14:paraId="66E3FE7A">
            <w:pPr>
              <w:widowControl/>
              <w:spacing w:line="440" w:lineRule="exact"/>
              <w:jc w:val="center"/>
              <w:rPr>
                <w:rFonts w:cs="仿宋" w:asciiTheme="minorEastAsia" w:hAnsiTheme="minorEastAsia" w:eastAsiaTheme="minorEastAsia"/>
                <w:kern w:val="0"/>
                <w:sz w:val="18"/>
                <w:szCs w:val="18"/>
              </w:rPr>
            </w:pPr>
          </w:p>
        </w:tc>
        <w:tc>
          <w:tcPr>
            <w:tcW w:w="2102" w:type="dxa"/>
            <w:gridSpan w:val="2"/>
            <w:tcBorders>
              <w:top w:val="single" w:color="auto" w:sz="4" w:space="0"/>
              <w:left w:val="nil"/>
              <w:bottom w:val="single" w:color="auto" w:sz="4" w:space="0"/>
              <w:right w:val="single" w:color="000000" w:sz="4" w:space="0"/>
            </w:tcBorders>
            <w:vAlign w:val="center"/>
          </w:tcPr>
          <w:p w14:paraId="053879C5">
            <w:pPr>
              <w:widowControl/>
              <w:spacing w:line="440" w:lineRule="exact"/>
              <w:jc w:val="center"/>
              <w:rPr>
                <w:rFonts w:cs="仿宋" w:asciiTheme="minorEastAsia" w:hAnsiTheme="minorEastAsia" w:eastAsiaTheme="minorEastAsia"/>
                <w:kern w:val="0"/>
                <w:sz w:val="18"/>
                <w:szCs w:val="18"/>
              </w:rPr>
            </w:pPr>
          </w:p>
        </w:tc>
      </w:tr>
      <w:tr w14:paraId="36E3DC62">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7A6ECC7D">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b/>
                <w:bCs/>
                <w:kern w:val="0"/>
                <w:sz w:val="18"/>
                <w:szCs w:val="18"/>
              </w:rPr>
              <w:t>项目支出</w:t>
            </w:r>
          </w:p>
        </w:tc>
        <w:tc>
          <w:tcPr>
            <w:tcW w:w="1843" w:type="dxa"/>
            <w:gridSpan w:val="2"/>
            <w:tcBorders>
              <w:top w:val="single" w:color="auto" w:sz="4" w:space="0"/>
              <w:left w:val="nil"/>
              <w:bottom w:val="single" w:color="auto" w:sz="4" w:space="0"/>
              <w:right w:val="single" w:color="000000" w:sz="4" w:space="0"/>
            </w:tcBorders>
            <w:vAlign w:val="center"/>
          </w:tcPr>
          <w:p w14:paraId="52668391">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3871.48</w:t>
            </w:r>
          </w:p>
        </w:tc>
        <w:tc>
          <w:tcPr>
            <w:tcW w:w="2173" w:type="dxa"/>
            <w:gridSpan w:val="2"/>
            <w:tcBorders>
              <w:top w:val="single" w:color="auto" w:sz="4" w:space="0"/>
              <w:left w:val="nil"/>
              <w:bottom w:val="single" w:color="auto" w:sz="4" w:space="0"/>
              <w:right w:val="single" w:color="000000" w:sz="4" w:space="0"/>
            </w:tcBorders>
            <w:vAlign w:val="center"/>
          </w:tcPr>
          <w:p w14:paraId="4F7AE51F">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338.55</w:t>
            </w:r>
          </w:p>
        </w:tc>
        <w:tc>
          <w:tcPr>
            <w:tcW w:w="2102" w:type="dxa"/>
            <w:gridSpan w:val="2"/>
            <w:tcBorders>
              <w:top w:val="single" w:color="auto" w:sz="4" w:space="0"/>
              <w:left w:val="nil"/>
              <w:bottom w:val="single" w:color="auto" w:sz="4" w:space="0"/>
              <w:right w:val="single" w:color="000000" w:sz="4" w:space="0"/>
            </w:tcBorders>
            <w:vAlign w:val="center"/>
          </w:tcPr>
          <w:p w14:paraId="05A9D05C">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338.45</w:t>
            </w:r>
          </w:p>
        </w:tc>
      </w:tr>
      <w:tr w14:paraId="6DFFE8A8">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664AE9F2">
            <w:pPr>
              <w:widowControl/>
              <w:spacing w:line="440" w:lineRule="exact"/>
              <w:jc w:val="center"/>
              <w:rPr>
                <w:rFonts w:cs="仿宋" w:asciiTheme="minorEastAsia" w:hAnsiTheme="minorEastAsia" w:eastAsiaTheme="minorEastAsia"/>
                <w:b/>
                <w:bCs/>
                <w:kern w:val="0"/>
                <w:sz w:val="18"/>
                <w:szCs w:val="18"/>
              </w:rPr>
            </w:pPr>
            <w:r>
              <w:rPr>
                <w:rFonts w:hint="eastAsia" w:cs="仿宋" w:asciiTheme="minorEastAsia" w:hAnsiTheme="minorEastAsia" w:eastAsiaTheme="minorEastAsia"/>
                <w:kern w:val="0"/>
                <w:sz w:val="18"/>
                <w:szCs w:val="18"/>
              </w:rPr>
              <w:t>其中：</w:t>
            </w:r>
            <w:r>
              <w:rPr>
                <w:rFonts w:cs="仿宋" w:asciiTheme="minorEastAsia" w:hAnsiTheme="minorEastAsia" w:eastAsiaTheme="minorEastAsia"/>
                <w:b/>
                <w:bCs/>
                <w:kern w:val="0"/>
                <w:sz w:val="18"/>
                <w:szCs w:val="18"/>
              </w:rPr>
              <w:t xml:space="preserve"> </w:t>
            </w:r>
          </w:p>
        </w:tc>
        <w:tc>
          <w:tcPr>
            <w:tcW w:w="1843" w:type="dxa"/>
            <w:gridSpan w:val="2"/>
            <w:tcBorders>
              <w:top w:val="single" w:color="auto" w:sz="4" w:space="0"/>
              <w:left w:val="nil"/>
              <w:bottom w:val="single" w:color="auto" w:sz="4" w:space="0"/>
              <w:right w:val="single" w:color="000000" w:sz="4" w:space="0"/>
            </w:tcBorders>
            <w:vAlign w:val="center"/>
          </w:tcPr>
          <w:p w14:paraId="7A26D9B7">
            <w:pPr>
              <w:widowControl/>
              <w:spacing w:line="440" w:lineRule="exact"/>
              <w:jc w:val="center"/>
              <w:rPr>
                <w:rFonts w:cs="仿宋" w:asciiTheme="minorEastAsia" w:hAnsiTheme="minorEastAsia" w:eastAsiaTheme="minorEastAsia"/>
                <w:kern w:val="0"/>
                <w:sz w:val="18"/>
                <w:szCs w:val="18"/>
              </w:rPr>
            </w:pPr>
          </w:p>
        </w:tc>
        <w:tc>
          <w:tcPr>
            <w:tcW w:w="2173" w:type="dxa"/>
            <w:gridSpan w:val="2"/>
            <w:tcBorders>
              <w:top w:val="single" w:color="auto" w:sz="4" w:space="0"/>
              <w:left w:val="nil"/>
              <w:bottom w:val="single" w:color="auto" w:sz="4" w:space="0"/>
              <w:right w:val="single" w:color="000000" w:sz="4" w:space="0"/>
            </w:tcBorders>
            <w:vAlign w:val="center"/>
          </w:tcPr>
          <w:p w14:paraId="79F3DC00">
            <w:pPr>
              <w:widowControl/>
              <w:spacing w:line="440" w:lineRule="exact"/>
              <w:jc w:val="center"/>
              <w:rPr>
                <w:rFonts w:cs="仿宋" w:asciiTheme="minorEastAsia" w:hAnsiTheme="minorEastAsia" w:eastAsiaTheme="minorEastAsia"/>
                <w:kern w:val="0"/>
                <w:sz w:val="18"/>
                <w:szCs w:val="18"/>
              </w:rPr>
            </w:pPr>
          </w:p>
        </w:tc>
        <w:tc>
          <w:tcPr>
            <w:tcW w:w="2102" w:type="dxa"/>
            <w:gridSpan w:val="2"/>
            <w:tcBorders>
              <w:top w:val="single" w:color="auto" w:sz="4" w:space="0"/>
              <w:left w:val="nil"/>
              <w:bottom w:val="single" w:color="auto" w:sz="4" w:space="0"/>
              <w:right w:val="single" w:color="000000" w:sz="4" w:space="0"/>
            </w:tcBorders>
            <w:vAlign w:val="center"/>
          </w:tcPr>
          <w:p w14:paraId="7BE988D2">
            <w:pPr>
              <w:widowControl/>
              <w:spacing w:line="440" w:lineRule="exact"/>
              <w:jc w:val="center"/>
              <w:rPr>
                <w:rFonts w:cs="仿宋" w:asciiTheme="minorEastAsia" w:hAnsiTheme="minorEastAsia" w:eastAsiaTheme="minorEastAsia"/>
                <w:kern w:val="0"/>
                <w:sz w:val="18"/>
                <w:szCs w:val="18"/>
              </w:rPr>
            </w:pPr>
          </w:p>
        </w:tc>
      </w:tr>
      <w:tr w14:paraId="1A494947">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0A74F903">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b/>
                <w:bCs/>
                <w:kern w:val="0"/>
                <w:sz w:val="18"/>
                <w:szCs w:val="18"/>
              </w:rPr>
              <w:t>三公经费</w:t>
            </w:r>
          </w:p>
        </w:tc>
        <w:tc>
          <w:tcPr>
            <w:tcW w:w="1843" w:type="dxa"/>
            <w:gridSpan w:val="2"/>
            <w:tcBorders>
              <w:top w:val="single" w:color="auto" w:sz="4" w:space="0"/>
              <w:left w:val="nil"/>
              <w:bottom w:val="single" w:color="auto" w:sz="4" w:space="0"/>
              <w:right w:val="single" w:color="000000" w:sz="4" w:space="0"/>
            </w:tcBorders>
            <w:vAlign w:val="center"/>
          </w:tcPr>
          <w:p w14:paraId="710F8B77">
            <w:pPr>
              <w:widowControl/>
              <w:spacing w:line="440" w:lineRule="exact"/>
              <w:jc w:val="center"/>
              <w:rPr>
                <w:rFonts w:cs="仿宋" w:asciiTheme="minorEastAsia" w:hAnsiTheme="minorEastAsia" w:eastAsiaTheme="minorEastAsia"/>
                <w:kern w:val="0"/>
                <w:sz w:val="18"/>
                <w:szCs w:val="18"/>
              </w:rPr>
            </w:pPr>
          </w:p>
        </w:tc>
        <w:tc>
          <w:tcPr>
            <w:tcW w:w="2173" w:type="dxa"/>
            <w:gridSpan w:val="2"/>
            <w:tcBorders>
              <w:top w:val="single" w:color="auto" w:sz="4" w:space="0"/>
              <w:left w:val="nil"/>
              <w:bottom w:val="single" w:color="auto" w:sz="4" w:space="0"/>
              <w:right w:val="single" w:color="000000" w:sz="4" w:space="0"/>
            </w:tcBorders>
            <w:vAlign w:val="center"/>
          </w:tcPr>
          <w:p w14:paraId="4AC2E9E4">
            <w:pPr>
              <w:widowControl/>
              <w:spacing w:line="440" w:lineRule="exact"/>
              <w:jc w:val="center"/>
              <w:rPr>
                <w:rFonts w:cs="仿宋" w:asciiTheme="minorEastAsia" w:hAnsiTheme="minorEastAsia" w:eastAsiaTheme="minorEastAsia"/>
                <w:kern w:val="0"/>
                <w:sz w:val="18"/>
                <w:szCs w:val="18"/>
              </w:rPr>
            </w:pPr>
          </w:p>
        </w:tc>
        <w:tc>
          <w:tcPr>
            <w:tcW w:w="2102" w:type="dxa"/>
            <w:gridSpan w:val="2"/>
            <w:tcBorders>
              <w:top w:val="single" w:color="auto" w:sz="4" w:space="0"/>
              <w:left w:val="nil"/>
              <w:bottom w:val="single" w:color="auto" w:sz="4" w:space="0"/>
              <w:right w:val="single" w:color="000000" w:sz="4" w:space="0"/>
            </w:tcBorders>
            <w:vAlign w:val="center"/>
          </w:tcPr>
          <w:p w14:paraId="2B417262">
            <w:pPr>
              <w:widowControl/>
              <w:spacing w:line="440" w:lineRule="exact"/>
              <w:jc w:val="center"/>
              <w:rPr>
                <w:rFonts w:cs="仿宋" w:asciiTheme="minorEastAsia" w:hAnsiTheme="minorEastAsia" w:eastAsiaTheme="minorEastAsia"/>
                <w:kern w:val="0"/>
                <w:sz w:val="18"/>
                <w:szCs w:val="18"/>
              </w:rPr>
            </w:pPr>
          </w:p>
        </w:tc>
      </w:tr>
      <w:tr w14:paraId="33B81E2F">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5FDD30EA">
            <w:pPr>
              <w:widowControl/>
              <w:spacing w:line="440" w:lineRule="exact"/>
              <w:ind w:firstLine="176" w:firstLineChars="100"/>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1、公务用车购置和维护经费</w:t>
            </w:r>
          </w:p>
        </w:tc>
        <w:tc>
          <w:tcPr>
            <w:tcW w:w="1843" w:type="dxa"/>
            <w:gridSpan w:val="2"/>
            <w:tcBorders>
              <w:top w:val="single" w:color="auto" w:sz="4" w:space="0"/>
              <w:left w:val="nil"/>
              <w:bottom w:val="single" w:color="auto" w:sz="4" w:space="0"/>
              <w:right w:val="single" w:color="000000" w:sz="4" w:space="0"/>
            </w:tcBorders>
            <w:vAlign w:val="center"/>
          </w:tcPr>
          <w:p w14:paraId="14C788FD">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nil"/>
              <w:bottom w:val="single" w:color="auto" w:sz="4" w:space="0"/>
              <w:right w:val="single" w:color="000000" w:sz="4" w:space="0"/>
            </w:tcBorders>
            <w:vAlign w:val="center"/>
          </w:tcPr>
          <w:p w14:paraId="09FB2136">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084E31F9">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2842716F">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197E521D">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其中：公车购置</w:t>
            </w:r>
          </w:p>
        </w:tc>
        <w:tc>
          <w:tcPr>
            <w:tcW w:w="1843" w:type="dxa"/>
            <w:gridSpan w:val="2"/>
            <w:tcBorders>
              <w:top w:val="single" w:color="auto" w:sz="4" w:space="0"/>
              <w:left w:val="nil"/>
              <w:bottom w:val="single" w:color="auto" w:sz="4" w:space="0"/>
              <w:right w:val="single" w:color="000000" w:sz="4" w:space="0"/>
            </w:tcBorders>
            <w:vAlign w:val="center"/>
          </w:tcPr>
          <w:p w14:paraId="7B0E10E5">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nil"/>
              <w:bottom w:val="single" w:color="auto" w:sz="4" w:space="0"/>
              <w:right w:val="single" w:color="000000" w:sz="4" w:space="0"/>
            </w:tcBorders>
            <w:vAlign w:val="center"/>
          </w:tcPr>
          <w:p w14:paraId="5C58AC01">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0B73C959">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7EFBD77B">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34B76179">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公车运行维护</w:t>
            </w:r>
          </w:p>
        </w:tc>
        <w:tc>
          <w:tcPr>
            <w:tcW w:w="1843" w:type="dxa"/>
            <w:gridSpan w:val="2"/>
            <w:tcBorders>
              <w:top w:val="single" w:color="auto" w:sz="4" w:space="0"/>
              <w:left w:val="nil"/>
              <w:bottom w:val="single" w:color="auto" w:sz="4" w:space="0"/>
              <w:right w:val="single" w:color="000000" w:sz="4" w:space="0"/>
            </w:tcBorders>
            <w:vAlign w:val="center"/>
          </w:tcPr>
          <w:p w14:paraId="39069966">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nil"/>
              <w:bottom w:val="single" w:color="auto" w:sz="4" w:space="0"/>
              <w:right w:val="single" w:color="000000" w:sz="4" w:space="0"/>
            </w:tcBorders>
            <w:vAlign w:val="center"/>
          </w:tcPr>
          <w:p w14:paraId="7A5A7361">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7D27ADAB">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43EDD579">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38A9F6CF">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2、出国经费</w:t>
            </w:r>
          </w:p>
        </w:tc>
        <w:tc>
          <w:tcPr>
            <w:tcW w:w="1843" w:type="dxa"/>
            <w:gridSpan w:val="2"/>
            <w:tcBorders>
              <w:top w:val="single" w:color="auto" w:sz="4" w:space="0"/>
              <w:left w:val="nil"/>
              <w:bottom w:val="single" w:color="auto" w:sz="4" w:space="0"/>
              <w:right w:val="single" w:color="000000" w:sz="4" w:space="0"/>
            </w:tcBorders>
            <w:vAlign w:val="center"/>
          </w:tcPr>
          <w:p w14:paraId="4BF5FB58">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nil"/>
              <w:bottom w:val="single" w:color="auto" w:sz="4" w:space="0"/>
              <w:right w:val="single" w:color="000000" w:sz="4" w:space="0"/>
            </w:tcBorders>
            <w:vAlign w:val="center"/>
          </w:tcPr>
          <w:p w14:paraId="5E0B4F93">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0201AAA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4790A0CA">
        <w:tblPrEx>
          <w:tblCellMar>
            <w:top w:w="0" w:type="dxa"/>
            <w:left w:w="108" w:type="dxa"/>
            <w:bottom w:w="0" w:type="dxa"/>
            <w:right w:w="108" w:type="dxa"/>
          </w:tblCellMar>
        </w:tblPrEx>
        <w:trPr>
          <w:trHeight w:val="454" w:hRule="atLeast"/>
          <w:jc w:val="center"/>
        </w:trPr>
        <w:tc>
          <w:tcPr>
            <w:tcW w:w="2943" w:type="dxa"/>
            <w:tcBorders>
              <w:top w:val="nil"/>
              <w:left w:val="single" w:color="auto" w:sz="4" w:space="0"/>
              <w:bottom w:val="single" w:color="auto" w:sz="4" w:space="0"/>
              <w:right w:val="single" w:color="auto" w:sz="4" w:space="0"/>
            </w:tcBorders>
            <w:vAlign w:val="center"/>
          </w:tcPr>
          <w:p w14:paraId="3D580B47">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3、公务接待</w:t>
            </w:r>
          </w:p>
        </w:tc>
        <w:tc>
          <w:tcPr>
            <w:tcW w:w="1843" w:type="dxa"/>
            <w:gridSpan w:val="2"/>
            <w:tcBorders>
              <w:top w:val="single" w:color="auto" w:sz="4" w:space="0"/>
              <w:left w:val="nil"/>
              <w:bottom w:val="single" w:color="auto" w:sz="4" w:space="0"/>
              <w:right w:val="single" w:color="000000" w:sz="4" w:space="0"/>
            </w:tcBorders>
            <w:vAlign w:val="center"/>
          </w:tcPr>
          <w:p w14:paraId="4B739FBA">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nil"/>
              <w:bottom w:val="single" w:color="auto" w:sz="4" w:space="0"/>
              <w:right w:val="single" w:color="000000" w:sz="4" w:space="0"/>
            </w:tcBorders>
            <w:vAlign w:val="center"/>
          </w:tcPr>
          <w:p w14:paraId="5FA1AAB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6B8047A6">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51652445">
        <w:tblPrEx>
          <w:tblCellMar>
            <w:top w:w="0" w:type="dxa"/>
            <w:left w:w="108" w:type="dxa"/>
            <w:bottom w:w="0" w:type="dxa"/>
            <w:right w:w="108" w:type="dxa"/>
          </w:tblCellMar>
        </w:tblPrEx>
        <w:trPr>
          <w:trHeight w:val="454" w:hRule="atLeast"/>
          <w:jc w:val="center"/>
        </w:trPr>
        <w:tc>
          <w:tcPr>
            <w:tcW w:w="2943" w:type="dxa"/>
            <w:tcBorders>
              <w:top w:val="single" w:color="auto" w:sz="4" w:space="0"/>
              <w:left w:val="single" w:color="auto" w:sz="4" w:space="0"/>
              <w:bottom w:val="single" w:color="auto" w:sz="4" w:space="0"/>
              <w:right w:val="single" w:color="auto" w:sz="4" w:space="0"/>
            </w:tcBorders>
            <w:vAlign w:val="center"/>
          </w:tcPr>
          <w:p w14:paraId="2909A730">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b/>
                <w:bCs/>
                <w:kern w:val="0"/>
                <w:sz w:val="18"/>
                <w:szCs w:val="18"/>
              </w:rPr>
              <w:t>政府采购金额</w:t>
            </w:r>
          </w:p>
        </w:tc>
        <w:tc>
          <w:tcPr>
            <w:tcW w:w="1843" w:type="dxa"/>
            <w:gridSpan w:val="2"/>
            <w:tcBorders>
              <w:top w:val="single" w:color="auto" w:sz="4" w:space="0"/>
              <w:left w:val="single" w:color="auto" w:sz="4" w:space="0"/>
              <w:bottom w:val="single" w:color="auto" w:sz="4" w:space="0"/>
              <w:right w:val="single" w:color="auto" w:sz="4" w:space="0"/>
            </w:tcBorders>
            <w:vAlign w:val="center"/>
          </w:tcPr>
          <w:p w14:paraId="659D763B">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73" w:type="dxa"/>
            <w:gridSpan w:val="2"/>
            <w:tcBorders>
              <w:top w:val="single" w:color="auto" w:sz="4" w:space="0"/>
              <w:left w:val="single" w:color="auto" w:sz="4" w:space="0"/>
              <w:bottom w:val="single" w:color="auto" w:sz="4" w:space="0"/>
              <w:right w:val="single" w:color="000000" w:sz="4" w:space="0"/>
            </w:tcBorders>
            <w:vAlign w:val="center"/>
          </w:tcPr>
          <w:p w14:paraId="1BE18033">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c>
          <w:tcPr>
            <w:tcW w:w="2102" w:type="dxa"/>
            <w:gridSpan w:val="2"/>
            <w:tcBorders>
              <w:top w:val="single" w:color="auto" w:sz="4" w:space="0"/>
              <w:left w:val="nil"/>
              <w:bottom w:val="single" w:color="auto" w:sz="4" w:space="0"/>
              <w:right w:val="single" w:color="000000" w:sz="4" w:space="0"/>
            </w:tcBorders>
            <w:vAlign w:val="center"/>
          </w:tcPr>
          <w:p w14:paraId="14A22207">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0</w:t>
            </w:r>
          </w:p>
        </w:tc>
      </w:tr>
      <w:tr w14:paraId="6BD433C2">
        <w:tblPrEx>
          <w:tblCellMar>
            <w:top w:w="0" w:type="dxa"/>
            <w:left w:w="108" w:type="dxa"/>
            <w:bottom w:w="0" w:type="dxa"/>
            <w:right w:w="108" w:type="dxa"/>
          </w:tblCellMar>
        </w:tblPrEx>
        <w:trPr>
          <w:trHeight w:val="514" w:hRule="atLeast"/>
          <w:jc w:val="center"/>
        </w:trPr>
        <w:tc>
          <w:tcPr>
            <w:tcW w:w="2943" w:type="dxa"/>
            <w:vMerge w:val="restart"/>
            <w:tcBorders>
              <w:top w:val="single" w:color="auto" w:sz="4" w:space="0"/>
              <w:left w:val="single" w:color="auto" w:sz="4" w:space="0"/>
              <w:bottom w:val="single" w:color="auto" w:sz="4" w:space="0"/>
              <w:right w:val="single" w:color="auto" w:sz="4" w:space="0"/>
            </w:tcBorders>
            <w:vAlign w:val="center"/>
          </w:tcPr>
          <w:p w14:paraId="759301F2">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楼堂馆所控制情况（2021年完工项目）</w:t>
            </w:r>
          </w:p>
        </w:tc>
        <w:tc>
          <w:tcPr>
            <w:tcW w:w="993" w:type="dxa"/>
            <w:tcBorders>
              <w:top w:val="single" w:color="auto" w:sz="4" w:space="0"/>
              <w:left w:val="single" w:color="auto" w:sz="4" w:space="0"/>
              <w:bottom w:val="single" w:color="auto" w:sz="4" w:space="0"/>
              <w:right w:val="single" w:color="auto" w:sz="4" w:space="0"/>
            </w:tcBorders>
            <w:vAlign w:val="center"/>
          </w:tcPr>
          <w:p w14:paraId="0BBF8DEA">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批复规模</w:t>
            </w:r>
            <w:r>
              <w:rPr>
                <w:rFonts w:hint="eastAsia" w:cs="仿宋" w:asciiTheme="minorEastAsia" w:hAnsiTheme="minorEastAsia" w:eastAsiaTheme="minorEastAsia"/>
                <w:kern w:val="0"/>
                <w:sz w:val="18"/>
                <w:szCs w:val="18"/>
              </w:rPr>
              <w:br w:type="textWrapping"/>
            </w:r>
            <w:r>
              <w:rPr>
                <w:rFonts w:hint="eastAsia" w:cs="仿宋" w:asciiTheme="minorEastAsia" w:hAnsiTheme="minorEastAsia" w:eastAsiaTheme="minorEastAsia"/>
                <w:kern w:val="0"/>
                <w:sz w:val="18"/>
                <w:szCs w:val="18"/>
              </w:rPr>
              <w:t>（㎡）</w:t>
            </w:r>
          </w:p>
        </w:tc>
        <w:tc>
          <w:tcPr>
            <w:tcW w:w="850" w:type="dxa"/>
            <w:tcBorders>
              <w:top w:val="single" w:color="auto" w:sz="4" w:space="0"/>
              <w:left w:val="single" w:color="auto" w:sz="4" w:space="0"/>
              <w:bottom w:val="single" w:color="auto" w:sz="4" w:space="0"/>
              <w:right w:val="single" w:color="auto" w:sz="4" w:space="0"/>
            </w:tcBorders>
            <w:vAlign w:val="center"/>
          </w:tcPr>
          <w:p w14:paraId="7B069072">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实际规模（㎡）</w:t>
            </w:r>
          </w:p>
        </w:tc>
        <w:tc>
          <w:tcPr>
            <w:tcW w:w="1134" w:type="dxa"/>
            <w:tcBorders>
              <w:top w:val="nil"/>
              <w:left w:val="single" w:color="auto" w:sz="4" w:space="0"/>
              <w:bottom w:val="single" w:color="auto" w:sz="4" w:space="0"/>
              <w:right w:val="single" w:color="auto" w:sz="4" w:space="0"/>
            </w:tcBorders>
            <w:vAlign w:val="center"/>
          </w:tcPr>
          <w:p w14:paraId="72B1172A">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规模控制率</w:t>
            </w:r>
          </w:p>
        </w:tc>
        <w:tc>
          <w:tcPr>
            <w:tcW w:w="1039" w:type="dxa"/>
            <w:tcBorders>
              <w:top w:val="nil"/>
              <w:left w:val="nil"/>
              <w:bottom w:val="single" w:color="auto" w:sz="4" w:space="0"/>
              <w:right w:val="single" w:color="auto" w:sz="4" w:space="0"/>
            </w:tcBorders>
            <w:vAlign w:val="center"/>
          </w:tcPr>
          <w:p w14:paraId="490D7AEA">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预算投资（万元）</w:t>
            </w:r>
          </w:p>
        </w:tc>
        <w:tc>
          <w:tcPr>
            <w:tcW w:w="1087" w:type="dxa"/>
            <w:tcBorders>
              <w:top w:val="nil"/>
              <w:left w:val="nil"/>
              <w:bottom w:val="single" w:color="auto" w:sz="4" w:space="0"/>
              <w:right w:val="single" w:color="auto" w:sz="4" w:space="0"/>
            </w:tcBorders>
            <w:vAlign w:val="center"/>
          </w:tcPr>
          <w:p w14:paraId="549DF15F">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实际投资（万元）</w:t>
            </w:r>
          </w:p>
        </w:tc>
        <w:tc>
          <w:tcPr>
            <w:tcW w:w="1015" w:type="dxa"/>
            <w:tcBorders>
              <w:top w:val="nil"/>
              <w:left w:val="nil"/>
              <w:bottom w:val="single" w:color="auto" w:sz="4" w:space="0"/>
              <w:right w:val="single" w:color="auto" w:sz="4" w:space="0"/>
            </w:tcBorders>
            <w:vAlign w:val="center"/>
          </w:tcPr>
          <w:p w14:paraId="4D74130C">
            <w:pPr>
              <w:widowControl/>
              <w:spacing w:line="30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投资概算控制率</w:t>
            </w:r>
          </w:p>
        </w:tc>
      </w:tr>
      <w:tr w14:paraId="182BAFC1">
        <w:tblPrEx>
          <w:tblCellMar>
            <w:top w:w="0" w:type="dxa"/>
            <w:left w:w="108" w:type="dxa"/>
            <w:bottom w:w="0" w:type="dxa"/>
            <w:right w:w="108" w:type="dxa"/>
          </w:tblCellMar>
        </w:tblPrEx>
        <w:trPr>
          <w:trHeight w:val="123" w:hRule="atLeast"/>
          <w:jc w:val="center"/>
        </w:trPr>
        <w:tc>
          <w:tcPr>
            <w:tcW w:w="2943" w:type="dxa"/>
            <w:vMerge w:val="continue"/>
            <w:tcBorders>
              <w:top w:val="single" w:color="auto" w:sz="4" w:space="0"/>
              <w:left w:val="single" w:color="auto" w:sz="4" w:space="0"/>
              <w:bottom w:val="single" w:color="auto" w:sz="4" w:space="0"/>
              <w:right w:val="single" w:color="auto" w:sz="4" w:space="0"/>
            </w:tcBorders>
            <w:vAlign w:val="center"/>
          </w:tcPr>
          <w:p w14:paraId="01DF5242">
            <w:pPr>
              <w:widowControl/>
              <w:spacing w:line="440" w:lineRule="exact"/>
              <w:jc w:val="center"/>
              <w:rPr>
                <w:rFonts w:cs="仿宋"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14:paraId="4ACD1752">
            <w:pPr>
              <w:widowControl/>
              <w:spacing w:line="440" w:lineRule="exact"/>
              <w:jc w:val="center"/>
              <w:rPr>
                <w:rFonts w:cs="仿宋" w:asciiTheme="minorEastAsia" w:hAnsiTheme="minorEastAsia" w:eastAsiaTheme="minorEastAsia"/>
                <w:kern w:val="0"/>
                <w:sz w:val="18"/>
                <w:szCs w:val="18"/>
              </w:rPr>
            </w:pPr>
          </w:p>
        </w:tc>
        <w:tc>
          <w:tcPr>
            <w:tcW w:w="850" w:type="dxa"/>
            <w:tcBorders>
              <w:top w:val="single" w:color="auto" w:sz="4" w:space="0"/>
              <w:left w:val="single" w:color="auto" w:sz="4" w:space="0"/>
              <w:bottom w:val="single" w:color="auto" w:sz="4" w:space="0"/>
              <w:right w:val="single" w:color="auto" w:sz="4" w:space="0"/>
            </w:tcBorders>
            <w:vAlign w:val="center"/>
          </w:tcPr>
          <w:p w14:paraId="2678E088">
            <w:pPr>
              <w:widowControl/>
              <w:spacing w:line="440" w:lineRule="exact"/>
              <w:jc w:val="center"/>
              <w:rPr>
                <w:rFonts w:cs="仿宋" w:asciiTheme="minorEastAsia" w:hAnsiTheme="minorEastAsia" w:eastAsiaTheme="minorEastAsia"/>
                <w:kern w:val="0"/>
                <w:sz w:val="18"/>
                <w:szCs w:val="18"/>
              </w:rPr>
            </w:pPr>
          </w:p>
        </w:tc>
        <w:tc>
          <w:tcPr>
            <w:tcW w:w="1134" w:type="dxa"/>
            <w:tcBorders>
              <w:top w:val="nil"/>
              <w:left w:val="single" w:color="auto" w:sz="4" w:space="0"/>
              <w:bottom w:val="single" w:color="auto" w:sz="4" w:space="0"/>
              <w:right w:val="single" w:color="auto" w:sz="4" w:space="0"/>
            </w:tcBorders>
            <w:vAlign w:val="center"/>
          </w:tcPr>
          <w:p w14:paraId="31DD7ED2">
            <w:pPr>
              <w:widowControl/>
              <w:spacing w:line="440" w:lineRule="exact"/>
              <w:jc w:val="center"/>
              <w:rPr>
                <w:rFonts w:cs="仿宋" w:asciiTheme="minorEastAsia" w:hAnsiTheme="minorEastAsia" w:eastAsiaTheme="minorEastAsia"/>
                <w:kern w:val="0"/>
                <w:sz w:val="18"/>
                <w:szCs w:val="18"/>
              </w:rPr>
            </w:pPr>
          </w:p>
        </w:tc>
        <w:tc>
          <w:tcPr>
            <w:tcW w:w="1039" w:type="dxa"/>
            <w:tcBorders>
              <w:top w:val="nil"/>
              <w:left w:val="nil"/>
              <w:bottom w:val="single" w:color="auto" w:sz="4" w:space="0"/>
              <w:right w:val="single" w:color="auto" w:sz="4" w:space="0"/>
            </w:tcBorders>
            <w:vAlign w:val="center"/>
          </w:tcPr>
          <w:p w14:paraId="5B506374">
            <w:pPr>
              <w:widowControl/>
              <w:spacing w:line="440" w:lineRule="exact"/>
              <w:jc w:val="center"/>
              <w:rPr>
                <w:rFonts w:cs="仿宋" w:asciiTheme="minorEastAsia" w:hAnsiTheme="minorEastAsia" w:eastAsiaTheme="minorEastAsia"/>
                <w:kern w:val="0"/>
                <w:sz w:val="18"/>
                <w:szCs w:val="18"/>
              </w:rPr>
            </w:pPr>
          </w:p>
        </w:tc>
        <w:tc>
          <w:tcPr>
            <w:tcW w:w="1087" w:type="dxa"/>
            <w:tcBorders>
              <w:top w:val="nil"/>
              <w:left w:val="nil"/>
              <w:bottom w:val="single" w:color="auto" w:sz="4" w:space="0"/>
              <w:right w:val="single" w:color="auto" w:sz="4" w:space="0"/>
            </w:tcBorders>
            <w:vAlign w:val="center"/>
          </w:tcPr>
          <w:p w14:paraId="3FD1A3FA">
            <w:pPr>
              <w:widowControl/>
              <w:spacing w:line="440" w:lineRule="exact"/>
              <w:jc w:val="center"/>
              <w:rPr>
                <w:rFonts w:cs="仿宋" w:asciiTheme="minorEastAsia" w:hAnsiTheme="minorEastAsia" w:eastAsiaTheme="minorEastAsia"/>
                <w:kern w:val="0"/>
                <w:sz w:val="18"/>
                <w:szCs w:val="18"/>
              </w:rPr>
            </w:pPr>
          </w:p>
        </w:tc>
        <w:tc>
          <w:tcPr>
            <w:tcW w:w="1015" w:type="dxa"/>
            <w:tcBorders>
              <w:top w:val="nil"/>
              <w:left w:val="nil"/>
              <w:bottom w:val="single" w:color="auto" w:sz="4" w:space="0"/>
              <w:right w:val="single" w:color="auto" w:sz="4" w:space="0"/>
            </w:tcBorders>
            <w:vAlign w:val="center"/>
          </w:tcPr>
          <w:p w14:paraId="39B7B228">
            <w:pPr>
              <w:widowControl/>
              <w:spacing w:line="440" w:lineRule="exact"/>
              <w:jc w:val="center"/>
              <w:rPr>
                <w:rFonts w:cs="仿宋" w:asciiTheme="minorEastAsia" w:hAnsiTheme="minorEastAsia" w:eastAsiaTheme="minorEastAsia"/>
                <w:kern w:val="0"/>
                <w:sz w:val="18"/>
                <w:szCs w:val="18"/>
              </w:rPr>
            </w:pPr>
          </w:p>
        </w:tc>
      </w:tr>
      <w:tr w14:paraId="4A678B72">
        <w:tblPrEx>
          <w:tblCellMar>
            <w:top w:w="0" w:type="dxa"/>
            <w:left w:w="108" w:type="dxa"/>
            <w:bottom w:w="0" w:type="dxa"/>
            <w:right w:w="108" w:type="dxa"/>
          </w:tblCellMar>
        </w:tblPrEx>
        <w:trPr>
          <w:trHeight w:val="758" w:hRule="atLeast"/>
          <w:jc w:val="center"/>
        </w:trPr>
        <w:tc>
          <w:tcPr>
            <w:tcW w:w="2943" w:type="dxa"/>
            <w:tcBorders>
              <w:top w:val="single" w:color="auto" w:sz="4" w:space="0"/>
              <w:left w:val="single" w:color="auto" w:sz="4" w:space="0"/>
              <w:bottom w:val="single" w:color="auto" w:sz="4" w:space="0"/>
              <w:right w:val="single" w:color="auto" w:sz="4" w:space="0"/>
            </w:tcBorders>
            <w:vAlign w:val="center"/>
          </w:tcPr>
          <w:p w14:paraId="004E84E8">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厉行节约保障措施</w:t>
            </w:r>
          </w:p>
        </w:tc>
        <w:tc>
          <w:tcPr>
            <w:tcW w:w="6118" w:type="dxa"/>
            <w:gridSpan w:val="6"/>
            <w:tcBorders>
              <w:top w:val="single" w:color="auto" w:sz="4" w:space="0"/>
              <w:left w:val="single" w:color="auto" w:sz="4" w:space="0"/>
              <w:bottom w:val="single" w:color="auto" w:sz="4" w:space="0"/>
              <w:right w:val="single" w:color="auto" w:sz="4" w:space="0"/>
            </w:tcBorders>
            <w:vAlign w:val="center"/>
          </w:tcPr>
          <w:p w14:paraId="266CF4FD">
            <w:pPr>
              <w:widowControl/>
              <w:spacing w:line="440" w:lineRule="exact"/>
              <w:jc w:val="center"/>
              <w:rPr>
                <w:rFonts w:cs="仿宋" w:asciiTheme="minorEastAsia" w:hAnsiTheme="minorEastAsia" w:eastAsiaTheme="minorEastAsia"/>
                <w:kern w:val="0"/>
                <w:sz w:val="18"/>
                <w:szCs w:val="18"/>
              </w:rPr>
            </w:pPr>
            <w:r>
              <w:rPr>
                <w:rFonts w:hint="eastAsia" w:cs="仿宋" w:asciiTheme="minorEastAsia" w:hAnsiTheme="minorEastAsia" w:eastAsiaTheme="minorEastAsia"/>
                <w:kern w:val="0"/>
                <w:sz w:val="18"/>
                <w:szCs w:val="18"/>
              </w:rPr>
              <w:t>严格落实中央八项规定，坚持勤俭节约、反对铺张浪费，带头过紧日子，细化预算，确保机关运转。</w:t>
            </w:r>
          </w:p>
        </w:tc>
      </w:tr>
    </w:tbl>
    <w:p w14:paraId="31B8E201">
      <w:pPr>
        <w:widowControl/>
        <w:spacing w:line="520" w:lineRule="exact"/>
        <w:jc w:val="left"/>
        <w:rPr>
          <w:rFonts w:ascii="仿宋" w:hAnsi="仿宋" w:eastAsia="仿宋" w:cs="仿宋"/>
          <w:kern w:val="0"/>
          <w:sz w:val="28"/>
          <w:szCs w:val="28"/>
        </w:rPr>
      </w:pPr>
      <w:r>
        <w:rPr>
          <w:rFonts w:hint="eastAsia" w:ascii="仿宋" w:hAnsi="仿宋" w:eastAsia="仿宋" w:cs="仿宋"/>
          <w:kern w:val="0"/>
          <w:sz w:val="28"/>
          <w:szCs w:val="28"/>
        </w:rPr>
        <w:t>说明：“公用经费”填报基本支出中的一般商品和服务支出。“项目支出”需要填报基本支出以外的所有项目支出情况，“运行维护经费”填报项目支出中用于人员类和公用运转类的支出。</w:t>
      </w:r>
    </w:p>
    <w:p w14:paraId="05B6A674">
      <w:pPr>
        <w:widowControl/>
        <w:shd w:val="clear" w:color="auto" w:fill="FFFFFF"/>
        <w:spacing w:line="520" w:lineRule="exact"/>
        <w:jc w:val="left"/>
        <w:rPr>
          <w:rFonts w:ascii="仿宋" w:hAnsi="仿宋" w:eastAsia="仿宋" w:cs="仿宋"/>
          <w:kern w:val="0"/>
          <w:sz w:val="28"/>
          <w:szCs w:val="28"/>
        </w:rPr>
      </w:pPr>
      <w:r>
        <w:rPr>
          <w:rFonts w:hint="eastAsia" w:ascii="仿宋" w:hAnsi="仿宋" w:eastAsia="仿宋" w:cs="仿宋"/>
          <w:kern w:val="0"/>
          <w:sz w:val="28"/>
          <w:szCs w:val="28"/>
        </w:rPr>
        <w:t xml:space="preserve">填表人：王昕怡                 填报日期：2025年5月20日 </w:t>
      </w:r>
    </w:p>
    <w:p w14:paraId="46B7A902">
      <w:pPr>
        <w:widowControl/>
        <w:shd w:val="clear" w:color="auto" w:fill="FFFFFF"/>
        <w:spacing w:line="520" w:lineRule="exact"/>
        <w:jc w:val="left"/>
        <w:rPr>
          <w:rFonts w:ascii="仿宋" w:hAnsi="仿宋" w:eastAsia="仿宋" w:cs="仿宋"/>
          <w:kern w:val="0"/>
          <w:sz w:val="28"/>
          <w:szCs w:val="28"/>
        </w:rPr>
      </w:pPr>
      <w:r>
        <w:rPr>
          <w:rFonts w:hint="eastAsia" w:ascii="仿宋" w:hAnsi="仿宋" w:eastAsia="仿宋" w:cs="仿宋"/>
          <w:kern w:val="0"/>
          <w:sz w:val="28"/>
          <w:szCs w:val="28"/>
        </w:rPr>
        <w:t>联系电话：13107270080          单位负责人签字：</w:t>
      </w:r>
    </w:p>
    <w:p w14:paraId="1B016606">
      <w:pPr>
        <w:widowControl/>
        <w:shd w:val="clear" w:color="auto" w:fill="FFFFFF"/>
        <w:spacing w:line="600" w:lineRule="atLeast"/>
        <w:jc w:val="left"/>
        <w:rPr>
          <w:rFonts w:ascii="微软雅黑" w:hAnsi="微软雅黑" w:eastAsia="微软雅黑" w:cs="宋体"/>
          <w:color w:val="000000"/>
          <w:kern w:val="0"/>
          <w:sz w:val="24"/>
          <w:szCs w:val="24"/>
        </w:rPr>
      </w:pPr>
      <w:r>
        <w:rPr>
          <w:rFonts w:hint="eastAsia" w:ascii="黑体" w:hAnsi="黑体" w:eastAsia="黑体" w:cs="宋体"/>
          <w:color w:val="000000"/>
          <w:kern w:val="0"/>
          <w:szCs w:val="32"/>
        </w:rPr>
        <w:t>附件2</w:t>
      </w:r>
    </w:p>
    <w:p w14:paraId="4AC2BFC5">
      <w:pPr>
        <w:widowControl/>
        <w:shd w:val="clear" w:color="auto" w:fill="FFFFFF"/>
        <w:spacing w:line="600" w:lineRule="atLeast"/>
        <w:jc w:val="center"/>
        <w:rPr>
          <w:rFonts w:ascii="方正小标宋简体" w:hAnsi="微软雅黑" w:eastAsia="方正小标宋简体" w:cs="宋体"/>
          <w:color w:val="000000"/>
          <w:kern w:val="0"/>
          <w:sz w:val="36"/>
          <w:szCs w:val="36"/>
        </w:rPr>
      </w:pPr>
      <w:r>
        <w:rPr>
          <w:rFonts w:hint="eastAsia" w:ascii="方正小标宋简体" w:hAnsi="微软雅黑" w:eastAsia="方正小标宋简体" w:cs="宋体"/>
          <w:color w:val="000000"/>
          <w:kern w:val="0"/>
          <w:sz w:val="36"/>
          <w:szCs w:val="36"/>
        </w:rPr>
        <w:t>2024年度部门整体支出绩效自评表</w:t>
      </w:r>
    </w:p>
    <w:tbl>
      <w:tblPr>
        <w:tblStyle w:val="8"/>
        <w:tblW w:w="9865" w:type="dxa"/>
        <w:jc w:val="center"/>
        <w:tblLayout w:type="autofit"/>
        <w:tblCellMar>
          <w:top w:w="15" w:type="dxa"/>
          <w:left w:w="15" w:type="dxa"/>
          <w:bottom w:w="15" w:type="dxa"/>
          <w:right w:w="15" w:type="dxa"/>
        </w:tblCellMar>
      </w:tblPr>
      <w:tblGrid>
        <w:gridCol w:w="975"/>
        <w:gridCol w:w="943"/>
        <w:gridCol w:w="990"/>
        <w:gridCol w:w="1150"/>
        <w:gridCol w:w="243"/>
        <w:gridCol w:w="1285"/>
        <w:gridCol w:w="1301"/>
        <w:gridCol w:w="728"/>
        <w:gridCol w:w="1050"/>
        <w:gridCol w:w="1200"/>
      </w:tblGrid>
      <w:tr w14:paraId="6E9A4C71">
        <w:tblPrEx>
          <w:tblCellMar>
            <w:top w:w="15" w:type="dxa"/>
            <w:left w:w="15" w:type="dxa"/>
            <w:bottom w:w="15" w:type="dxa"/>
            <w:right w:w="15" w:type="dxa"/>
          </w:tblCellMar>
        </w:tblPrEx>
        <w:trPr>
          <w:trHeight w:val="624" w:hRule="atLeast"/>
          <w:jc w:val="center"/>
        </w:trPr>
        <w:tc>
          <w:tcPr>
            <w:tcW w:w="97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BDAE124">
            <w:pPr>
              <w:widowControl/>
              <w:spacing w:line="320" w:lineRule="atLeast"/>
              <w:jc w:val="center"/>
              <w:rPr>
                <w:rFonts w:ascii="宋体" w:hAnsi="宋体" w:eastAsia="宋体" w:cs="宋体"/>
                <w:kern w:val="0"/>
                <w:sz w:val="24"/>
                <w:szCs w:val="24"/>
              </w:rPr>
            </w:pPr>
            <w:r>
              <w:rPr>
                <w:rFonts w:ascii="宋体" w:hAnsi="宋体" w:eastAsia="宋体"/>
                <w:kern w:val="0"/>
                <w:sz w:val="20"/>
              </w:rPr>
              <w:t>预算</w:t>
            </w:r>
          </w:p>
          <w:p w14:paraId="71934670">
            <w:pPr>
              <w:widowControl/>
              <w:spacing w:line="320" w:lineRule="atLeast"/>
              <w:jc w:val="center"/>
              <w:rPr>
                <w:rFonts w:ascii="宋体" w:hAnsi="宋体" w:eastAsia="宋体" w:cs="宋体"/>
                <w:kern w:val="0"/>
                <w:sz w:val="24"/>
                <w:szCs w:val="24"/>
              </w:rPr>
            </w:pPr>
            <w:r>
              <w:rPr>
                <w:rFonts w:ascii="宋体" w:hAnsi="宋体" w:eastAsia="宋体"/>
                <w:kern w:val="0"/>
                <w:sz w:val="20"/>
              </w:rPr>
              <w:t>部门</w:t>
            </w:r>
          </w:p>
        </w:tc>
        <w:tc>
          <w:tcPr>
            <w:tcW w:w="8890" w:type="dxa"/>
            <w:gridSpan w:val="9"/>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CE67090">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益阳市资阳区工业和信息化局</w:t>
            </w:r>
          </w:p>
        </w:tc>
      </w:tr>
      <w:tr w14:paraId="34A9C0F8">
        <w:tblPrEx>
          <w:tblCellMar>
            <w:top w:w="15" w:type="dxa"/>
            <w:left w:w="15" w:type="dxa"/>
            <w:bottom w:w="15" w:type="dxa"/>
            <w:right w:w="15" w:type="dxa"/>
          </w:tblCellMar>
        </w:tblPrEx>
        <w:trPr>
          <w:trHeight w:val="624" w:hRule="atLeast"/>
          <w:jc w:val="center"/>
        </w:trPr>
        <w:tc>
          <w:tcPr>
            <w:tcW w:w="97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BA89EE8">
            <w:pPr>
              <w:widowControl/>
              <w:spacing w:line="320" w:lineRule="atLeast"/>
              <w:jc w:val="center"/>
              <w:rPr>
                <w:rFonts w:ascii="宋体" w:hAnsi="宋体" w:eastAsia="宋体" w:cs="宋体"/>
                <w:kern w:val="0"/>
                <w:sz w:val="24"/>
                <w:szCs w:val="24"/>
              </w:rPr>
            </w:pPr>
            <w:r>
              <w:rPr>
                <w:rFonts w:ascii="宋体" w:hAnsi="宋体" w:eastAsia="宋体"/>
                <w:kern w:val="0"/>
                <w:sz w:val="20"/>
              </w:rPr>
              <w:t>年度预</w:t>
            </w:r>
          </w:p>
          <w:p w14:paraId="4CEA94E1">
            <w:pPr>
              <w:widowControl/>
              <w:spacing w:line="320" w:lineRule="atLeast"/>
              <w:jc w:val="center"/>
              <w:rPr>
                <w:rFonts w:ascii="宋体" w:hAnsi="宋体" w:eastAsia="宋体" w:cs="宋体"/>
                <w:kern w:val="0"/>
                <w:sz w:val="24"/>
                <w:szCs w:val="24"/>
              </w:rPr>
            </w:pPr>
            <w:r>
              <w:rPr>
                <w:rFonts w:ascii="宋体" w:hAnsi="宋体" w:eastAsia="宋体"/>
                <w:kern w:val="0"/>
                <w:sz w:val="20"/>
              </w:rPr>
              <w:t>算申请</w:t>
            </w:r>
          </w:p>
          <w:p w14:paraId="0815BE4E">
            <w:pPr>
              <w:widowControl/>
              <w:spacing w:line="320" w:lineRule="atLeast"/>
              <w:jc w:val="center"/>
              <w:rPr>
                <w:rFonts w:ascii="宋体" w:hAnsi="宋体" w:eastAsia="宋体" w:cs="宋体"/>
                <w:kern w:val="0"/>
                <w:sz w:val="24"/>
                <w:szCs w:val="24"/>
              </w:rPr>
            </w:pPr>
            <w:r>
              <w:rPr>
                <w:rFonts w:ascii="宋体" w:hAnsi="宋体" w:eastAsia="宋体"/>
                <w:kern w:val="0"/>
                <w:sz w:val="20"/>
              </w:rPr>
              <w:t>（万元）</w:t>
            </w:r>
          </w:p>
        </w:tc>
        <w:tc>
          <w:tcPr>
            <w:tcW w:w="193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09BC0D7">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c>
          <w:tcPr>
            <w:tcW w:w="11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5CA63D6">
            <w:pPr>
              <w:widowControl/>
              <w:spacing w:line="320" w:lineRule="atLeast"/>
              <w:jc w:val="center"/>
              <w:rPr>
                <w:rFonts w:ascii="宋体" w:hAnsi="宋体" w:eastAsia="宋体" w:cs="宋体"/>
                <w:kern w:val="0"/>
                <w:sz w:val="24"/>
                <w:szCs w:val="24"/>
              </w:rPr>
            </w:pPr>
            <w:r>
              <w:rPr>
                <w:rFonts w:ascii="宋体" w:hAnsi="宋体" w:eastAsia="宋体"/>
                <w:kern w:val="0"/>
                <w:sz w:val="20"/>
              </w:rPr>
              <w:t>年初</w:t>
            </w:r>
          </w:p>
          <w:p w14:paraId="07751E43">
            <w:pPr>
              <w:widowControl/>
              <w:spacing w:line="320" w:lineRule="atLeast"/>
              <w:jc w:val="center"/>
              <w:rPr>
                <w:rFonts w:ascii="宋体" w:hAnsi="宋体" w:eastAsia="宋体" w:cs="宋体"/>
                <w:kern w:val="0"/>
                <w:sz w:val="24"/>
                <w:szCs w:val="24"/>
              </w:rPr>
            </w:pPr>
            <w:r>
              <w:rPr>
                <w:rFonts w:ascii="宋体" w:hAnsi="宋体" w:eastAsia="宋体"/>
                <w:kern w:val="0"/>
                <w:sz w:val="20"/>
              </w:rPr>
              <w:t>预算数</w:t>
            </w:r>
          </w:p>
        </w:tc>
        <w:tc>
          <w:tcPr>
            <w:tcW w:w="152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4206787">
            <w:pPr>
              <w:widowControl/>
              <w:spacing w:line="320" w:lineRule="atLeast"/>
              <w:jc w:val="center"/>
              <w:rPr>
                <w:rFonts w:ascii="宋体" w:hAnsi="宋体" w:eastAsia="宋体" w:cs="宋体"/>
                <w:kern w:val="0"/>
                <w:sz w:val="24"/>
                <w:szCs w:val="24"/>
              </w:rPr>
            </w:pPr>
            <w:r>
              <w:rPr>
                <w:rFonts w:ascii="宋体" w:hAnsi="宋体" w:eastAsia="宋体"/>
                <w:kern w:val="0"/>
                <w:sz w:val="20"/>
              </w:rPr>
              <w:t>全年预算数</w:t>
            </w:r>
          </w:p>
        </w:tc>
        <w:tc>
          <w:tcPr>
            <w:tcW w:w="13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28749CF">
            <w:pPr>
              <w:widowControl/>
              <w:spacing w:line="320" w:lineRule="atLeast"/>
              <w:jc w:val="center"/>
              <w:rPr>
                <w:rFonts w:ascii="宋体" w:hAnsi="宋体" w:eastAsia="宋体" w:cs="宋体"/>
                <w:kern w:val="0"/>
                <w:sz w:val="24"/>
                <w:szCs w:val="24"/>
              </w:rPr>
            </w:pPr>
            <w:r>
              <w:rPr>
                <w:rFonts w:ascii="宋体" w:hAnsi="宋体" w:eastAsia="宋体"/>
                <w:kern w:val="0"/>
                <w:sz w:val="20"/>
              </w:rPr>
              <w:t>全年执行数</w:t>
            </w:r>
          </w:p>
        </w:tc>
        <w:tc>
          <w:tcPr>
            <w:tcW w:w="72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3D4FDC2">
            <w:pPr>
              <w:widowControl/>
              <w:spacing w:line="320" w:lineRule="atLeast"/>
              <w:jc w:val="center"/>
              <w:rPr>
                <w:rFonts w:ascii="宋体" w:hAnsi="宋体" w:eastAsia="宋体" w:cs="宋体"/>
                <w:kern w:val="0"/>
                <w:sz w:val="24"/>
                <w:szCs w:val="24"/>
              </w:rPr>
            </w:pPr>
            <w:r>
              <w:rPr>
                <w:rFonts w:ascii="宋体" w:hAnsi="宋体" w:eastAsia="宋体"/>
                <w:kern w:val="0"/>
                <w:sz w:val="20"/>
              </w:rPr>
              <w:t>分值</w:t>
            </w:r>
          </w:p>
        </w:tc>
        <w:tc>
          <w:tcPr>
            <w:tcW w:w="10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A2E6080">
            <w:pPr>
              <w:widowControl/>
              <w:spacing w:line="320" w:lineRule="atLeast"/>
              <w:jc w:val="center"/>
              <w:rPr>
                <w:rFonts w:ascii="宋体" w:hAnsi="宋体" w:eastAsia="宋体" w:cs="宋体"/>
                <w:kern w:val="0"/>
                <w:sz w:val="24"/>
                <w:szCs w:val="24"/>
              </w:rPr>
            </w:pPr>
            <w:r>
              <w:rPr>
                <w:rFonts w:ascii="宋体" w:hAnsi="宋体" w:eastAsia="宋体"/>
                <w:kern w:val="0"/>
                <w:sz w:val="20"/>
              </w:rPr>
              <w:t>执行率</w:t>
            </w:r>
          </w:p>
        </w:tc>
        <w:tc>
          <w:tcPr>
            <w:tcW w:w="12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CCDD447">
            <w:pPr>
              <w:widowControl/>
              <w:spacing w:line="320" w:lineRule="atLeast"/>
              <w:jc w:val="center"/>
              <w:rPr>
                <w:rFonts w:ascii="宋体" w:hAnsi="宋体" w:eastAsia="宋体" w:cs="宋体"/>
                <w:kern w:val="0"/>
                <w:sz w:val="24"/>
                <w:szCs w:val="24"/>
              </w:rPr>
            </w:pPr>
            <w:r>
              <w:rPr>
                <w:rFonts w:ascii="宋体" w:hAnsi="宋体" w:eastAsia="宋体"/>
                <w:kern w:val="0"/>
                <w:sz w:val="20"/>
              </w:rPr>
              <w:t>得分</w:t>
            </w:r>
          </w:p>
        </w:tc>
      </w:tr>
      <w:tr w14:paraId="72CA9DA8">
        <w:tblPrEx>
          <w:tblCellMar>
            <w:top w:w="15" w:type="dxa"/>
            <w:left w:w="15" w:type="dxa"/>
            <w:bottom w:w="15" w:type="dxa"/>
            <w:right w:w="15" w:type="dxa"/>
          </w:tblCellMar>
        </w:tblPrEx>
        <w:trPr>
          <w:trHeight w:val="624"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78C5DB6F">
            <w:pPr>
              <w:widowControl/>
              <w:jc w:val="left"/>
              <w:rPr>
                <w:rFonts w:ascii="宋体" w:hAnsi="宋体" w:eastAsia="宋体" w:cs="宋体"/>
                <w:kern w:val="0"/>
                <w:sz w:val="24"/>
                <w:szCs w:val="24"/>
              </w:rPr>
            </w:pPr>
          </w:p>
        </w:tc>
        <w:tc>
          <w:tcPr>
            <w:tcW w:w="193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3D2DF33">
            <w:pPr>
              <w:widowControl/>
              <w:spacing w:line="320" w:lineRule="atLeast"/>
              <w:jc w:val="center"/>
              <w:rPr>
                <w:rFonts w:ascii="宋体" w:hAnsi="宋体" w:eastAsia="宋体" w:cs="宋体"/>
                <w:kern w:val="0"/>
                <w:sz w:val="24"/>
                <w:szCs w:val="24"/>
              </w:rPr>
            </w:pPr>
            <w:r>
              <w:rPr>
                <w:rFonts w:ascii="宋体" w:hAnsi="宋体" w:eastAsia="宋体"/>
                <w:kern w:val="0"/>
                <w:sz w:val="20"/>
              </w:rPr>
              <w:t>年度资金总额</w:t>
            </w:r>
          </w:p>
        </w:tc>
        <w:tc>
          <w:tcPr>
            <w:tcW w:w="11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BCC6284">
            <w:pPr>
              <w:widowControl/>
              <w:spacing w:line="320" w:lineRule="atLeast"/>
              <w:jc w:val="center"/>
              <w:rPr>
                <w:rFonts w:ascii="宋体" w:hAnsi="宋体" w:eastAsia="宋体" w:cs="宋体"/>
                <w:kern w:val="0"/>
                <w:sz w:val="24"/>
                <w:szCs w:val="24"/>
              </w:rPr>
            </w:pPr>
            <w:r>
              <w:rPr>
                <w:rFonts w:hint="eastAsia" w:cs="仿宋" w:asciiTheme="minorEastAsia" w:hAnsiTheme="minorEastAsia" w:eastAsiaTheme="minorEastAsia"/>
                <w:b/>
                <w:bCs/>
                <w:kern w:val="0"/>
                <w:sz w:val="18"/>
                <w:szCs w:val="18"/>
              </w:rPr>
              <w:t>453.2</w:t>
            </w:r>
          </w:p>
        </w:tc>
        <w:tc>
          <w:tcPr>
            <w:tcW w:w="1528"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AB2867A">
            <w:pPr>
              <w:widowControl/>
              <w:spacing w:line="320" w:lineRule="atLeast"/>
              <w:jc w:val="center"/>
              <w:rPr>
                <w:rFonts w:ascii="宋体" w:hAnsi="宋体" w:eastAsia="宋体" w:cs="宋体"/>
                <w:kern w:val="0"/>
                <w:sz w:val="24"/>
                <w:szCs w:val="24"/>
              </w:rPr>
            </w:pPr>
            <w:r>
              <w:rPr>
                <w:rFonts w:hint="eastAsia" w:cs="仿宋" w:asciiTheme="minorEastAsia" w:hAnsiTheme="minorEastAsia" w:eastAsiaTheme="minorEastAsia"/>
                <w:b/>
                <w:bCs/>
                <w:kern w:val="0"/>
                <w:sz w:val="18"/>
                <w:szCs w:val="18"/>
              </w:rPr>
              <w:t>726.93</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74CE1F">
            <w:pPr>
              <w:widowControl/>
              <w:spacing w:line="320" w:lineRule="atLeast"/>
              <w:jc w:val="center"/>
              <w:rPr>
                <w:rFonts w:ascii="宋体" w:hAnsi="宋体" w:eastAsia="宋体" w:cs="宋体"/>
                <w:kern w:val="0"/>
                <w:sz w:val="24"/>
                <w:szCs w:val="24"/>
              </w:rPr>
            </w:pPr>
            <w:r>
              <w:rPr>
                <w:rFonts w:hint="eastAsia" w:cs="仿宋" w:asciiTheme="minorEastAsia" w:hAnsiTheme="minorEastAsia" w:eastAsiaTheme="minorEastAsia"/>
                <w:b/>
                <w:bCs/>
                <w:kern w:val="0"/>
                <w:sz w:val="18"/>
                <w:szCs w:val="18"/>
              </w:rPr>
              <w:t>726.83</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57B18E8">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10</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0C6673D">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100%</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DBCEFC">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10</w:t>
            </w:r>
          </w:p>
        </w:tc>
      </w:tr>
      <w:tr w14:paraId="059F9975">
        <w:tblPrEx>
          <w:tblCellMar>
            <w:top w:w="15" w:type="dxa"/>
            <w:left w:w="15" w:type="dxa"/>
            <w:bottom w:w="15" w:type="dxa"/>
            <w:right w:w="15" w:type="dxa"/>
          </w:tblCellMar>
        </w:tblPrEx>
        <w:trPr>
          <w:trHeight w:val="56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75C9AC8E">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3F9CCB">
            <w:pPr>
              <w:widowControl/>
              <w:spacing w:line="320" w:lineRule="atLeast"/>
              <w:jc w:val="center"/>
              <w:rPr>
                <w:rFonts w:ascii="宋体" w:hAnsi="宋体" w:eastAsia="宋体" w:cs="宋体"/>
                <w:kern w:val="0"/>
                <w:sz w:val="24"/>
                <w:szCs w:val="24"/>
              </w:rPr>
            </w:pPr>
            <w:r>
              <w:rPr>
                <w:rFonts w:ascii="宋体" w:hAnsi="宋体" w:eastAsia="宋体"/>
                <w:kern w:val="0"/>
                <w:sz w:val="20"/>
              </w:rPr>
              <w:t>按收入性质分：</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85FAE8E">
            <w:pPr>
              <w:widowControl/>
              <w:spacing w:line="320" w:lineRule="atLeast"/>
              <w:jc w:val="center"/>
              <w:rPr>
                <w:rFonts w:ascii="宋体" w:hAnsi="宋体" w:eastAsia="宋体" w:cs="宋体"/>
                <w:kern w:val="0"/>
                <w:sz w:val="24"/>
                <w:szCs w:val="24"/>
              </w:rPr>
            </w:pPr>
            <w:r>
              <w:rPr>
                <w:rFonts w:ascii="宋体" w:hAnsi="宋体" w:eastAsia="宋体"/>
                <w:kern w:val="0"/>
                <w:sz w:val="20"/>
              </w:rPr>
              <w:t>按支出性质分：</w:t>
            </w:r>
          </w:p>
        </w:tc>
      </w:tr>
      <w:tr w14:paraId="5F190BB5">
        <w:tblPrEx>
          <w:tblCellMar>
            <w:top w:w="15" w:type="dxa"/>
            <w:left w:w="15" w:type="dxa"/>
            <w:bottom w:w="15" w:type="dxa"/>
            <w:right w:w="15" w:type="dxa"/>
          </w:tblCellMar>
        </w:tblPrEx>
        <w:trPr>
          <w:trHeight w:val="56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79D5EBE7">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6DA2E9B">
            <w:pPr>
              <w:widowControl/>
              <w:spacing w:line="320" w:lineRule="atLeast"/>
              <w:jc w:val="center"/>
              <w:rPr>
                <w:rFonts w:ascii="宋体" w:hAnsi="宋体" w:eastAsia="宋体" w:cs="宋体"/>
                <w:kern w:val="0"/>
                <w:sz w:val="24"/>
                <w:szCs w:val="24"/>
              </w:rPr>
            </w:pPr>
            <w:r>
              <w:rPr>
                <w:rFonts w:ascii="宋体" w:hAnsi="宋体" w:eastAsia="宋体"/>
                <w:kern w:val="0"/>
                <w:sz w:val="20"/>
              </w:rPr>
              <w:t>其中：</w:t>
            </w:r>
            <w:r>
              <w:rPr>
                <w:rFonts w:ascii="Times New Roman" w:hAnsi="Times New Roman" w:eastAsia="宋体"/>
                <w:kern w:val="0"/>
                <w:sz w:val="20"/>
              </w:rPr>
              <w:t>  </w:t>
            </w:r>
            <w:r>
              <w:rPr>
                <w:rFonts w:ascii="宋体" w:hAnsi="宋体" w:eastAsia="宋体"/>
                <w:kern w:val="0"/>
                <w:sz w:val="20"/>
              </w:rPr>
              <w:t>一般公共预算：</w:t>
            </w:r>
            <w:r>
              <w:rPr>
                <w:rFonts w:hint="eastAsia" w:ascii="Times New Roman" w:hAnsi="Times New Roman" w:eastAsia="宋体"/>
                <w:kern w:val="0"/>
                <w:sz w:val="20"/>
              </w:rPr>
              <w:t>716.31</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6597B89">
            <w:pPr>
              <w:widowControl/>
              <w:spacing w:line="320" w:lineRule="atLeast"/>
              <w:jc w:val="center"/>
              <w:rPr>
                <w:rFonts w:ascii="宋体" w:hAnsi="宋体" w:eastAsia="宋体" w:cs="宋体"/>
                <w:kern w:val="0"/>
                <w:sz w:val="24"/>
                <w:szCs w:val="24"/>
              </w:rPr>
            </w:pPr>
            <w:r>
              <w:rPr>
                <w:rFonts w:ascii="宋体" w:hAnsi="宋体" w:eastAsia="宋体"/>
                <w:kern w:val="0"/>
                <w:sz w:val="20"/>
              </w:rPr>
              <w:t>其中：基本支出：</w:t>
            </w:r>
            <w:r>
              <w:rPr>
                <w:rFonts w:hint="eastAsia" w:ascii="Times New Roman" w:hAnsi="Times New Roman" w:eastAsia="宋体"/>
                <w:kern w:val="0"/>
                <w:sz w:val="20"/>
              </w:rPr>
              <w:t>388.38</w:t>
            </w:r>
          </w:p>
        </w:tc>
      </w:tr>
      <w:tr w14:paraId="25D12D99">
        <w:tblPrEx>
          <w:tblCellMar>
            <w:top w:w="15" w:type="dxa"/>
            <w:left w:w="15" w:type="dxa"/>
            <w:bottom w:w="15" w:type="dxa"/>
            <w:right w:w="15" w:type="dxa"/>
          </w:tblCellMar>
        </w:tblPrEx>
        <w:trPr>
          <w:trHeight w:val="56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66A07946">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2CF8B08">
            <w:pPr>
              <w:widowControl/>
              <w:spacing w:line="320" w:lineRule="atLeast"/>
              <w:ind w:firstLine="800"/>
              <w:jc w:val="center"/>
              <w:rPr>
                <w:rFonts w:ascii="宋体" w:hAnsi="宋体" w:eastAsia="宋体" w:cs="宋体"/>
                <w:kern w:val="0"/>
                <w:sz w:val="24"/>
                <w:szCs w:val="24"/>
              </w:rPr>
            </w:pPr>
            <w:r>
              <w:rPr>
                <w:rFonts w:ascii="宋体" w:hAnsi="宋体" w:eastAsia="宋体"/>
                <w:kern w:val="0"/>
                <w:sz w:val="20"/>
              </w:rPr>
              <w:t>政府性基金拨款：</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E38304D">
            <w:pPr>
              <w:widowControl/>
              <w:spacing w:line="320" w:lineRule="atLeast"/>
              <w:ind w:firstLine="600"/>
              <w:jc w:val="center"/>
              <w:rPr>
                <w:rFonts w:ascii="宋体" w:hAnsi="宋体" w:eastAsia="宋体" w:cs="宋体"/>
                <w:kern w:val="0"/>
                <w:sz w:val="24"/>
                <w:szCs w:val="24"/>
              </w:rPr>
            </w:pPr>
            <w:r>
              <w:rPr>
                <w:rFonts w:ascii="宋体" w:hAnsi="宋体" w:eastAsia="宋体"/>
                <w:kern w:val="0"/>
                <w:sz w:val="20"/>
              </w:rPr>
              <w:t>项目支出：</w:t>
            </w:r>
            <w:r>
              <w:rPr>
                <w:rFonts w:hint="eastAsia" w:ascii="Times New Roman" w:hAnsi="Times New Roman" w:eastAsia="宋体"/>
                <w:kern w:val="0"/>
                <w:sz w:val="20"/>
              </w:rPr>
              <w:t>338.45</w:t>
            </w:r>
          </w:p>
        </w:tc>
      </w:tr>
      <w:tr w14:paraId="341E4188">
        <w:tblPrEx>
          <w:tblCellMar>
            <w:top w:w="15" w:type="dxa"/>
            <w:left w:w="15" w:type="dxa"/>
            <w:bottom w:w="15" w:type="dxa"/>
            <w:right w:w="15" w:type="dxa"/>
          </w:tblCellMar>
        </w:tblPrEx>
        <w:trPr>
          <w:trHeight w:val="56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1D6885B0">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3CFA159">
            <w:pPr>
              <w:widowControl/>
              <w:spacing w:line="320" w:lineRule="atLeast"/>
              <w:jc w:val="center"/>
              <w:rPr>
                <w:rFonts w:ascii="宋体" w:hAnsi="宋体" w:eastAsia="宋体" w:cs="宋体"/>
                <w:kern w:val="0"/>
                <w:sz w:val="24"/>
                <w:szCs w:val="24"/>
              </w:rPr>
            </w:pPr>
            <w:r>
              <w:rPr>
                <w:rFonts w:ascii="宋体" w:hAnsi="宋体" w:eastAsia="宋体"/>
                <w:kern w:val="0"/>
                <w:sz w:val="20"/>
              </w:rPr>
              <w:t>纳入专户管理的非税收入拨款：</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74260A1">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F23D7B7">
        <w:tblPrEx>
          <w:tblCellMar>
            <w:top w:w="15" w:type="dxa"/>
            <w:left w:w="15" w:type="dxa"/>
            <w:bottom w:w="15" w:type="dxa"/>
            <w:right w:w="15" w:type="dxa"/>
          </w:tblCellMar>
        </w:tblPrEx>
        <w:trPr>
          <w:trHeight w:val="56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50AC04BE">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ABBC4D">
            <w:pPr>
              <w:widowControl/>
              <w:spacing w:line="320" w:lineRule="atLeast"/>
              <w:ind w:firstLine="1400"/>
              <w:jc w:val="center"/>
              <w:rPr>
                <w:rFonts w:ascii="宋体" w:hAnsi="宋体" w:eastAsia="宋体" w:cs="宋体"/>
                <w:kern w:val="0"/>
                <w:sz w:val="24"/>
                <w:szCs w:val="24"/>
              </w:rPr>
            </w:pPr>
            <w:r>
              <w:rPr>
                <w:rFonts w:ascii="宋体" w:hAnsi="宋体" w:eastAsia="宋体"/>
                <w:kern w:val="0"/>
                <w:sz w:val="20"/>
              </w:rPr>
              <w:t>其他资金：</w:t>
            </w:r>
            <w:r>
              <w:rPr>
                <w:rFonts w:hint="eastAsia" w:ascii="Times New Roman" w:hAnsi="Times New Roman" w:eastAsia="宋体"/>
                <w:kern w:val="0"/>
                <w:sz w:val="20"/>
              </w:rPr>
              <w:t>10.52</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317F8C7">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09397A0E">
        <w:tblPrEx>
          <w:tblCellMar>
            <w:top w:w="15" w:type="dxa"/>
            <w:left w:w="15" w:type="dxa"/>
            <w:bottom w:w="15" w:type="dxa"/>
            <w:right w:w="15" w:type="dxa"/>
          </w:tblCellMar>
        </w:tblPrEx>
        <w:trPr>
          <w:trHeight w:val="567" w:hRule="atLeast"/>
          <w:jc w:val="center"/>
        </w:trPr>
        <w:tc>
          <w:tcPr>
            <w:tcW w:w="97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F25856D">
            <w:pPr>
              <w:widowControl/>
              <w:spacing w:line="320" w:lineRule="atLeast"/>
              <w:jc w:val="center"/>
              <w:rPr>
                <w:rFonts w:ascii="宋体" w:hAnsi="宋体" w:eastAsia="宋体" w:cs="宋体"/>
                <w:kern w:val="0"/>
                <w:sz w:val="24"/>
                <w:szCs w:val="24"/>
              </w:rPr>
            </w:pPr>
            <w:r>
              <w:rPr>
                <w:rFonts w:ascii="宋体" w:hAnsi="宋体" w:eastAsia="宋体"/>
                <w:kern w:val="0"/>
                <w:sz w:val="20"/>
              </w:rPr>
              <w:t>年度总体目标</w:t>
            </w: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9290D3">
            <w:pPr>
              <w:widowControl/>
              <w:spacing w:line="320" w:lineRule="atLeast"/>
              <w:jc w:val="center"/>
              <w:rPr>
                <w:rFonts w:ascii="宋体" w:hAnsi="宋体" w:eastAsia="宋体" w:cs="宋体"/>
                <w:kern w:val="0"/>
                <w:sz w:val="24"/>
                <w:szCs w:val="24"/>
              </w:rPr>
            </w:pPr>
            <w:r>
              <w:rPr>
                <w:rFonts w:ascii="宋体" w:hAnsi="宋体" w:eastAsia="宋体"/>
                <w:kern w:val="0"/>
                <w:sz w:val="20"/>
              </w:rPr>
              <w:t>预期目标</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FD4ADA1">
            <w:pPr>
              <w:widowControl/>
              <w:spacing w:line="320" w:lineRule="atLeast"/>
              <w:jc w:val="center"/>
              <w:rPr>
                <w:rFonts w:ascii="宋体" w:hAnsi="宋体" w:eastAsia="宋体" w:cs="宋体"/>
                <w:kern w:val="0"/>
                <w:sz w:val="24"/>
                <w:szCs w:val="24"/>
              </w:rPr>
            </w:pPr>
            <w:r>
              <w:rPr>
                <w:rFonts w:ascii="宋体" w:hAnsi="宋体" w:eastAsia="宋体"/>
                <w:kern w:val="0"/>
                <w:sz w:val="20"/>
              </w:rPr>
              <w:t>实际完成情况</w:t>
            </w:r>
          </w:p>
        </w:tc>
      </w:tr>
      <w:tr w14:paraId="37526006">
        <w:tblPrEx>
          <w:tblCellMar>
            <w:top w:w="15" w:type="dxa"/>
            <w:left w:w="15" w:type="dxa"/>
            <w:bottom w:w="15" w:type="dxa"/>
            <w:right w:w="15" w:type="dxa"/>
          </w:tblCellMar>
        </w:tblPrEx>
        <w:trPr>
          <w:trHeight w:val="547"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4B5081BD">
            <w:pPr>
              <w:widowControl/>
              <w:jc w:val="left"/>
              <w:rPr>
                <w:rFonts w:ascii="宋体" w:hAnsi="宋体" w:eastAsia="宋体" w:cs="宋体"/>
                <w:kern w:val="0"/>
                <w:sz w:val="24"/>
                <w:szCs w:val="24"/>
              </w:rPr>
            </w:pPr>
          </w:p>
        </w:tc>
        <w:tc>
          <w:tcPr>
            <w:tcW w:w="4611"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4B2A8E4">
            <w:pPr>
              <w:widowControl/>
              <w:spacing w:line="300" w:lineRule="atLeast"/>
              <w:rPr>
                <w:rFonts w:ascii="宋体" w:hAnsi="宋体" w:eastAsia="宋体" w:cs="宋体"/>
                <w:kern w:val="0"/>
                <w:sz w:val="24"/>
                <w:szCs w:val="24"/>
              </w:rPr>
            </w:pPr>
            <w:r>
              <w:rPr>
                <w:rFonts w:ascii="Times New Roman" w:hAnsi="Times New Roman" w:eastAsia="宋体"/>
                <w:kern w:val="0"/>
                <w:sz w:val="20"/>
              </w:rPr>
              <w:t>1</w:t>
            </w:r>
            <w:r>
              <w:rPr>
                <w:rFonts w:hint="eastAsia" w:ascii="宋体" w:hAnsi="宋体" w:eastAsia="宋体" w:cs="宋体"/>
                <w:kern w:val="0"/>
                <w:sz w:val="20"/>
              </w:rPr>
              <w:t>、保证局本级单位正常运转，推进各项专项工作正常运作，编制内在职人员控制率</w:t>
            </w:r>
            <w:r>
              <w:rPr>
                <w:rFonts w:ascii="Arial" w:hAnsi="Arial" w:eastAsia="宋体" w:cs="Arial"/>
                <w:kern w:val="0"/>
                <w:sz w:val="20"/>
              </w:rPr>
              <w:t>≤</w:t>
            </w:r>
            <w:r>
              <w:rPr>
                <w:rFonts w:hint="eastAsia" w:ascii="Times New Roman" w:hAnsi="Times New Roman" w:eastAsia="宋体"/>
                <w:kern w:val="0"/>
                <w:sz w:val="20"/>
              </w:rPr>
              <w:t>100%</w:t>
            </w:r>
            <w:r>
              <w:rPr>
                <w:rFonts w:hint="eastAsia" w:ascii="宋体" w:hAnsi="宋体" w:eastAsia="宋体" w:cs="宋体"/>
                <w:kern w:val="0"/>
                <w:sz w:val="20"/>
              </w:rPr>
              <w:t>，控制在预算编制以内，三公经费预算总额较上年减少，三公经费控制率小于</w:t>
            </w:r>
            <w:r>
              <w:rPr>
                <w:rFonts w:hint="eastAsia" w:ascii="Times New Roman" w:hAnsi="Times New Roman" w:eastAsia="宋体"/>
                <w:kern w:val="0"/>
                <w:sz w:val="20"/>
              </w:rPr>
              <w:t>100%</w:t>
            </w:r>
            <w:r>
              <w:rPr>
                <w:rFonts w:hint="eastAsia" w:ascii="宋体" w:hAnsi="宋体" w:eastAsia="宋体" w:cs="宋体"/>
                <w:kern w:val="0"/>
                <w:sz w:val="20"/>
              </w:rPr>
              <w:t>；</w:t>
            </w:r>
          </w:p>
          <w:p w14:paraId="62BFAE2E">
            <w:pPr>
              <w:widowControl/>
              <w:spacing w:line="300" w:lineRule="atLeast"/>
              <w:rPr>
                <w:rFonts w:ascii="宋体" w:hAnsi="宋体" w:eastAsia="宋体" w:cs="宋体"/>
                <w:kern w:val="0"/>
                <w:sz w:val="24"/>
                <w:szCs w:val="24"/>
              </w:rPr>
            </w:pPr>
            <w:r>
              <w:rPr>
                <w:rFonts w:ascii="Times New Roman" w:hAnsi="Times New Roman" w:eastAsia="宋体"/>
                <w:kern w:val="0"/>
                <w:sz w:val="20"/>
              </w:rPr>
              <w:t>2</w:t>
            </w:r>
            <w:r>
              <w:rPr>
                <w:rFonts w:hint="eastAsia" w:ascii="宋体" w:hAnsi="宋体" w:eastAsia="宋体" w:cs="宋体"/>
                <w:kern w:val="0"/>
                <w:sz w:val="20"/>
              </w:rPr>
              <w:t>、全面完成区委经济工作会议和区政府工作报告确定的各项任务；</w:t>
            </w:r>
          </w:p>
          <w:p w14:paraId="48C68167">
            <w:pPr>
              <w:widowControl/>
              <w:spacing w:line="300" w:lineRule="atLeast"/>
              <w:rPr>
                <w:rFonts w:ascii="宋体" w:hAnsi="宋体" w:eastAsia="宋体" w:cs="宋体"/>
                <w:kern w:val="0"/>
                <w:sz w:val="24"/>
                <w:szCs w:val="24"/>
              </w:rPr>
            </w:pPr>
            <w:r>
              <w:rPr>
                <w:rFonts w:ascii="Times New Roman" w:hAnsi="Times New Roman" w:eastAsia="宋体"/>
                <w:kern w:val="0"/>
                <w:sz w:val="20"/>
              </w:rPr>
              <w:t>3</w:t>
            </w:r>
            <w:r>
              <w:rPr>
                <w:rFonts w:hint="eastAsia" w:ascii="宋体" w:hAnsi="宋体" w:eastAsia="宋体" w:cs="宋体"/>
                <w:kern w:val="0"/>
                <w:sz w:val="20"/>
              </w:rPr>
              <w:t>、全区工业经济保持稳定增长，助力工业高质量发展。</w:t>
            </w:r>
          </w:p>
        </w:tc>
        <w:tc>
          <w:tcPr>
            <w:tcW w:w="4279"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293F2A7">
            <w:pPr>
              <w:widowControl/>
              <w:spacing w:line="300" w:lineRule="atLeast"/>
              <w:rPr>
                <w:rFonts w:ascii="宋体" w:hAnsi="宋体" w:eastAsia="宋体" w:cs="宋体"/>
                <w:kern w:val="0"/>
                <w:sz w:val="24"/>
                <w:szCs w:val="24"/>
              </w:rPr>
            </w:pPr>
            <w:r>
              <w:rPr>
                <w:rFonts w:hint="eastAsia" w:ascii="宋体" w:hAnsi="宋体" w:eastAsia="宋体" w:cs="宋体"/>
                <w:kern w:val="0"/>
                <w:sz w:val="20"/>
              </w:rPr>
              <w:t>全区工信系统全面落实“三高四新”战略地位和使命任务，加快构建现代化产业体系，深入推进新型工业化，全区工业经济运行恢复良好，制造业高质量发展逐渐显效，充分发挥了工业经济“压舱石”作用。</w:t>
            </w:r>
            <w:r>
              <w:rPr>
                <w:rFonts w:ascii="宋体" w:hAnsi="宋体" w:eastAsia="宋体"/>
                <w:kern w:val="0"/>
                <w:sz w:val="20"/>
              </w:rPr>
              <w:t>全市</w:t>
            </w:r>
            <w:r>
              <w:rPr>
                <w:rFonts w:hint="eastAsia" w:ascii="宋体" w:hAnsi="宋体" w:eastAsia="宋体"/>
                <w:kern w:val="0"/>
                <w:sz w:val="20"/>
              </w:rPr>
              <w:t>区</w:t>
            </w:r>
            <w:r>
              <w:rPr>
                <w:rFonts w:hint="eastAsia" w:ascii="宋体" w:hAnsi="宋体" w:eastAsia="宋体" w:cs="宋体"/>
                <w:kern w:val="0"/>
                <w:sz w:val="20"/>
              </w:rPr>
              <w:t>规模工业增加值增速5.6%；工业投资增速12%；工业税收占比75.3%。</w:t>
            </w:r>
          </w:p>
        </w:tc>
      </w:tr>
      <w:tr w14:paraId="35227C44">
        <w:tblPrEx>
          <w:tblCellMar>
            <w:top w:w="15" w:type="dxa"/>
            <w:left w:w="15" w:type="dxa"/>
            <w:bottom w:w="15" w:type="dxa"/>
            <w:right w:w="15" w:type="dxa"/>
          </w:tblCellMar>
        </w:tblPrEx>
        <w:trPr>
          <w:jc w:val="center"/>
        </w:trPr>
        <w:tc>
          <w:tcPr>
            <w:tcW w:w="97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FC4F8BE">
            <w:pPr>
              <w:widowControl/>
              <w:spacing w:line="320" w:lineRule="atLeast"/>
              <w:jc w:val="center"/>
              <w:rPr>
                <w:rFonts w:ascii="宋体" w:hAnsi="宋体" w:eastAsia="宋体" w:cs="宋体"/>
                <w:kern w:val="0"/>
                <w:sz w:val="24"/>
                <w:szCs w:val="24"/>
              </w:rPr>
            </w:pPr>
            <w:r>
              <w:rPr>
                <w:rFonts w:ascii="宋体" w:hAnsi="宋体" w:eastAsia="宋体"/>
                <w:kern w:val="0"/>
                <w:sz w:val="20"/>
              </w:rPr>
              <w:t>绩</w:t>
            </w:r>
          </w:p>
          <w:p w14:paraId="30281838">
            <w:pPr>
              <w:widowControl/>
              <w:spacing w:line="320" w:lineRule="atLeast"/>
              <w:jc w:val="center"/>
              <w:rPr>
                <w:rFonts w:ascii="宋体" w:hAnsi="宋体" w:eastAsia="宋体" w:cs="宋体"/>
                <w:kern w:val="0"/>
                <w:sz w:val="24"/>
                <w:szCs w:val="24"/>
              </w:rPr>
            </w:pPr>
            <w:r>
              <w:rPr>
                <w:rFonts w:ascii="宋体" w:hAnsi="宋体" w:eastAsia="宋体"/>
                <w:kern w:val="0"/>
                <w:sz w:val="20"/>
              </w:rPr>
              <w:t>效</w:t>
            </w:r>
          </w:p>
          <w:p w14:paraId="505A4B18">
            <w:pPr>
              <w:widowControl/>
              <w:spacing w:line="320" w:lineRule="atLeast"/>
              <w:jc w:val="center"/>
              <w:rPr>
                <w:rFonts w:ascii="宋体" w:hAnsi="宋体" w:eastAsia="宋体" w:cs="宋体"/>
                <w:kern w:val="0"/>
                <w:sz w:val="24"/>
                <w:szCs w:val="24"/>
              </w:rPr>
            </w:pPr>
            <w:r>
              <w:rPr>
                <w:rFonts w:ascii="宋体" w:hAnsi="宋体" w:eastAsia="宋体"/>
                <w:kern w:val="0"/>
                <w:sz w:val="20"/>
              </w:rPr>
              <w:t>指</w:t>
            </w:r>
          </w:p>
          <w:p w14:paraId="0B7D0999">
            <w:pPr>
              <w:widowControl/>
              <w:spacing w:line="320" w:lineRule="atLeast"/>
              <w:jc w:val="center"/>
              <w:rPr>
                <w:rFonts w:ascii="宋体" w:hAnsi="宋体" w:eastAsia="宋体" w:cs="宋体"/>
                <w:kern w:val="0"/>
                <w:sz w:val="24"/>
                <w:szCs w:val="24"/>
              </w:rPr>
            </w:pPr>
            <w:r>
              <w:rPr>
                <w:rFonts w:ascii="宋体" w:hAnsi="宋体" w:eastAsia="宋体"/>
                <w:kern w:val="0"/>
                <w:sz w:val="20"/>
              </w:rPr>
              <w:t>标</w:t>
            </w:r>
          </w:p>
          <w:p w14:paraId="4B755BD5">
            <w:pPr>
              <w:widowControl/>
              <w:spacing w:line="320" w:lineRule="atLeast"/>
              <w:jc w:val="center"/>
              <w:rPr>
                <w:rFonts w:ascii="宋体" w:hAnsi="宋体" w:eastAsia="宋体" w:cs="宋体"/>
                <w:kern w:val="0"/>
                <w:sz w:val="24"/>
                <w:szCs w:val="24"/>
              </w:rPr>
            </w:pPr>
            <w:r>
              <w:rPr>
                <w:rFonts w:ascii="宋体" w:hAnsi="宋体" w:eastAsia="宋体"/>
                <w:kern w:val="0"/>
                <w:sz w:val="20"/>
              </w:rPr>
              <w:t>绩</w:t>
            </w:r>
          </w:p>
          <w:p w14:paraId="062C2F12">
            <w:pPr>
              <w:widowControl/>
              <w:spacing w:line="320" w:lineRule="atLeast"/>
              <w:jc w:val="center"/>
              <w:rPr>
                <w:rFonts w:ascii="宋体" w:hAnsi="宋体" w:eastAsia="宋体" w:cs="宋体"/>
                <w:kern w:val="0"/>
                <w:sz w:val="24"/>
                <w:szCs w:val="24"/>
              </w:rPr>
            </w:pPr>
            <w:r>
              <w:rPr>
                <w:rFonts w:ascii="宋体" w:hAnsi="宋体" w:eastAsia="宋体"/>
                <w:kern w:val="0"/>
                <w:sz w:val="20"/>
              </w:rPr>
              <w:t>效</w:t>
            </w:r>
          </w:p>
          <w:p w14:paraId="4F960CD3">
            <w:pPr>
              <w:widowControl/>
              <w:spacing w:line="320" w:lineRule="atLeast"/>
              <w:jc w:val="center"/>
              <w:rPr>
                <w:rFonts w:ascii="宋体" w:hAnsi="宋体" w:eastAsia="宋体" w:cs="宋体"/>
                <w:kern w:val="0"/>
                <w:sz w:val="24"/>
                <w:szCs w:val="24"/>
              </w:rPr>
            </w:pPr>
            <w:r>
              <w:rPr>
                <w:rFonts w:ascii="宋体" w:hAnsi="宋体" w:eastAsia="宋体"/>
                <w:kern w:val="0"/>
                <w:sz w:val="20"/>
              </w:rPr>
              <w:t>指</w:t>
            </w:r>
          </w:p>
          <w:p w14:paraId="73903789">
            <w:pPr>
              <w:widowControl/>
              <w:spacing w:line="320" w:lineRule="atLeast"/>
              <w:jc w:val="center"/>
              <w:rPr>
                <w:rFonts w:ascii="宋体" w:hAnsi="宋体" w:eastAsia="宋体" w:cs="宋体"/>
                <w:kern w:val="0"/>
                <w:sz w:val="24"/>
                <w:szCs w:val="24"/>
              </w:rPr>
            </w:pPr>
            <w:r>
              <w:rPr>
                <w:rFonts w:ascii="宋体" w:hAnsi="宋体" w:eastAsia="宋体"/>
                <w:kern w:val="0"/>
                <w:sz w:val="20"/>
              </w:rPr>
              <w:t>标</w:t>
            </w:r>
          </w:p>
        </w:tc>
        <w:tc>
          <w:tcPr>
            <w:tcW w:w="94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0EBF7B6">
            <w:pPr>
              <w:widowControl/>
              <w:spacing w:line="300" w:lineRule="atLeast"/>
              <w:jc w:val="center"/>
              <w:rPr>
                <w:rFonts w:ascii="宋体" w:hAnsi="宋体" w:eastAsia="宋体" w:cs="宋体"/>
                <w:kern w:val="0"/>
                <w:sz w:val="24"/>
                <w:szCs w:val="24"/>
              </w:rPr>
            </w:pPr>
            <w:r>
              <w:rPr>
                <w:rFonts w:ascii="宋体" w:hAnsi="宋体" w:eastAsia="宋体"/>
                <w:kern w:val="0"/>
                <w:sz w:val="20"/>
              </w:rPr>
              <w:t>一级</w:t>
            </w:r>
          </w:p>
          <w:p w14:paraId="35CBBE12">
            <w:pPr>
              <w:widowControl/>
              <w:spacing w:line="300" w:lineRule="atLeast"/>
              <w:jc w:val="center"/>
              <w:rPr>
                <w:rFonts w:ascii="宋体" w:hAnsi="宋体" w:eastAsia="宋体" w:cs="宋体"/>
                <w:kern w:val="0"/>
                <w:sz w:val="24"/>
                <w:szCs w:val="24"/>
              </w:rPr>
            </w:pPr>
            <w:r>
              <w:rPr>
                <w:rFonts w:ascii="宋体" w:hAnsi="宋体" w:eastAsia="宋体"/>
                <w:kern w:val="0"/>
                <w:sz w:val="20"/>
              </w:rPr>
              <w:t>指标</w:t>
            </w:r>
          </w:p>
        </w:tc>
        <w:tc>
          <w:tcPr>
            <w:tcW w:w="9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5CD9AAC">
            <w:pPr>
              <w:widowControl/>
              <w:spacing w:line="300" w:lineRule="atLeast"/>
              <w:jc w:val="center"/>
              <w:rPr>
                <w:rFonts w:ascii="宋体" w:hAnsi="宋体" w:eastAsia="宋体" w:cs="宋体"/>
                <w:kern w:val="0"/>
                <w:sz w:val="24"/>
                <w:szCs w:val="24"/>
              </w:rPr>
            </w:pPr>
            <w:r>
              <w:rPr>
                <w:rFonts w:ascii="宋体" w:hAnsi="宋体" w:eastAsia="宋体"/>
                <w:kern w:val="0"/>
                <w:sz w:val="20"/>
              </w:rPr>
              <w:t>二级指标</w:t>
            </w:r>
          </w:p>
        </w:tc>
        <w:tc>
          <w:tcPr>
            <w:tcW w:w="1393" w:type="dxa"/>
            <w:gridSpan w:val="2"/>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14:paraId="4BE01802">
            <w:pPr>
              <w:widowControl/>
              <w:spacing w:line="300" w:lineRule="atLeast"/>
              <w:jc w:val="center"/>
              <w:rPr>
                <w:rFonts w:ascii="宋体" w:hAnsi="宋体" w:eastAsia="宋体" w:cs="宋体"/>
                <w:kern w:val="0"/>
                <w:sz w:val="24"/>
                <w:szCs w:val="24"/>
              </w:rPr>
            </w:pPr>
            <w:r>
              <w:rPr>
                <w:rFonts w:ascii="宋体" w:hAnsi="宋体" w:eastAsia="宋体"/>
                <w:kern w:val="0"/>
                <w:sz w:val="20"/>
              </w:rPr>
              <w:t>三级指标</w:t>
            </w:r>
          </w:p>
        </w:tc>
        <w:tc>
          <w:tcPr>
            <w:tcW w:w="128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A06344D">
            <w:pPr>
              <w:widowControl/>
              <w:spacing w:line="300" w:lineRule="atLeast"/>
              <w:jc w:val="center"/>
              <w:rPr>
                <w:rFonts w:ascii="宋体" w:hAnsi="宋体" w:eastAsia="宋体" w:cs="宋体"/>
                <w:kern w:val="0"/>
                <w:sz w:val="24"/>
                <w:szCs w:val="24"/>
              </w:rPr>
            </w:pPr>
            <w:r>
              <w:rPr>
                <w:rFonts w:ascii="宋体" w:hAnsi="宋体" w:eastAsia="宋体"/>
                <w:kern w:val="0"/>
                <w:sz w:val="20"/>
              </w:rPr>
              <w:t>年度</w:t>
            </w:r>
          </w:p>
          <w:p w14:paraId="67D3877D">
            <w:pPr>
              <w:widowControl/>
              <w:spacing w:line="300" w:lineRule="atLeast"/>
              <w:jc w:val="center"/>
              <w:rPr>
                <w:rFonts w:ascii="宋体" w:hAnsi="宋体" w:eastAsia="宋体" w:cs="宋体"/>
                <w:kern w:val="0"/>
                <w:sz w:val="24"/>
                <w:szCs w:val="24"/>
              </w:rPr>
            </w:pPr>
            <w:r>
              <w:rPr>
                <w:rFonts w:ascii="宋体" w:hAnsi="宋体" w:eastAsia="宋体"/>
                <w:kern w:val="0"/>
                <w:sz w:val="20"/>
              </w:rPr>
              <w:t>指标值</w:t>
            </w:r>
          </w:p>
        </w:tc>
        <w:tc>
          <w:tcPr>
            <w:tcW w:w="13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B29D673">
            <w:pPr>
              <w:widowControl/>
              <w:spacing w:line="300" w:lineRule="atLeast"/>
              <w:jc w:val="center"/>
              <w:rPr>
                <w:rFonts w:ascii="宋体" w:hAnsi="宋体" w:eastAsia="宋体" w:cs="宋体"/>
                <w:kern w:val="0"/>
                <w:sz w:val="24"/>
                <w:szCs w:val="24"/>
              </w:rPr>
            </w:pPr>
            <w:r>
              <w:rPr>
                <w:rFonts w:ascii="宋体" w:hAnsi="宋体" w:eastAsia="宋体"/>
                <w:kern w:val="0"/>
                <w:sz w:val="20"/>
              </w:rPr>
              <w:t>实际完成值</w:t>
            </w:r>
          </w:p>
        </w:tc>
        <w:tc>
          <w:tcPr>
            <w:tcW w:w="72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4084B93">
            <w:pPr>
              <w:widowControl/>
              <w:spacing w:line="300" w:lineRule="atLeast"/>
              <w:jc w:val="center"/>
              <w:rPr>
                <w:rFonts w:ascii="宋体" w:hAnsi="宋体" w:eastAsia="宋体" w:cs="宋体"/>
                <w:kern w:val="0"/>
                <w:sz w:val="24"/>
                <w:szCs w:val="24"/>
              </w:rPr>
            </w:pPr>
            <w:r>
              <w:rPr>
                <w:rFonts w:ascii="宋体" w:hAnsi="宋体" w:eastAsia="宋体"/>
                <w:kern w:val="0"/>
                <w:sz w:val="20"/>
              </w:rPr>
              <w:t>分值</w:t>
            </w:r>
          </w:p>
        </w:tc>
        <w:tc>
          <w:tcPr>
            <w:tcW w:w="10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4847E8F">
            <w:pPr>
              <w:widowControl/>
              <w:spacing w:line="300" w:lineRule="atLeast"/>
              <w:jc w:val="center"/>
              <w:rPr>
                <w:rFonts w:ascii="宋体" w:hAnsi="宋体" w:eastAsia="宋体" w:cs="宋体"/>
                <w:kern w:val="0"/>
                <w:sz w:val="24"/>
                <w:szCs w:val="24"/>
              </w:rPr>
            </w:pPr>
            <w:r>
              <w:rPr>
                <w:rFonts w:ascii="宋体" w:hAnsi="宋体" w:eastAsia="宋体"/>
                <w:kern w:val="0"/>
                <w:sz w:val="20"/>
              </w:rPr>
              <w:t>得分</w:t>
            </w:r>
          </w:p>
        </w:tc>
        <w:tc>
          <w:tcPr>
            <w:tcW w:w="120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A2F6ABF">
            <w:pPr>
              <w:widowControl/>
              <w:spacing w:line="300" w:lineRule="atLeast"/>
              <w:jc w:val="center"/>
              <w:rPr>
                <w:rFonts w:ascii="宋体" w:hAnsi="宋体" w:eastAsia="宋体" w:cs="宋体"/>
                <w:kern w:val="0"/>
                <w:sz w:val="24"/>
                <w:szCs w:val="24"/>
              </w:rPr>
            </w:pPr>
            <w:r>
              <w:rPr>
                <w:rFonts w:ascii="宋体" w:hAnsi="宋体" w:eastAsia="宋体"/>
                <w:kern w:val="0"/>
                <w:sz w:val="20"/>
              </w:rPr>
              <w:t>偏差原因</w:t>
            </w:r>
          </w:p>
          <w:p w14:paraId="0EEF2116">
            <w:pPr>
              <w:widowControl/>
              <w:spacing w:line="300" w:lineRule="atLeast"/>
              <w:jc w:val="center"/>
              <w:rPr>
                <w:rFonts w:ascii="宋体" w:hAnsi="宋体" w:eastAsia="宋体" w:cs="宋体"/>
                <w:kern w:val="0"/>
                <w:sz w:val="24"/>
                <w:szCs w:val="24"/>
              </w:rPr>
            </w:pPr>
            <w:r>
              <w:rPr>
                <w:rFonts w:ascii="宋体" w:hAnsi="宋体" w:eastAsia="宋体"/>
                <w:kern w:val="0"/>
                <w:sz w:val="20"/>
              </w:rPr>
              <w:t>分析及改进措施</w:t>
            </w:r>
          </w:p>
        </w:tc>
      </w:tr>
      <w:tr w14:paraId="23B4E2E3">
        <w:tblPrEx>
          <w:tblCellMar>
            <w:top w:w="15" w:type="dxa"/>
            <w:left w:w="15" w:type="dxa"/>
            <w:bottom w:w="15" w:type="dxa"/>
            <w:right w:w="15" w:type="dxa"/>
          </w:tblCellMar>
        </w:tblPrEx>
        <w:trPr>
          <w:trHeight w:val="9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66A6DAE2">
            <w:pPr>
              <w:widowControl/>
              <w:jc w:val="left"/>
              <w:rPr>
                <w:rFonts w:ascii="宋体" w:hAnsi="宋体" w:eastAsia="宋体" w:cs="宋体"/>
                <w:kern w:val="0"/>
                <w:sz w:val="24"/>
                <w:szCs w:val="24"/>
              </w:rPr>
            </w:pPr>
          </w:p>
        </w:tc>
        <w:tc>
          <w:tcPr>
            <w:tcW w:w="943"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421B1CC8">
            <w:pPr>
              <w:widowControl/>
              <w:spacing w:line="300" w:lineRule="atLeast"/>
              <w:jc w:val="center"/>
              <w:rPr>
                <w:rFonts w:ascii="宋体" w:hAnsi="宋体" w:eastAsia="宋体" w:cs="宋体"/>
                <w:kern w:val="0"/>
                <w:sz w:val="24"/>
                <w:szCs w:val="24"/>
              </w:rPr>
            </w:pPr>
            <w:r>
              <w:rPr>
                <w:rFonts w:ascii="宋体" w:hAnsi="宋体" w:eastAsia="宋体"/>
                <w:kern w:val="0"/>
                <w:sz w:val="20"/>
              </w:rPr>
              <w:t>产出</w:t>
            </w:r>
          </w:p>
          <w:p w14:paraId="5EF9E8C1">
            <w:pPr>
              <w:widowControl/>
              <w:spacing w:line="300" w:lineRule="atLeast"/>
              <w:jc w:val="center"/>
              <w:rPr>
                <w:rFonts w:ascii="宋体" w:hAnsi="宋体" w:eastAsia="宋体" w:cs="宋体"/>
                <w:kern w:val="0"/>
                <w:sz w:val="24"/>
                <w:szCs w:val="24"/>
              </w:rPr>
            </w:pPr>
            <w:r>
              <w:rPr>
                <w:rFonts w:ascii="宋体" w:hAnsi="宋体" w:eastAsia="宋体"/>
                <w:kern w:val="0"/>
                <w:sz w:val="20"/>
              </w:rPr>
              <w:t>指标</w:t>
            </w:r>
          </w:p>
          <w:p w14:paraId="37E3D1CD">
            <w:pPr>
              <w:widowControl/>
              <w:spacing w:line="9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ascii="Times New Roman" w:hAnsi="Times New Roman" w:eastAsia="宋体"/>
                <w:kern w:val="0"/>
                <w:sz w:val="20"/>
              </w:rPr>
              <w:t>50</w:t>
            </w:r>
            <w:r>
              <w:rPr>
                <w:rFonts w:ascii="宋体" w:hAnsi="宋体" w:eastAsia="宋体"/>
                <w:kern w:val="0"/>
                <w:sz w:val="20"/>
              </w:rPr>
              <w:t>分</w:t>
            </w:r>
            <w:r>
              <w:rPr>
                <w:rFonts w:hint="eastAsia" w:ascii="宋体" w:hAnsi="宋体" w:eastAsia="宋体" w:cs="宋体"/>
                <w:kern w:val="0"/>
                <w:sz w:val="20"/>
              </w:rPr>
              <w:t>）</w:t>
            </w: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32316FE0">
            <w:pPr>
              <w:widowControl/>
              <w:spacing w:line="300" w:lineRule="atLeast"/>
              <w:jc w:val="center"/>
              <w:rPr>
                <w:rFonts w:ascii="宋体" w:hAnsi="宋体" w:eastAsia="宋体" w:cs="宋体"/>
                <w:kern w:val="0"/>
                <w:sz w:val="24"/>
                <w:szCs w:val="24"/>
              </w:rPr>
            </w:pPr>
            <w:r>
              <w:rPr>
                <w:rFonts w:ascii="宋体" w:hAnsi="宋体" w:eastAsia="宋体"/>
                <w:kern w:val="0"/>
                <w:sz w:val="20"/>
              </w:rPr>
              <w:t>数量</w:t>
            </w:r>
          </w:p>
          <w:p w14:paraId="48E10173">
            <w:pPr>
              <w:widowControl/>
              <w:spacing w:line="300" w:lineRule="atLeast"/>
              <w:jc w:val="center"/>
              <w:rPr>
                <w:rFonts w:ascii="宋体" w:hAnsi="宋体" w:eastAsia="宋体" w:cs="宋体"/>
                <w:kern w:val="0"/>
                <w:sz w:val="24"/>
                <w:szCs w:val="24"/>
              </w:rPr>
            </w:pPr>
            <w:r>
              <w:rPr>
                <w:rFonts w:ascii="宋体" w:hAnsi="宋体" w:eastAsia="宋体"/>
                <w:kern w:val="0"/>
                <w:sz w:val="20"/>
              </w:rPr>
              <w:t>指标</w:t>
            </w:r>
          </w:p>
          <w:p w14:paraId="1304D412">
            <w:pPr>
              <w:widowControl/>
              <w:spacing w:line="9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9DC6076">
            <w:pPr>
              <w:widowControl/>
              <w:spacing w:line="90" w:lineRule="atLeast"/>
              <w:jc w:val="center"/>
              <w:rPr>
                <w:rFonts w:ascii="宋体" w:hAnsi="宋体" w:eastAsia="宋体" w:cs="宋体"/>
                <w:kern w:val="0"/>
                <w:sz w:val="24"/>
                <w:szCs w:val="24"/>
              </w:rPr>
            </w:pPr>
            <w:r>
              <w:rPr>
                <w:rFonts w:hint="eastAsia" w:ascii="宋体" w:hAnsi="宋体" w:eastAsia="宋体" w:cs="宋体"/>
                <w:kern w:val="0"/>
                <w:sz w:val="20"/>
              </w:rPr>
              <w:t>规模以上工业增加值</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9FC1977">
            <w:pPr>
              <w:widowControl/>
              <w:spacing w:line="90" w:lineRule="atLeast"/>
              <w:jc w:val="center"/>
              <w:rPr>
                <w:rFonts w:ascii="宋体" w:hAnsi="宋体" w:eastAsia="宋体" w:cs="宋体"/>
                <w:kern w:val="0"/>
                <w:sz w:val="24"/>
                <w:szCs w:val="24"/>
              </w:rPr>
            </w:pPr>
            <w:r>
              <w:rPr>
                <w:rFonts w:ascii="Arial" w:hAnsi="Arial" w:eastAsia="宋体" w:cs="Arial"/>
                <w:kern w:val="0"/>
                <w:sz w:val="20"/>
              </w:rPr>
              <w:t>≥</w:t>
            </w:r>
            <w:r>
              <w:rPr>
                <w:rFonts w:hint="eastAsia" w:ascii="宋体" w:hAnsi="宋体" w:eastAsia="宋体" w:cs="宋体"/>
                <w:kern w:val="0"/>
                <w:sz w:val="20"/>
              </w:rPr>
              <w:t>全省平均水平</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3678FF">
            <w:pPr>
              <w:widowControl/>
              <w:spacing w:line="90" w:lineRule="atLeast"/>
              <w:jc w:val="center"/>
              <w:rPr>
                <w:rFonts w:ascii="宋体" w:hAnsi="宋体" w:eastAsia="宋体" w:cs="宋体"/>
                <w:kern w:val="0"/>
                <w:sz w:val="24"/>
                <w:szCs w:val="24"/>
              </w:rPr>
            </w:pPr>
            <w:r>
              <w:rPr>
                <w:rFonts w:hint="eastAsia" w:ascii="Times New Roman" w:hAnsi="Times New Roman" w:eastAsia="宋体"/>
                <w:kern w:val="0"/>
                <w:sz w:val="20"/>
              </w:rPr>
              <w:t>5.6%</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D6B65BC">
            <w:pPr>
              <w:widowControl/>
              <w:spacing w:line="90" w:lineRule="atLeast"/>
              <w:jc w:val="center"/>
              <w:rPr>
                <w:rFonts w:ascii="宋体" w:hAnsi="宋体" w:eastAsia="宋体" w:cs="宋体"/>
                <w:kern w:val="0"/>
                <w:sz w:val="24"/>
                <w:szCs w:val="24"/>
              </w:rPr>
            </w:pPr>
            <w:r>
              <w:rPr>
                <w:rFonts w:hint="eastAsia" w:ascii="Times New Roman" w:hAnsi="Times New Roman" w:eastAsia="宋体"/>
                <w:kern w:val="0"/>
                <w:sz w:val="20"/>
              </w:rPr>
              <w:t>4</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024A9A4">
            <w:pPr>
              <w:widowControl/>
              <w:spacing w:line="90" w:lineRule="atLeast"/>
              <w:jc w:val="center"/>
              <w:rPr>
                <w:rFonts w:ascii="宋体" w:hAnsi="宋体" w:eastAsia="宋体" w:cs="宋体"/>
                <w:kern w:val="0"/>
                <w:sz w:val="24"/>
                <w:szCs w:val="24"/>
              </w:rPr>
            </w:pPr>
            <w:r>
              <w:rPr>
                <w:rFonts w:hint="eastAsia" w:ascii="Times New Roman" w:hAnsi="Times New Roman" w:eastAsia="宋体"/>
                <w:kern w:val="0"/>
                <w:sz w:val="20"/>
              </w:rPr>
              <w:t>4</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3B4C2D3">
            <w:pPr>
              <w:widowControl/>
              <w:spacing w:line="90" w:lineRule="atLeast"/>
              <w:jc w:val="center"/>
              <w:rPr>
                <w:rFonts w:ascii="宋体" w:hAnsi="宋体" w:eastAsia="宋体" w:cs="宋体"/>
                <w:kern w:val="0"/>
                <w:sz w:val="24"/>
                <w:szCs w:val="24"/>
              </w:rPr>
            </w:pPr>
          </w:p>
        </w:tc>
      </w:tr>
      <w:tr w14:paraId="35C7E4E8">
        <w:tblPrEx>
          <w:tblCellMar>
            <w:top w:w="15" w:type="dxa"/>
            <w:left w:w="15" w:type="dxa"/>
            <w:bottom w:w="15" w:type="dxa"/>
            <w:right w:w="15" w:type="dxa"/>
          </w:tblCellMar>
        </w:tblPrEx>
        <w:trPr>
          <w:trHeight w:val="664"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0BFBBCEC">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5B6E966">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51885CB">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D1BB649">
            <w:pPr>
              <w:widowControl/>
              <w:spacing w:line="300" w:lineRule="atLeast"/>
              <w:jc w:val="center"/>
              <w:rPr>
                <w:rFonts w:ascii="宋体" w:hAnsi="宋体" w:eastAsia="宋体" w:cs="宋体"/>
                <w:kern w:val="0"/>
                <w:sz w:val="24"/>
                <w:szCs w:val="24"/>
              </w:rPr>
            </w:pPr>
            <w:r>
              <w:rPr>
                <w:rFonts w:hint="eastAsia" w:ascii="宋体" w:hAnsi="宋体" w:eastAsia="宋体" w:cs="宋体"/>
                <w:kern w:val="0"/>
                <w:sz w:val="20"/>
              </w:rPr>
              <w:t>工业投资增速</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D20BE51">
            <w:pPr>
              <w:widowControl/>
              <w:spacing w:line="300" w:lineRule="atLeast"/>
              <w:jc w:val="center"/>
              <w:rPr>
                <w:rFonts w:ascii="宋体" w:hAnsi="宋体" w:eastAsia="宋体" w:cs="宋体"/>
                <w:kern w:val="0"/>
                <w:sz w:val="24"/>
                <w:szCs w:val="24"/>
              </w:rPr>
            </w:pPr>
            <w:r>
              <w:rPr>
                <w:rFonts w:ascii="Arial" w:hAnsi="Arial" w:eastAsia="宋体" w:cs="Arial"/>
                <w:kern w:val="0"/>
                <w:sz w:val="20"/>
              </w:rPr>
              <w:t>≥</w:t>
            </w:r>
            <w:r>
              <w:rPr>
                <w:rFonts w:hint="eastAsia" w:ascii="宋体" w:hAnsi="宋体" w:eastAsia="宋体" w:cs="宋体"/>
                <w:kern w:val="0"/>
                <w:sz w:val="20"/>
              </w:rPr>
              <w:t>全省平均水平</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CEBF3A8">
            <w:pPr>
              <w:widowControl/>
              <w:spacing w:line="300" w:lineRule="atLeast"/>
              <w:jc w:val="center"/>
              <w:rPr>
                <w:rFonts w:ascii="宋体" w:hAnsi="宋体" w:eastAsia="宋体" w:cs="宋体"/>
                <w:kern w:val="0"/>
                <w:sz w:val="24"/>
                <w:szCs w:val="24"/>
              </w:rPr>
            </w:pPr>
            <w:r>
              <w:rPr>
                <w:rFonts w:hint="eastAsia" w:ascii="Times New Roman" w:hAnsi="Times New Roman" w:eastAsia="宋体"/>
                <w:kern w:val="0"/>
                <w:sz w:val="20"/>
              </w:rPr>
              <w:t>12%</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C625AA1">
            <w:pPr>
              <w:widowControl/>
              <w:spacing w:line="30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CFBD2E1">
            <w:pPr>
              <w:widowControl/>
              <w:spacing w:line="30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EFF3371">
            <w:pPr>
              <w:widowControl/>
              <w:spacing w:line="300" w:lineRule="atLeast"/>
              <w:jc w:val="center"/>
              <w:rPr>
                <w:rFonts w:ascii="宋体" w:hAnsi="宋体" w:eastAsia="宋体" w:cs="宋体"/>
                <w:kern w:val="0"/>
                <w:sz w:val="24"/>
                <w:szCs w:val="24"/>
              </w:rPr>
            </w:pPr>
            <w:r>
              <w:rPr>
                <w:rFonts w:hint="eastAsia" w:ascii="宋体" w:hAnsi="宋体" w:eastAsia="宋体" w:cs="宋体"/>
                <w:kern w:val="0"/>
                <w:sz w:val="20"/>
              </w:rPr>
              <w:t> </w:t>
            </w:r>
          </w:p>
        </w:tc>
      </w:tr>
      <w:tr w14:paraId="58D99475">
        <w:tblPrEx>
          <w:tblCellMar>
            <w:top w:w="15" w:type="dxa"/>
            <w:left w:w="15" w:type="dxa"/>
            <w:bottom w:w="15" w:type="dxa"/>
            <w:right w:w="15" w:type="dxa"/>
          </w:tblCellMar>
        </w:tblPrEx>
        <w:trPr>
          <w:trHeight w:val="50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3C2B1387">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CDDF6FF">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7AD57BD">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D02AF58">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净增规模工业企业数量</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E2EAF26">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20</w:t>
            </w:r>
            <w:r>
              <w:rPr>
                <w:rFonts w:hint="eastAsia" w:ascii="宋体" w:hAnsi="宋体" w:eastAsia="宋体" w:cs="宋体"/>
                <w:kern w:val="0"/>
                <w:sz w:val="20"/>
              </w:rPr>
              <w:t>家</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6727B7A">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27</w:t>
            </w:r>
            <w:r>
              <w:rPr>
                <w:rFonts w:hint="eastAsia" w:ascii="宋体" w:hAnsi="宋体" w:eastAsia="宋体" w:cs="宋体"/>
                <w:kern w:val="0"/>
                <w:sz w:val="20"/>
              </w:rPr>
              <w:t>家</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140C4FB">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A1D670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7E786C6">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4670BB68">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51E952A4">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07164B4">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77173C39">
            <w:pPr>
              <w:widowControl/>
              <w:spacing w:line="320" w:lineRule="atLeast"/>
              <w:jc w:val="center"/>
              <w:rPr>
                <w:rFonts w:ascii="宋体" w:hAnsi="宋体" w:eastAsia="宋体" w:cs="宋体"/>
                <w:kern w:val="0"/>
                <w:sz w:val="24"/>
                <w:szCs w:val="24"/>
              </w:rPr>
            </w:pPr>
            <w:r>
              <w:rPr>
                <w:rFonts w:ascii="宋体" w:hAnsi="宋体" w:eastAsia="宋体"/>
                <w:kern w:val="0"/>
                <w:sz w:val="20"/>
              </w:rPr>
              <w:t>质量</w:t>
            </w:r>
          </w:p>
          <w:p w14:paraId="262DA430">
            <w:pPr>
              <w:widowControl/>
              <w:spacing w:line="320" w:lineRule="atLeast"/>
              <w:jc w:val="center"/>
              <w:rPr>
                <w:rFonts w:ascii="宋体" w:hAnsi="宋体" w:eastAsia="宋体" w:cs="宋体"/>
                <w:kern w:val="0"/>
                <w:sz w:val="24"/>
                <w:szCs w:val="24"/>
              </w:rPr>
            </w:pPr>
            <w:r>
              <w:rPr>
                <w:rFonts w:ascii="宋体" w:hAnsi="宋体" w:eastAsia="宋体"/>
                <w:kern w:val="0"/>
                <w:sz w:val="20"/>
              </w:rPr>
              <w:t>指标</w:t>
            </w:r>
          </w:p>
          <w:p w14:paraId="594BD723">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20</w:t>
            </w:r>
            <w:r>
              <w:rPr>
                <w:rFonts w:hint="eastAsia" w:ascii="宋体" w:hAnsi="宋体" w:eastAsia="宋体" w:cs="宋体"/>
                <w:kern w:val="0"/>
                <w:sz w:val="20"/>
              </w:rPr>
              <w:t>分）</w:t>
            </w: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A211B2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资金使用合规性</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F8C22CB">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合规</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067CEE0">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合规</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A1B3A7F">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4BB5D1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EDD08D0">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指标有串用现象</w:t>
            </w:r>
            <w:r>
              <w:rPr>
                <w:rFonts w:ascii="Times New Roman" w:hAnsi="Times New Roman" w:eastAsia="宋体"/>
                <w:kern w:val="0"/>
                <w:sz w:val="20"/>
              </w:rPr>
              <w:t> </w:t>
            </w:r>
          </w:p>
        </w:tc>
      </w:tr>
      <w:tr w14:paraId="4C8A76CA">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19C3C69B">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644B8B21">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EA2FBFB">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8B286D7">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管理制度健全性</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DDFCB43">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完善</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107C20E">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完善</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060D1F3">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ECF6C28">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E7C0C04">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36CD823">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280A791E">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560D4E7">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D9947BE">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F31E341">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园区高质量发展水平</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512E9E2">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不断提高</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A6DE673">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不断提高</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5A181EE">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8CD38A2">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D40EE43">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25CB775">
        <w:tblPrEx>
          <w:tblCellMar>
            <w:top w:w="15" w:type="dxa"/>
            <w:left w:w="15" w:type="dxa"/>
            <w:bottom w:w="15" w:type="dxa"/>
            <w:right w:w="15" w:type="dxa"/>
          </w:tblCellMar>
        </w:tblPrEx>
        <w:trPr>
          <w:trHeight w:val="1191"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27413423">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4" w:space="0"/>
            </w:tcBorders>
            <w:vAlign w:val="center"/>
          </w:tcPr>
          <w:p w14:paraId="473E8A09">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D34B098">
            <w:pPr>
              <w:widowControl/>
              <w:spacing w:line="320" w:lineRule="atLeast"/>
              <w:jc w:val="center"/>
              <w:rPr>
                <w:rFonts w:ascii="宋体" w:hAnsi="宋体" w:eastAsia="宋体" w:cs="宋体"/>
                <w:kern w:val="0"/>
                <w:sz w:val="24"/>
                <w:szCs w:val="24"/>
              </w:rPr>
            </w:pPr>
            <w:r>
              <w:rPr>
                <w:rFonts w:ascii="宋体" w:hAnsi="宋体" w:eastAsia="宋体"/>
                <w:kern w:val="0"/>
                <w:sz w:val="20"/>
              </w:rPr>
              <w:t>时效</w:t>
            </w:r>
          </w:p>
          <w:p w14:paraId="2A11F555">
            <w:pPr>
              <w:widowControl/>
              <w:spacing w:line="320" w:lineRule="atLeast"/>
              <w:jc w:val="center"/>
              <w:rPr>
                <w:rFonts w:ascii="宋体" w:hAnsi="宋体" w:eastAsia="宋体" w:cs="宋体"/>
                <w:kern w:val="0"/>
                <w:sz w:val="24"/>
                <w:szCs w:val="24"/>
              </w:rPr>
            </w:pPr>
            <w:r>
              <w:rPr>
                <w:rFonts w:ascii="宋体" w:hAnsi="宋体" w:eastAsia="宋体"/>
                <w:kern w:val="0"/>
                <w:sz w:val="20"/>
              </w:rPr>
              <w:t>指标</w:t>
            </w:r>
          </w:p>
          <w:p w14:paraId="445FEC3B">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64E1F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主要工作按计划完成程度</w:t>
            </w:r>
          </w:p>
        </w:tc>
        <w:tc>
          <w:tcPr>
            <w:tcW w:w="12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48BDC6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按年度计划完满完成</w:t>
            </w:r>
          </w:p>
        </w:tc>
        <w:tc>
          <w:tcPr>
            <w:tcW w:w="130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491E8D8">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按年度计划完满完成</w:t>
            </w:r>
          </w:p>
        </w:tc>
        <w:tc>
          <w:tcPr>
            <w:tcW w:w="7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E5E8173">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4</w:t>
            </w:r>
          </w:p>
        </w:tc>
        <w:tc>
          <w:tcPr>
            <w:tcW w:w="1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18E207E">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4</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1A22023">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A4384DA">
        <w:tblPrEx>
          <w:tblCellMar>
            <w:top w:w="15" w:type="dxa"/>
            <w:left w:w="15" w:type="dxa"/>
            <w:bottom w:w="15" w:type="dxa"/>
            <w:right w:w="15" w:type="dxa"/>
          </w:tblCellMar>
        </w:tblPrEx>
        <w:trPr>
          <w:trHeight w:val="1191"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08683A21">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4" w:space="0"/>
            </w:tcBorders>
            <w:vAlign w:val="center"/>
          </w:tcPr>
          <w:p w14:paraId="769B856C">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1121268">
            <w:pPr>
              <w:widowControl/>
              <w:jc w:val="left"/>
              <w:rPr>
                <w:rFonts w:ascii="宋体" w:hAnsi="宋体" w:eastAsia="宋体" w:cs="宋体"/>
                <w:kern w:val="0"/>
                <w:sz w:val="24"/>
                <w:szCs w:val="24"/>
              </w:rPr>
            </w:pPr>
          </w:p>
        </w:tc>
        <w:tc>
          <w:tcPr>
            <w:tcW w:w="139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3D9F837">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项目资金及时拨付使用</w:t>
            </w:r>
          </w:p>
        </w:tc>
        <w:tc>
          <w:tcPr>
            <w:tcW w:w="12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A49456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按年度计划及时拨付</w:t>
            </w:r>
          </w:p>
        </w:tc>
        <w:tc>
          <w:tcPr>
            <w:tcW w:w="130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FAECC8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按年度计划及时拨付</w:t>
            </w:r>
          </w:p>
        </w:tc>
        <w:tc>
          <w:tcPr>
            <w:tcW w:w="7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E6C3296">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3</w:t>
            </w:r>
          </w:p>
        </w:tc>
        <w:tc>
          <w:tcPr>
            <w:tcW w:w="1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78661F1">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A7A7F36">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5E92D2E1">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011FE1D3">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4" w:space="0"/>
            </w:tcBorders>
            <w:vAlign w:val="center"/>
          </w:tcPr>
          <w:p w14:paraId="1F6E066E">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4" w:space="0"/>
              <w:bottom w:val="single" w:color="auto" w:sz="4" w:space="0"/>
              <w:right w:val="single" w:color="auto" w:sz="8" w:space="0"/>
            </w:tcBorders>
            <w:vAlign w:val="center"/>
          </w:tcPr>
          <w:p w14:paraId="4C082AD3">
            <w:pPr>
              <w:widowControl/>
              <w:jc w:val="left"/>
              <w:rPr>
                <w:rFonts w:ascii="宋体" w:hAnsi="宋体" w:eastAsia="宋体" w:cs="宋体"/>
                <w:kern w:val="0"/>
                <w:sz w:val="24"/>
                <w:szCs w:val="24"/>
              </w:rPr>
            </w:pPr>
          </w:p>
        </w:tc>
        <w:tc>
          <w:tcPr>
            <w:tcW w:w="1393" w:type="dxa"/>
            <w:gridSpan w:val="2"/>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4E517859">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政务信息公开及时性</w:t>
            </w:r>
          </w:p>
        </w:tc>
        <w:tc>
          <w:tcPr>
            <w:tcW w:w="1285"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5906A4B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按要求及时公开</w:t>
            </w:r>
          </w:p>
        </w:tc>
        <w:tc>
          <w:tcPr>
            <w:tcW w:w="1301"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1B85FBB7">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按要求及时公开</w:t>
            </w:r>
          </w:p>
        </w:tc>
        <w:tc>
          <w:tcPr>
            <w:tcW w:w="728"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3AD97E8B">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391E6583">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509CC064">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 </w:t>
            </w:r>
          </w:p>
        </w:tc>
      </w:tr>
      <w:tr w14:paraId="3DAAB90A">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8F361AA">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4C4B7E5">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5A844D4">
            <w:pPr>
              <w:widowControl/>
              <w:spacing w:line="320" w:lineRule="atLeast"/>
              <w:jc w:val="center"/>
              <w:rPr>
                <w:rFonts w:ascii="宋体" w:hAnsi="宋体" w:eastAsia="宋体" w:cs="宋体"/>
                <w:kern w:val="0"/>
                <w:sz w:val="24"/>
                <w:szCs w:val="24"/>
              </w:rPr>
            </w:pPr>
            <w:r>
              <w:rPr>
                <w:rFonts w:ascii="宋体" w:hAnsi="宋体" w:eastAsia="宋体"/>
                <w:kern w:val="0"/>
                <w:sz w:val="20"/>
              </w:rPr>
              <w:t>成本</w:t>
            </w:r>
          </w:p>
          <w:p w14:paraId="6ADD82A8">
            <w:pPr>
              <w:widowControl/>
              <w:spacing w:line="320" w:lineRule="atLeast"/>
              <w:jc w:val="center"/>
              <w:rPr>
                <w:rFonts w:ascii="宋体" w:hAnsi="宋体" w:eastAsia="宋体" w:cs="宋体"/>
                <w:kern w:val="0"/>
                <w:sz w:val="24"/>
                <w:szCs w:val="24"/>
              </w:rPr>
            </w:pPr>
            <w:r>
              <w:rPr>
                <w:rFonts w:ascii="宋体" w:hAnsi="宋体" w:eastAsia="宋体"/>
                <w:kern w:val="0"/>
                <w:sz w:val="20"/>
              </w:rPr>
              <w:t>指标</w:t>
            </w:r>
          </w:p>
          <w:p w14:paraId="32E09F5F">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7D3BB6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在职人员控制率</w:t>
            </w:r>
          </w:p>
        </w:tc>
        <w:tc>
          <w:tcPr>
            <w:tcW w:w="12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B003777">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100%</w:t>
            </w:r>
          </w:p>
        </w:tc>
        <w:tc>
          <w:tcPr>
            <w:tcW w:w="130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91BFD66">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98%</w:t>
            </w:r>
          </w:p>
        </w:tc>
        <w:tc>
          <w:tcPr>
            <w:tcW w:w="7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6DD1E8E">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481A948">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B1232B">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6B77FD39">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7CC8F3FE">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7E1DD985">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00B8687">
            <w:pPr>
              <w:widowControl/>
              <w:jc w:val="left"/>
              <w:rPr>
                <w:rFonts w:ascii="宋体" w:hAnsi="宋体" w:eastAsia="宋体" w:cs="宋体"/>
                <w:kern w:val="0"/>
                <w:sz w:val="24"/>
                <w:szCs w:val="24"/>
              </w:rPr>
            </w:pPr>
          </w:p>
        </w:tc>
        <w:tc>
          <w:tcPr>
            <w:tcW w:w="1393" w:type="dxa"/>
            <w:gridSpan w:val="2"/>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A0CED75">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政府采购执行率</w:t>
            </w:r>
          </w:p>
        </w:tc>
        <w:tc>
          <w:tcPr>
            <w:tcW w:w="1285"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1E115A7">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100%</w:t>
            </w:r>
          </w:p>
        </w:tc>
        <w:tc>
          <w:tcPr>
            <w:tcW w:w="1301"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CAC5A9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100%</w:t>
            </w:r>
          </w:p>
        </w:tc>
        <w:tc>
          <w:tcPr>
            <w:tcW w:w="728"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9CFC391">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FA91195">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558133B">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7300CBB9">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30128146">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27A0744E">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1BF57953">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F66C994">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公用经费控制率</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ED45500">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&lt;100%</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AA38B1">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98%</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12E39E1">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D55CA3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AFD553A">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1AB75927">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3FB8145D">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789C942E">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287CE822">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4321E25">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“三公经费”控制率</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CBBFA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&lt;100%</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FA412DB">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454F0A7">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1491108">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825E081">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61956F78">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5D31A4AF">
            <w:pPr>
              <w:widowControl/>
              <w:jc w:val="left"/>
              <w:rPr>
                <w:rFonts w:ascii="宋体" w:hAnsi="宋体" w:eastAsia="宋体" w:cs="宋体"/>
                <w:kern w:val="0"/>
                <w:sz w:val="24"/>
                <w:szCs w:val="24"/>
              </w:rPr>
            </w:pPr>
          </w:p>
        </w:tc>
        <w:tc>
          <w:tcPr>
            <w:tcW w:w="943"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05041F65">
            <w:pPr>
              <w:widowControl/>
              <w:spacing w:line="320" w:lineRule="atLeast"/>
              <w:jc w:val="center"/>
              <w:rPr>
                <w:rFonts w:ascii="宋体" w:hAnsi="宋体" w:eastAsia="宋体" w:cs="宋体"/>
                <w:kern w:val="0"/>
                <w:sz w:val="24"/>
                <w:szCs w:val="24"/>
              </w:rPr>
            </w:pPr>
            <w:r>
              <w:rPr>
                <w:rFonts w:ascii="宋体" w:hAnsi="宋体" w:eastAsia="宋体"/>
                <w:kern w:val="0"/>
                <w:sz w:val="20"/>
              </w:rPr>
              <w:t>效益</w:t>
            </w:r>
          </w:p>
          <w:p w14:paraId="32FFC136">
            <w:pPr>
              <w:widowControl/>
              <w:spacing w:line="320" w:lineRule="atLeast"/>
              <w:jc w:val="center"/>
              <w:rPr>
                <w:rFonts w:ascii="宋体" w:hAnsi="宋体" w:eastAsia="宋体" w:cs="宋体"/>
                <w:kern w:val="0"/>
                <w:sz w:val="24"/>
                <w:szCs w:val="24"/>
              </w:rPr>
            </w:pPr>
            <w:r>
              <w:rPr>
                <w:rFonts w:ascii="宋体" w:hAnsi="宋体" w:eastAsia="宋体"/>
                <w:kern w:val="0"/>
                <w:sz w:val="20"/>
              </w:rPr>
              <w:t>指标</w:t>
            </w:r>
          </w:p>
          <w:p w14:paraId="17436D3A">
            <w:pPr>
              <w:widowControl/>
              <w:spacing w:line="320" w:lineRule="atLeast"/>
              <w:jc w:val="center"/>
              <w:rPr>
                <w:rFonts w:ascii="宋体" w:hAnsi="宋体" w:eastAsia="宋体" w:cs="宋体"/>
                <w:kern w:val="0"/>
                <w:sz w:val="24"/>
                <w:szCs w:val="24"/>
              </w:rPr>
            </w:pPr>
            <w:r>
              <w:rPr>
                <w:rFonts w:ascii="宋体" w:hAnsi="宋体" w:eastAsia="宋体"/>
                <w:kern w:val="0"/>
                <w:sz w:val="20"/>
              </w:rPr>
              <w:t>（</w:t>
            </w:r>
            <w:r>
              <w:rPr>
                <w:rFonts w:hint="eastAsia" w:ascii="Times New Roman" w:hAnsi="Times New Roman" w:eastAsia="宋体"/>
                <w:kern w:val="0"/>
                <w:sz w:val="20"/>
              </w:rPr>
              <w:t>40</w:t>
            </w:r>
            <w:r>
              <w:rPr>
                <w:rFonts w:ascii="宋体" w:hAnsi="宋体" w:eastAsia="宋体"/>
                <w:kern w:val="0"/>
                <w:sz w:val="20"/>
              </w:rPr>
              <w:t>分）</w:t>
            </w: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2AC896C6">
            <w:pPr>
              <w:widowControl/>
              <w:spacing w:line="320" w:lineRule="atLeast"/>
              <w:jc w:val="center"/>
              <w:rPr>
                <w:rFonts w:ascii="宋体" w:hAnsi="宋体" w:eastAsia="宋体" w:cs="宋体"/>
                <w:kern w:val="0"/>
                <w:sz w:val="24"/>
                <w:szCs w:val="24"/>
              </w:rPr>
            </w:pPr>
            <w:r>
              <w:rPr>
                <w:rFonts w:ascii="宋体" w:hAnsi="宋体" w:eastAsia="宋体"/>
                <w:kern w:val="0"/>
                <w:sz w:val="20"/>
              </w:rPr>
              <w:t>经济效</w:t>
            </w:r>
          </w:p>
          <w:p w14:paraId="1A8343BD">
            <w:pPr>
              <w:widowControl/>
              <w:spacing w:line="320" w:lineRule="atLeast"/>
              <w:jc w:val="center"/>
              <w:rPr>
                <w:rFonts w:ascii="宋体" w:hAnsi="宋体" w:eastAsia="宋体" w:cs="宋体"/>
                <w:kern w:val="0"/>
                <w:sz w:val="24"/>
                <w:szCs w:val="24"/>
              </w:rPr>
            </w:pPr>
            <w:r>
              <w:rPr>
                <w:rFonts w:ascii="宋体" w:hAnsi="宋体" w:eastAsia="宋体"/>
                <w:kern w:val="0"/>
                <w:sz w:val="20"/>
              </w:rPr>
              <w:t>益指标</w:t>
            </w: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3CA7A4F">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主要经济指标完成情况</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09E2019">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按年度计划完满完成</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3DA1153">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超额完成</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AC75C17">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4DC9143">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AA2D683">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12AA8E88">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6040EDA6">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0FA33188">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46684B01">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0B52B65">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工业经济对全区财税收入支撑</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8C408CA">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不断提高</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EC80F4E">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不断提高</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83060DA">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AC113F2">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8A5854B">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0B3AC4DB">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365D5C70">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00A78C45">
            <w:pPr>
              <w:widowControl/>
              <w:jc w:val="left"/>
              <w:rPr>
                <w:rFonts w:ascii="宋体" w:hAnsi="宋体" w:eastAsia="宋体" w:cs="宋体"/>
                <w:kern w:val="0"/>
                <w:sz w:val="24"/>
                <w:szCs w:val="24"/>
              </w:rPr>
            </w:pPr>
          </w:p>
        </w:tc>
        <w:tc>
          <w:tcPr>
            <w:tcW w:w="990"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531319D4">
            <w:pPr>
              <w:widowControl/>
              <w:spacing w:line="320" w:lineRule="atLeast"/>
              <w:jc w:val="center"/>
              <w:rPr>
                <w:rFonts w:ascii="宋体" w:hAnsi="宋体" w:eastAsia="宋体" w:cs="宋体"/>
                <w:kern w:val="0"/>
                <w:sz w:val="24"/>
                <w:szCs w:val="24"/>
              </w:rPr>
            </w:pPr>
            <w:r>
              <w:rPr>
                <w:rFonts w:ascii="宋体" w:hAnsi="宋体" w:eastAsia="宋体"/>
                <w:kern w:val="0"/>
                <w:sz w:val="20"/>
              </w:rPr>
              <w:t>社会效</w:t>
            </w:r>
          </w:p>
          <w:p w14:paraId="4F7FA235">
            <w:pPr>
              <w:widowControl/>
              <w:spacing w:line="320" w:lineRule="atLeast"/>
              <w:jc w:val="center"/>
              <w:rPr>
                <w:rFonts w:ascii="宋体" w:hAnsi="宋体" w:eastAsia="宋体" w:cs="宋体"/>
                <w:kern w:val="0"/>
                <w:sz w:val="24"/>
                <w:szCs w:val="24"/>
              </w:rPr>
            </w:pPr>
            <w:r>
              <w:rPr>
                <w:rFonts w:ascii="宋体" w:hAnsi="宋体" w:eastAsia="宋体"/>
                <w:kern w:val="0"/>
                <w:sz w:val="20"/>
              </w:rPr>
              <w:t>益指标</w:t>
            </w: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43981C0E">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中小企业公务服务体系</w:t>
            </w:r>
          </w:p>
        </w:tc>
        <w:tc>
          <w:tcPr>
            <w:tcW w:w="1285"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30FA30A5">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不断完善</w:t>
            </w:r>
          </w:p>
        </w:tc>
        <w:tc>
          <w:tcPr>
            <w:tcW w:w="1301"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7B8C2394">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不断完善</w:t>
            </w:r>
          </w:p>
        </w:tc>
        <w:tc>
          <w:tcPr>
            <w:tcW w:w="728"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119D00EF">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050"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37E2F8C1">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200"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2D0CB68E">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33B75029">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1C9EEEC5">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FEA0238">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038210DE">
            <w:pPr>
              <w:widowControl/>
              <w:spacing w:line="320" w:lineRule="atLeast"/>
              <w:jc w:val="center"/>
              <w:rPr>
                <w:rFonts w:ascii="宋体" w:hAnsi="宋体" w:eastAsia="宋体" w:cs="宋体"/>
                <w:kern w:val="0"/>
                <w:sz w:val="24"/>
                <w:szCs w:val="24"/>
              </w:rPr>
            </w:pPr>
            <w:r>
              <w:rPr>
                <w:rFonts w:ascii="宋体" w:hAnsi="宋体" w:eastAsia="宋体"/>
                <w:kern w:val="0"/>
                <w:sz w:val="20"/>
              </w:rPr>
              <w:t>生态效</w:t>
            </w:r>
          </w:p>
          <w:p w14:paraId="5A3C2483">
            <w:pPr>
              <w:widowControl/>
              <w:spacing w:line="320" w:lineRule="atLeast"/>
              <w:jc w:val="center"/>
              <w:rPr>
                <w:rFonts w:ascii="宋体" w:hAnsi="宋体" w:eastAsia="宋体" w:cs="宋体"/>
                <w:kern w:val="0"/>
                <w:sz w:val="24"/>
                <w:szCs w:val="24"/>
              </w:rPr>
            </w:pPr>
            <w:r>
              <w:rPr>
                <w:rFonts w:ascii="宋体" w:hAnsi="宋体" w:eastAsia="宋体"/>
                <w:kern w:val="0"/>
                <w:sz w:val="20"/>
              </w:rPr>
              <w:t>益指标</w:t>
            </w:r>
            <w:r>
              <w:rPr>
                <w:rFonts w:hint="eastAsia" w:ascii="宋体" w:hAnsi="宋体" w:eastAsia="宋体" w:cs="宋体"/>
                <w:kern w:val="0"/>
                <w:sz w:val="20"/>
              </w:rPr>
              <w:t>（</w:t>
            </w:r>
            <w:r>
              <w:rPr>
                <w:rFonts w:hint="eastAsia" w:ascii="Times New Roman" w:hAnsi="Times New Roman" w:eastAsia="宋体"/>
                <w:kern w:val="0"/>
                <w:sz w:val="20"/>
              </w:rPr>
              <w:t>10</w:t>
            </w:r>
            <w:r>
              <w:rPr>
                <w:rFonts w:hint="eastAsia" w:ascii="宋体" w:hAnsi="宋体" w:eastAsia="宋体" w:cs="宋体"/>
                <w:kern w:val="0"/>
                <w:sz w:val="20"/>
              </w:rPr>
              <w:t>分）</w:t>
            </w:r>
          </w:p>
        </w:tc>
        <w:tc>
          <w:tcPr>
            <w:tcW w:w="1393" w:type="dxa"/>
            <w:gridSpan w:val="2"/>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653985FC">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工业领域生态环境保护</w:t>
            </w:r>
          </w:p>
        </w:tc>
        <w:tc>
          <w:tcPr>
            <w:tcW w:w="1285"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6B83EBF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不断加强</w:t>
            </w:r>
          </w:p>
        </w:tc>
        <w:tc>
          <w:tcPr>
            <w:tcW w:w="1301"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5B5F21A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不断加强</w:t>
            </w:r>
          </w:p>
        </w:tc>
        <w:tc>
          <w:tcPr>
            <w:tcW w:w="728"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4860D00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050"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16472BCD">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200" w:type="dxa"/>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14:paraId="7D194316">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309B6472">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74CF00EA">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554897B">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4" w:space="0"/>
            </w:tcBorders>
            <w:vAlign w:val="center"/>
          </w:tcPr>
          <w:p w14:paraId="4F8493DD">
            <w:pPr>
              <w:widowControl/>
              <w:jc w:val="left"/>
              <w:rPr>
                <w:rFonts w:ascii="宋体" w:hAnsi="宋体" w:eastAsia="宋体" w:cs="宋体"/>
                <w:kern w:val="0"/>
                <w:sz w:val="24"/>
                <w:szCs w:val="24"/>
              </w:rPr>
            </w:pPr>
          </w:p>
        </w:tc>
        <w:tc>
          <w:tcPr>
            <w:tcW w:w="139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78EA1C2">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企业节能减排</w:t>
            </w:r>
          </w:p>
        </w:tc>
        <w:tc>
          <w:tcPr>
            <w:tcW w:w="12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F8381AA">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不断加强</w:t>
            </w:r>
          </w:p>
        </w:tc>
        <w:tc>
          <w:tcPr>
            <w:tcW w:w="130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285629A">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不断加强</w:t>
            </w:r>
          </w:p>
        </w:tc>
        <w:tc>
          <w:tcPr>
            <w:tcW w:w="72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FFDB7F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05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A6608BA">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5</w:t>
            </w:r>
          </w:p>
        </w:tc>
        <w:tc>
          <w:tcPr>
            <w:tcW w:w="12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7EEA07F">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876F96C">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43778117">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427EDF08">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00E6F4EA">
            <w:pPr>
              <w:widowControl/>
              <w:spacing w:line="320" w:lineRule="atLeast"/>
              <w:jc w:val="center"/>
              <w:rPr>
                <w:rFonts w:ascii="宋体" w:hAnsi="宋体" w:eastAsia="宋体" w:cs="宋体"/>
                <w:kern w:val="0"/>
                <w:sz w:val="24"/>
                <w:szCs w:val="24"/>
              </w:rPr>
            </w:pPr>
            <w:r>
              <w:rPr>
                <w:rFonts w:ascii="宋体" w:hAnsi="宋体" w:eastAsia="宋体"/>
                <w:kern w:val="0"/>
                <w:sz w:val="20"/>
              </w:rPr>
              <w:t>可持续影响</w:t>
            </w:r>
          </w:p>
          <w:p w14:paraId="5B49B562">
            <w:pPr>
              <w:widowControl/>
              <w:spacing w:line="320" w:lineRule="atLeast"/>
              <w:jc w:val="center"/>
              <w:rPr>
                <w:rFonts w:ascii="宋体" w:hAnsi="宋体" w:eastAsia="宋体" w:cs="宋体"/>
                <w:kern w:val="0"/>
                <w:sz w:val="24"/>
                <w:szCs w:val="24"/>
              </w:rPr>
            </w:pPr>
            <w:r>
              <w:rPr>
                <w:rFonts w:ascii="宋体" w:hAnsi="宋体" w:eastAsia="宋体"/>
                <w:kern w:val="0"/>
                <w:sz w:val="20"/>
              </w:rPr>
              <w:t>指标</w:t>
            </w:r>
          </w:p>
          <w:p w14:paraId="06CA4DF2">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5</w:t>
            </w:r>
            <w:r>
              <w:rPr>
                <w:rFonts w:hint="eastAsia" w:ascii="宋体" w:hAnsi="宋体" w:eastAsia="宋体" w:cs="宋体"/>
                <w:kern w:val="0"/>
                <w:sz w:val="20"/>
              </w:rPr>
              <w:t>分）</w:t>
            </w:r>
          </w:p>
        </w:tc>
        <w:tc>
          <w:tcPr>
            <w:tcW w:w="1393" w:type="dxa"/>
            <w:gridSpan w:val="2"/>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FCAC961">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廉政建设情况</w:t>
            </w:r>
          </w:p>
        </w:tc>
        <w:tc>
          <w:tcPr>
            <w:tcW w:w="1285"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E88887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推动部门高效稳定运转</w:t>
            </w:r>
          </w:p>
        </w:tc>
        <w:tc>
          <w:tcPr>
            <w:tcW w:w="1301"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C39099C">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推动部门高效稳定运转</w:t>
            </w:r>
          </w:p>
        </w:tc>
        <w:tc>
          <w:tcPr>
            <w:tcW w:w="728"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361AF38">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F6199CE">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2118037">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2C9B70C3">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0EEF8396">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BD73935">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7952EC82">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16C844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营商环境</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08385D9">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不断优化</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6B8901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不断优化</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48D6620">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888B71C">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73E0BCA">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42B47D0E">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3953180F">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02408F04">
            <w:pPr>
              <w:widowControl/>
              <w:jc w:val="left"/>
              <w:rPr>
                <w:rFonts w:ascii="宋体" w:hAnsi="宋体" w:eastAsia="宋体" w:cs="宋体"/>
                <w:kern w:val="0"/>
                <w:sz w:val="24"/>
                <w:szCs w:val="24"/>
              </w:rPr>
            </w:pPr>
          </w:p>
        </w:tc>
        <w:tc>
          <w:tcPr>
            <w:tcW w:w="990"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14:paraId="1B3C57DF">
            <w:pPr>
              <w:widowControl/>
              <w:spacing w:line="320" w:lineRule="atLeast"/>
              <w:jc w:val="center"/>
              <w:rPr>
                <w:rFonts w:ascii="宋体" w:hAnsi="宋体" w:eastAsia="宋体" w:cs="宋体"/>
                <w:kern w:val="0"/>
                <w:sz w:val="24"/>
                <w:szCs w:val="24"/>
              </w:rPr>
            </w:pPr>
            <w:r>
              <w:rPr>
                <w:rFonts w:ascii="宋体" w:hAnsi="宋体" w:eastAsia="宋体"/>
                <w:kern w:val="0"/>
                <w:sz w:val="20"/>
              </w:rPr>
              <w:t>服务对象满意度指标</w:t>
            </w:r>
            <w:r>
              <w:rPr>
                <w:rFonts w:hint="eastAsia" w:ascii="宋体" w:hAnsi="宋体" w:eastAsia="宋体" w:cs="宋体"/>
                <w:kern w:val="0"/>
                <w:sz w:val="20"/>
              </w:rPr>
              <w:t>（</w:t>
            </w:r>
            <w:r>
              <w:rPr>
                <w:rFonts w:hint="eastAsia" w:ascii="Times New Roman" w:hAnsi="Times New Roman" w:eastAsia="宋体"/>
                <w:kern w:val="0"/>
                <w:sz w:val="20"/>
              </w:rPr>
              <w:t>5</w:t>
            </w:r>
            <w:r>
              <w:rPr>
                <w:rFonts w:hint="eastAsia" w:ascii="宋体" w:hAnsi="宋体" w:eastAsia="宋体" w:cs="宋体"/>
                <w:kern w:val="0"/>
                <w:sz w:val="20"/>
              </w:rPr>
              <w:t>分）</w:t>
            </w: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06F3C7">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社会群众满意度</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C4B9184">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90%</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A101071">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98%</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BE907E9">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2</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668EE2">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2</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3B1997">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355F7AF5">
        <w:tblPrEx>
          <w:tblCellMar>
            <w:top w:w="15" w:type="dxa"/>
            <w:left w:w="15" w:type="dxa"/>
            <w:bottom w:w="15" w:type="dxa"/>
            <w:right w:w="15" w:type="dxa"/>
          </w:tblCellMar>
        </w:tblPrEx>
        <w:trPr>
          <w:trHeight w:val="1020" w:hRule="atLeast"/>
          <w:jc w:val="center"/>
        </w:trPr>
        <w:tc>
          <w:tcPr>
            <w:tcW w:w="0" w:type="auto"/>
            <w:vMerge w:val="continue"/>
            <w:tcBorders>
              <w:top w:val="single" w:color="auto" w:sz="4" w:space="0"/>
              <w:left w:val="single" w:color="auto" w:sz="4" w:space="0"/>
              <w:bottom w:val="single" w:color="auto" w:sz="4" w:space="0"/>
              <w:right w:val="single" w:color="auto" w:sz="8" w:space="0"/>
            </w:tcBorders>
            <w:vAlign w:val="center"/>
          </w:tcPr>
          <w:p w14:paraId="434D9D92">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33F99832">
            <w:pPr>
              <w:widowControl/>
              <w:jc w:val="left"/>
              <w:rPr>
                <w:rFonts w:ascii="宋体" w:hAnsi="宋体" w:eastAsia="宋体" w:cs="宋体"/>
                <w:kern w:val="0"/>
                <w:sz w:val="24"/>
                <w:szCs w:val="24"/>
              </w:rPr>
            </w:pPr>
          </w:p>
        </w:tc>
        <w:tc>
          <w:tcPr>
            <w:tcW w:w="0" w:type="auto"/>
            <w:vMerge w:val="continue"/>
            <w:tcBorders>
              <w:top w:val="single" w:color="auto" w:sz="4" w:space="0"/>
              <w:left w:val="single" w:color="auto" w:sz="8" w:space="0"/>
              <w:bottom w:val="single" w:color="auto" w:sz="4" w:space="0"/>
              <w:right w:val="single" w:color="auto" w:sz="8" w:space="0"/>
            </w:tcBorders>
            <w:vAlign w:val="center"/>
          </w:tcPr>
          <w:p w14:paraId="07B6AA5C">
            <w:pPr>
              <w:widowControl/>
              <w:jc w:val="left"/>
              <w:rPr>
                <w:rFonts w:ascii="宋体" w:hAnsi="宋体" w:eastAsia="宋体" w:cs="宋体"/>
                <w:kern w:val="0"/>
                <w:sz w:val="24"/>
                <w:szCs w:val="24"/>
              </w:rPr>
            </w:pPr>
          </w:p>
        </w:tc>
        <w:tc>
          <w:tcPr>
            <w:tcW w:w="1393"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604B9D">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服务企业满意度</w:t>
            </w:r>
          </w:p>
        </w:tc>
        <w:tc>
          <w:tcPr>
            <w:tcW w:w="128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CF286A6">
            <w:pPr>
              <w:widowControl/>
              <w:spacing w:line="320" w:lineRule="atLeast"/>
              <w:jc w:val="center"/>
              <w:rPr>
                <w:rFonts w:ascii="宋体" w:hAnsi="宋体" w:eastAsia="宋体" w:cs="宋体"/>
                <w:kern w:val="0"/>
                <w:sz w:val="24"/>
                <w:szCs w:val="24"/>
              </w:rPr>
            </w:pPr>
            <w:r>
              <w:rPr>
                <w:rFonts w:hint="eastAsia" w:ascii="宋体" w:hAnsi="宋体" w:eastAsia="宋体" w:cs="宋体"/>
                <w:kern w:val="0"/>
                <w:sz w:val="20"/>
              </w:rPr>
              <w:t>≥</w:t>
            </w:r>
            <w:r>
              <w:rPr>
                <w:rFonts w:hint="eastAsia" w:ascii="Times New Roman" w:hAnsi="Times New Roman" w:eastAsia="宋体"/>
                <w:kern w:val="0"/>
                <w:sz w:val="20"/>
              </w:rPr>
              <w:t>90%</w:t>
            </w:r>
          </w:p>
        </w:tc>
        <w:tc>
          <w:tcPr>
            <w:tcW w:w="1301"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A334226">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98%</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57959D9">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4DEB18">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3</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8BBBDA">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r w14:paraId="1DE6F390">
        <w:tblPrEx>
          <w:tblCellMar>
            <w:top w:w="15" w:type="dxa"/>
            <w:left w:w="15" w:type="dxa"/>
            <w:bottom w:w="15" w:type="dxa"/>
            <w:right w:w="15" w:type="dxa"/>
          </w:tblCellMar>
        </w:tblPrEx>
        <w:trPr>
          <w:trHeight w:val="585" w:hRule="atLeast"/>
          <w:jc w:val="center"/>
        </w:trPr>
        <w:tc>
          <w:tcPr>
            <w:tcW w:w="6887" w:type="dxa"/>
            <w:gridSpan w:val="7"/>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D0EE735">
            <w:pPr>
              <w:widowControl/>
              <w:spacing w:line="320" w:lineRule="atLeast"/>
              <w:jc w:val="center"/>
              <w:rPr>
                <w:rFonts w:ascii="宋体" w:hAnsi="宋体" w:eastAsia="宋体" w:cs="宋体"/>
                <w:kern w:val="0"/>
                <w:sz w:val="24"/>
                <w:szCs w:val="24"/>
              </w:rPr>
            </w:pPr>
            <w:r>
              <w:rPr>
                <w:rFonts w:ascii="宋体" w:hAnsi="宋体" w:eastAsia="宋体"/>
                <w:kern w:val="0"/>
                <w:sz w:val="20"/>
              </w:rPr>
              <w:t>总分</w:t>
            </w:r>
          </w:p>
        </w:tc>
        <w:tc>
          <w:tcPr>
            <w:tcW w:w="72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192EA58">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100</w:t>
            </w:r>
          </w:p>
        </w:tc>
        <w:tc>
          <w:tcPr>
            <w:tcW w:w="105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081B4A">
            <w:pPr>
              <w:widowControl/>
              <w:spacing w:line="320" w:lineRule="atLeast"/>
              <w:jc w:val="center"/>
              <w:rPr>
                <w:rFonts w:ascii="宋体" w:hAnsi="宋体" w:eastAsia="宋体" w:cs="宋体"/>
                <w:kern w:val="0"/>
                <w:sz w:val="24"/>
                <w:szCs w:val="24"/>
              </w:rPr>
            </w:pPr>
            <w:r>
              <w:rPr>
                <w:rFonts w:hint="eastAsia" w:ascii="Times New Roman" w:hAnsi="Times New Roman" w:eastAsia="宋体"/>
                <w:kern w:val="0"/>
                <w:sz w:val="20"/>
              </w:rPr>
              <w:t>99</w:t>
            </w:r>
          </w:p>
        </w:tc>
        <w:tc>
          <w:tcPr>
            <w:tcW w:w="120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A341DD9">
            <w:pPr>
              <w:widowControl/>
              <w:spacing w:line="320" w:lineRule="atLeast"/>
              <w:jc w:val="center"/>
              <w:rPr>
                <w:rFonts w:ascii="宋体" w:hAnsi="宋体" w:eastAsia="宋体" w:cs="宋体"/>
                <w:kern w:val="0"/>
                <w:sz w:val="24"/>
                <w:szCs w:val="24"/>
              </w:rPr>
            </w:pPr>
            <w:r>
              <w:rPr>
                <w:rFonts w:ascii="Times New Roman" w:hAnsi="Times New Roman" w:eastAsia="宋体"/>
                <w:kern w:val="0"/>
                <w:sz w:val="20"/>
              </w:rPr>
              <w:t> </w:t>
            </w:r>
          </w:p>
        </w:tc>
      </w:tr>
    </w:tbl>
    <w:p w14:paraId="174D5D0F">
      <w:pPr>
        <w:spacing w:line="600" w:lineRule="exact"/>
        <w:rPr>
          <w:rFonts w:ascii="仿宋" w:hAnsi="仿宋" w:eastAsia="仿宋" w:cs="仿宋"/>
          <w:kern w:val="0"/>
          <w:szCs w:val="32"/>
        </w:rPr>
        <w:sectPr>
          <w:footerReference r:id="rId3" w:type="default"/>
          <w:footerReference r:id="rId4" w:type="even"/>
          <w:pgSz w:w="11907" w:h="16840"/>
          <w:pgMar w:top="2041" w:right="1531" w:bottom="1871" w:left="1531" w:header="851" w:footer="1304" w:gutter="0"/>
          <w:cols w:space="720" w:num="1"/>
          <w:docGrid w:type="linesAndChars" w:linePitch="587" w:charSpace="-842"/>
        </w:sectPr>
      </w:pPr>
      <w:r>
        <w:rPr>
          <w:rFonts w:hint="eastAsia" w:ascii="仿宋" w:hAnsi="仿宋" w:eastAsia="仿宋" w:cs="仿宋"/>
          <w:kern w:val="0"/>
          <w:szCs w:val="32"/>
        </w:rPr>
        <w:t>填表人：王昕怡               填报日期：2025年5月20日          联系电话：13107270080         单位负责人签字:</w:t>
      </w:r>
    </w:p>
    <w:p w14:paraId="4096BDA3">
      <w:pPr>
        <w:widowControl/>
        <w:jc w:val="left"/>
        <w:rPr>
          <w:rFonts w:ascii="仿宋" w:hAnsi="仿宋" w:eastAsia="仿宋" w:cs="仿宋"/>
          <w:color w:val="000000"/>
          <w:kern w:val="0"/>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9C52E">
    <w:pPr>
      <w:pStyle w:val="5"/>
      <w:framePr w:wrap="around" w:vAnchor="text" w:hAnchor="margin" w:xAlign="outside" w:y="1"/>
      <w:ind w:righ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16</w:t>
    </w:r>
    <w:r>
      <w:rPr>
        <w:rFonts w:ascii="宋体" w:hAnsi="宋体" w:eastAsia="宋体"/>
        <w:sz w:val="28"/>
      </w:rPr>
      <w:fldChar w:fldCharType="end"/>
    </w:r>
    <w:r>
      <w:rPr>
        <w:rStyle w:val="10"/>
        <w:rFonts w:hint="eastAsia" w:ascii="宋体" w:hAnsi="宋体" w:eastAsia="宋体"/>
        <w:sz w:val="28"/>
      </w:rPr>
      <w:t>—</w:t>
    </w:r>
  </w:p>
  <w:p w14:paraId="5D5E69FE">
    <w:pPr>
      <w:pStyle w:val="5"/>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678D7">
    <w:pPr>
      <w:pStyle w:val="5"/>
      <w:framePr w:wrap="around" w:vAnchor="text" w:hAnchor="margin" w:xAlign="outside" w:y="1"/>
      <w:ind w:lef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12</w:t>
    </w:r>
    <w:r>
      <w:rPr>
        <w:rFonts w:ascii="宋体" w:hAnsi="宋体" w:eastAsia="宋体"/>
        <w:sz w:val="28"/>
      </w:rPr>
      <w:fldChar w:fldCharType="end"/>
    </w:r>
    <w:r>
      <w:rPr>
        <w:rStyle w:val="10"/>
        <w:rFonts w:hint="eastAsia" w:ascii="宋体" w:hAnsi="宋体" w:eastAsia="宋体"/>
        <w:sz w:val="28"/>
      </w:rPr>
      <w:t>—</w:t>
    </w:r>
  </w:p>
  <w:p w14:paraId="4ACDD6D6">
    <w:pPr>
      <w:pStyle w:val="5"/>
      <w:ind w:left="300" w:right="360" w:firstLine="360"/>
      <w:rPr>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E0FB1"/>
    <w:multiLevelType w:val="singleLevel"/>
    <w:tmpl w:val="F93E0FB1"/>
    <w:lvl w:ilvl="0" w:tentative="0">
      <w:start w:val="7"/>
      <w:numFmt w:val="chineseCounting"/>
      <w:suff w:val="nothing"/>
      <w:lvlText w:val="%1、"/>
      <w:lvlJc w:val="left"/>
      <w:pPr>
        <w:ind w:left="480" w:leftChars="0" w:firstLine="0" w:firstLineChars="0"/>
      </w:pPr>
      <w:rPr>
        <w:rFonts w:hint="eastAsia"/>
      </w:rPr>
    </w:lvl>
  </w:abstractNum>
  <w:abstractNum w:abstractNumId="1">
    <w:nsid w:val="19662EFC"/>
    <w:multiLevelType w:val="singleLevel"/>
    <w:tmpl w:val="19662EFC"/>
    <w:lvl w:ilvl="0" w:tentative="0">
      <w:start w:val="4"/>
      <w:numFmt w:val="chineseCounting"/>
      <w:suff w:val="nothing"/>
      <w:lvlText w:val="（%1）"/>
      <w:lvlJc w:val="left"/>
      <w:rPr>
        <w:rFonts w:hint="eastAsia"/>
      </w:rPr>
    </w:lvl>
  </w:abstractNum>
  <w:abstractNum w:abstractNumId="2">
    <w:nsid w:val="51EFB5BB"/>
    <w:multiLevelType w:val="singleLevel"/>
    <w:tmpl w:val="51EFB5BB"/>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OWNkNTBhM2EwODMzYjk3NmQ1N2FmMjZmOTBmMjZlYTIifQ=="/>
  </w:docVars>
  <w:rsids>
    <w:rsidRoot w:val="00475C80"/>
    <w:rsid w:val="0001573D"/>
    <w:rsid w:val="00045297"/>
    <w:rsid w:val="0009257A"/>
    <w:rsid w:val="00101B72"/>
    <w:rsid w:val="00123A41"/>
    <w:rsid w:val="0016677E"/>
    <w:rsid w:val="001B5E21"/>
    <w:rsid w:val="001F7331"/>
    <w:rsid w:val="00220063"/>
    <w:rsid w:val="002572C2"/>
    <w:rsid w:val="002815E6"/>
    <w:rsid w:val="00287E65"/>
    <w:rsid w:val="002D7C40"/>
    <w:rsid w:val="002E736E"/>
    <w:rsid w:val="003341D9"/>
    <w:rsid w:val="00347915"/>
    <w:rsid w:val="003746D0"/>
    <w:rsid w:val="0039640C"/>
    <w:rsid w:val="003D6D8D"/>
    <w:rsid w:val="00432007"/>
    <w:rsid w:val="00452028"/>
    <w:rsid w:val="00456917"/>
    <w:rsid w:val="00475C80"/>
    <w:rsid w:val="004A5246"/>
    <w:rsid w:val="004C67F2"/>
    <w:rsid w:val="004F2027"/>
    <w:rsid w:val="005075B3"/>
    <w:rsid w:val="00595AA3"/>
    <w:rsid w:val="00607FC7"/>
    <w:rsid w:val="006470A6"/>
    <w:rsid w:val="0066069F"/>
    <w:rsid w:val="00772BF5"/>
    <w:rsid w:val="007A5F44"/>
    <w:rsid w:val="007C1C83"/>
    <w:rsid w:val="007C3BBB"/>
    <w:rsid w:val="00803A39"/>
    <w:rsid w:val="00833C8B"/>
    <w:rsid w:val="00856E3F"/>
    <w:rsid w:val="008B6BA0"/>
    <w:rsid w:val="008C07A1"/>
    <w:rsid w:val="009321B0"/>
    <w:rsid w:val="009A0503"/>
    <w:rsid w:val="009A4C70"/>
    <w:rsid w:val="00A204B8"/>
    <w:rsid w:val="00A3003E"/>
    <w:rsid w:val="00A66495"/>
    <w:rsid w:val="00A7068D"/>
    <w:rsid w:val="00A71E94"/>
    <w:rsid w:val="00AD3992"/>
    <w:rsid w:val="00AD7D8D"/>
    <w:rsid w:val="00B21B55"/>
    <w:rsid w:val="00B3276D"/>
    <w:rsid w:val="00B4446C"/>
    <w:rsid w:val="00B73D3F"/>
    <w:rsid w:val="00B94CEA"/>
    <w:rsid w:val="00C5664C"/>
    <w:rsid w:val="00C80C9E"/>
    <w:rsid w:val="00CC6FFC"/>
    <w:rsid w:val="00CD0EBC"/>
    <w:rsid w:val="00CD7888"/>
    <w:rsid w:val="00D04155"/>
    <w:rsid w:val="00D173BB"/>
    <w:rsid w:val="00DA2B6B"/>
    <w:rsid w:val="00DB00DA"/>
    <w:rsid w:val="00DF3F92"/>
    <w:rsid w:val="00E45F6D"/>
    <w:rsid w:val="00E6732A"/>
    <w:rsid w:val="00E71E6E"/>
    <w:rsid w:val="00EC70C0"/>
    <w:rsid w:val="00F26F4A"/>
    <w:rsid w:val="00F34776"/>
    <w:rsid w:val="00F5620D"/>
    <w:rsid w:val="15FD74A0"/>
    <w:rsid w:val="29233D8C"/>
    <w:rsid w:val="2BFA7026"/>
    <w:rsid w:val="31D44429"/>
    <w:rsid w:val="386C12AB"/>
    <w:rsid w:val="3B6719AE"/>
    <w:rsid w:val="45A133A0"/>
    <w:rsid w:val="53AA59B2"/>
    <w:rsid w:val="5D951E49"/>
    <w:rsid w:val="6FDF2373"/>
    <w:rsid w:val="727D735D"/>
    <w:rsid w:val="74FF306D"/>
    <w:rsid w:val="76047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rPr>
  </w:style>
  <w:style w:type="paragraph" w:styleId="3">
    <w:name w:val="Body Text"/>
    <w:basedOn w:val="1"/>
    <w:link w:val="16"/>
    <w:semiHidden/>
    <w:unhideWhenUsed/>
    <w:uiPriority w:val="99"/>
    <w:pPr>
      <w:spacing w:after="120"/>
    </w:pPr>
  </w:style>
  <w:style w:type="paragraph" w:styleId="4">
    <w:name w:val="Plain Text"/>
    <w:basedOn w:val="1"/>
    <w:link w:val="18"/>
    <w:qFormat/>
    <w:uiPriority w:val="0"/>
    <w:rPr>
      <w:rFonts w:ascii="宋体" w:hAnsi="Courier New" w:eastAsia="宋体" w:cs="Courier New"/>
      <w:sz w:val="21"/>
      <w:szCs w:val="21"/>
    </w:rPr>
  </w:style>
  <w:style w:type="paragraph" w:styleId="5">
    <w:name w:val="footer"/>
    <w:basedOn w:val="1"/>
    <w:link w:val="15"/>
    <w:unhideWhenUsed/>
    <w:uiPriority w:val="0"/>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link w:val="17"/>
    <w:qFormat/>
    <w:uiPriority w:val="0"/>
    <w:pPr>
      <w:spacing w:after="0"/>
      <w:ind w:firstLine="420" w:firstLineChars="100"/>
    </w:pPr>
    <w:rPr>
      <w:rFonts w:ascii="Times New Roman" w:hAnsi="Times New Roman" w:eastAsia="宋体"/>
      <w:sz w:val="21"/>
      <w:szCs w:val="22"/>
    </w:rPr>
  </w:style>
  <w:style w:type="character" w:styleId="10">
    <w:name w:val="page number"/>
    <w:basedOn w:val="9"/>
    <w:qFormat/>
    <w:uiPriority w:val="0"/>
  </w:style>
  <w:style w:type="paragraph" w:styleId="11">
    <w:name w:val="List Paragraph"/>
    <w:basedOn w:val="1"/>
    <w:qFormat/>
    <w:uiPriority w:val="34"/>
    <w:pPr>
      <w:ind w:firstLine="420" w:firstLineChars="200"/>
    </w:pPr>
  </w:style>
  <w:style w:type="paragraph" w:customStyle="1" w:styleId="12">
    <w:name w:val="18"/>
    <w:basedOn w:val="1"/>
    <w:uiPriority w:val="0"/>
    <w:rPr>
      <w:rFonts w:ascii="等线" w:hAnsi="等线" w:eastAsia="宋体"/>
      <w:sz w:val="21"/>
      <w:szCs w:val="21"/>
    </w:rPr>
  </w:style>
  <w:style w:type="paragraph" w:customStyle="1" w:styleId="1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页眉 Char"/>
    <w:basedOn w:val="9"/>
    <w:link w:val="6"/>
    <w:semiHidden/>
    <w:qFormat/>
    <w:uiPriority w:val="99"/>
    <w:rPr>
      <w:rFonts w:ascii="Calibri" w:hAnsi="Calibri" w:eastAsia="仿宋_GB2312" w:cs="Times New Roman"/>
      <w:sz w:val="18"/>
      <w:szCs w:val="18"/>
    </w:rPr>
  </w:style>
  <w:style w:type="character" w:customStyle="1" w:styleId="15">
    <w:name w:val="页脚 Char"/>
    <w:basedOn w:val="9"/>
    <w:link w:val="5"/>
    <w:semiHidden/>
    <w:qFormat/>
    <w:uiPriority w:val="99"/>
    <w:rPr>
      <w:rFonts w:ascii="Calibri" w:hAnsi="Calibri" w:eastAsia="仿宋_GB2312" w:cs="Times New Roman"/>
      <w:sz w:val="18"/>
      <w:szCs w:val="18"/>
    </w:rPr>
  </w:style>
  <w:style w:type="character" w:customStyle="1" w:styleId="16">
    <w:name w:val="正文文本 Char"/>
    <w:basedOn w:val="9"/>
    <w:link w:val="3"/>
    <w:semiHidden/>
    <w:qFormat/>
    <w:uiPriority w:val="99"/>
    <w:rPr>
      <w:rFonts w:ascii="Calibri" w:hAnsi="Calibri" w:eastAsia="仿宋_GB2312" w:cs="Times New Roman"/>
      <w:sz w:val="32"/>
      <w:szCs w:val="20"/>
    </w:rPr>
  </w:style>
  <w:style w:type="character" w:customStyle="1" w:styleId="17">
    <w:name w:val="正文首行缩进 Char"/>
    <w:basedOn w:val="16"/>
    <w:link w:val="7"/>
    <w:qFormat/>
    <w:uiPriority w:val="0"/>
    <w:rPr>
      <w:rFonts w:ascii="Times New Roman" w:hAnsi="Times New Roman" w:eastAsia="宋体"/>
    </w:rPr>
  </w:style>
  <w:style w:type="character" w:customStyle="1" w:styleId="18">
    <w:name w:val="纯文本 Char"/>
    <w:basedOn w:val="9"/>
    <w:link w:val="4"/>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4766</Words>
  <Characters>5119</Characters>
  <Lines>48</Lines>
  <Paragraphs>13</Paragraphs>
  <TotalTime>4</TotalTime>
  <ScaleCrop>false</ScaleCrop>
  <LinksUpToDate>false</LinksUpToDate>
  <CharactersWithSpaces>5216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2025-05-21T07:53:00Z</dcterms:created>
  <dc:creator>Administrator</dc:creator>
  <cp:lastModifiedBy>WPS_1648870905</cp:lastModifiedBy>
  <dcterms:modified xsi:type="dcterms:W3CDTF">2025-09-29T03:41:09Z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1B3B6B9EF80F4781A6D9DD11CA67A1B2_13</vt:lpwstr>
  </property>
  <property fmtid="{D5CDD505-2E9C-101B-9397-08002B2CF9AE}" pid="4" name="KSOTemplateDocerSaveRecord">
    <vt:lpwstr>eyJoZGlkIjoiZDc0ZTAxZGRlMzY0ZDlkYjc3Mjg5ODQwYTcyYjBkZDMiLCJ1c2VySWQiOiIxMzUxNjQxNzU4In0=</vt:lpwstr>
  </property>
</Properties>
</file>