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15E9F">
      <w:pPr>
        <w:spacing w:line="800" w:lineRule="exact"/>
        <w:jc w:val="center"/>
        <w:rPr>
          <w:rFonts w:ascii="黑体" w:hAnsi="黑体" w:eastAsia="黑体" w:cs="黑体"/>
          <w:sz w:val="72"/>
          <w:szCs w:val="72"/>
        </w:rPr>
      </w:pPr>
      <w:r>
        <w:rPr>
          <w:rFonts w:hint="eastAsia" w:ascii="黑体" w:hAnsi="黑体" w:eastAsia="黑体" w:cs="黑体"/>
          <w:sz w:val="72"/>
          <w:szCs w:val="72"/>
        </w:rPr>
        <w:t>2024年度部门整体支出</w:t>
      </w:r>
    </w:p>
    <w:p w14:paraId="1BD87F91">
      <w:pPr>
        <w:spacing w:line="800" w:lineRule="exact"/>
        <w:ind w:firstLine="1440" w:firstLineChars="200"/>
        <w:jc w:val="center"/>
        <w:rPr>
          <w:rFonts w:hint="eastAsia" w:ascii="黑体" w:hAnsi="黑体" w:eastAsia="黑体" w:cs="黑体"/>
          <w:sz w:val="72"/>
          <w:szCs w:val="72"/>
        </w:rPr>
      </w:pPr>
    </w:p>
    <w:p w14:paraId="4544F5DA">
      <w:pPr>
        <w:spacing w:line="800" w:lineRule="exact"/>
        <w:ind w:firstLine="1440" w:firstLineChars="200"/>
        <w:jc w:val="center"/>
        <w:rPr>
          <w:rFonts w:ascii="黑体" w:hAnsi="黑体" w:eastAsia="黑体" w:cs="黑体"/>
          <w:sz w:val="72"/>
          <w:szCs w:val="72"/>
        </w:rPr>
      </w:pPr>
    </w:p>
    <w:p w14:paraId="1982223F">
      <w:pPr>
        <w:spacing w:line="900" w:lineRule="exact"/>
        <w:jc w:val="center"/>
        <w:rPr>
          <w:rFonts w:ascii="黑体" w:hAnsi="黑体" w:eastAsia="黑体" w:cs="黑体"/>
          <w:sz w:val="72"/>
          <w:szCs w:val="72"/>
        </w:rPr>
      </w:pPr>
      <w:r>
        <w:rPr>
          <w:rFonts w:hint="eastAsia" w:ascii="黑体" w:hAnsi="黑体" w:eastAsia="黑体" w:cs="黑体"/>
          <w:sz w:val="72"/>
          <w:szCs w:val="72"/>
        </w:rPr>
        <w:t>绩</w:t>
      </w:r>
    </w:p>
    <w:p w14:paraId="36DCBE0A">
      <w:pPr>
        <w:spacing w:line="900" w:lineRule="exact"/>
        <w:jc w:val="center"/>
        <w:rPr>
          <w:rFonts w:ascii="黑体" w:hAnsi="黑体" w:eastAsia="黑体" w:cs="黑体"/>
          <w:sz w:val="72"/>
          <w:szCs w:val="72"/>
        </w:rPr>
      </w:pPr>
      <w:r>
        <w:rPr>
          <w:rFonts w:hint="eastAsia" w:ascii="黑体" w:hAnsi="黑体" w:eastAsia="黑体" w:cs="黑体"/>
          <w:sz w:val="72"/>
          <w:szCs w:val="72"/>
        </w:rPr>
        <w:t>效</w:t>
      </w:r>
    </w:p>
    <w:p w14:paraId="0259E916">
      <w:pPr>
        <w:spacing w:line="900" w:lineRule="exact"/>
        <w:jc w:val="center"/>
        <w:rPr>
          <w:rFonts w:ascii="黑体" w:hAnsi="黑体" w:eastAsia="黑体" w:cs="黑体"/>
          <w:sz w:val="72"/>
          <w:szCs w:val="72"/>
        </w:rPr>
      </w:pPr>
      <w:r>
        <w:rPr>
          <w:rFonts w:hint="eastAsia" w:ascii="黑体" w:hAnsi="黑体" w:eastAsia="黑体" w:cs="黑体"/>
          <w:sz w:val="72"/>
          <w:szCs w:val="72"/>
        </w:rPr>
        <w:t>评</w:t>
      </w:r>
    </w:p>
    <w:p w14:paraId="3FC06257">
      <w:pPr>
        <w:spacing w:line="900" w:lineRule="exact"/>
        <w:jc w:val="center"/>
        <w:rPr>
          <w:rFonts w:ascii="黑体" w:hAnsi="黑体" w:eastAsia="黑体" w:cs="黑体"/>
          <w:sz w:val="72"/>
          <w:szCs w:val="72"/>
        </w:rPr>
      </w:pPr>
      <w:r>
        <w:rPr>
          <w:rFonts w:hint="eastAsia" w:ascii="黑体" w:hAnsi="黑体" w:eastAsia="黑体" w:cs="黑体"/>
          <w:sz w:val="72"/>
          <w:szCs w:val="72"/>
        </w:rPr>
        <w:t>价</w:t>
      </w:r>
    </w:p>
    <w:p w14:paraId="2BB1111F">
      <w:pPr>
        <w:spacing w:line="900" w:lineRule="exact"/>
        <w:jc w:val="center"/>
        <w:rPr>
          <w:rFonts w:ascii="黑体" w:hAnsi="黑体" w:eastAsia="黑体" w:cs="黑体"/>
          <w:sz w:val="72"/>
          <w:szCs w:val="72"/>
        </w:rPr>
      </w:pPr>
      <w:r>
        <w:rPr>
          <w:rFonts w:hint="eastAsia" w:ascii="黑体" w:hAnsi="黑体" w:eastAsia="黑体" w:cs="黑体"/>
          <w:sz w:val="72"/>
          <w:szCs w:val="72"/>
        </w:rPr>
        <w:t>报</w:t>
      </w:r>
    </w:p>
    <w:p w14:paraId="4E66D373">
      <w:pPr>
        <w:spacing w:line="900" w:lineRule="exact"/>
        <w:jc w:val="center"/>
        <w:rPr>
          <w:rFonts w:ascii="黑体" w:hAnsi="黑体" w:eastAsia="黑体" w:cs="黑体"/>
          <w:sz w:val="72"/>
          <w:szCs w:val="72"/>
        </w:rPr>
      </w:pPr>
      <w:r>
        <w:rPr>
          <w:rFonts w:hint="eastAsia" w:ascii="黑体" w:hAnsi="黑体" w:eastAsia="黑体" w:cs="黑体"/>
          <w:sz w:val="72"/>
          <w:szCs w:val="72"/>
        </w:rPr>
        <w:t>告</w:t>
      </w:r>
    </w:p>
    <w:p w14:paraId="5B4E92A8">
      <w:pPr>
        <w:spacing w:line="800" w:lineRule="exact"/>
        <w:ind w:firstLine="640" w:firstLineChars="200"/>
        <w:jc w:val="center"/>
        <w:rPr>
          <w:rFonts w:ascii="仿宋" w:hAnsi="仿宋" w:eastAsia="仿宋" w:cs="仿宋"/>
          <w:szCs w:val="32"/>
        </w:rPr>
      </w:pPr>
    </w:p>
    <w:p w14:paraId="201F940B">
      <w:pPr>
        <w:spacing w:line="800" w:lineRule="exact"/>
        <w:ind w:firstLine="640" w:firstLineChars="200"/>
        <w:jc w:val="center"/>
        <w:rPr>
          <w:rFonts w:ascii="仿宋" w:hAnsi="仿宋" w:eastAsia="仿宋" w:cs="仿宋"/>
          <w:szCs w:val="32"/>
        </w:rPr>
      </w:pPr>
    </w:p>
    <w:p w14:paraId="3F26AF13">
      <w:pPr>
        <w:spacing w:line="800" w:lineRule="exact"/>
        <w:rPr>
          <w:rFonts w:ascii="仿宋" w:hAnsi="仿宋" w:eastAsia="仿宋" w:cs="仿宋"/>
          <w:szCs w:val="32"/>
        </w:rPr>
      </w:pPr>
    </w:p>
    <w:p w14:paraId="63F6E515">
      <w:pPr>
        <w:spacing w:line="800" w:lineRule="exact"/>
        <w:ind w:firstLine="640" w:firstLineChars="200"/>
        <w:jc w:val="center"/>
        <w:rPr>
          <w:rFonts w:ascii="仿宋" w:hAnsi="仿宋" w:eastAsia="仿宋" w:cs="仿宋"/>
          <w:szCs w:val="32"/>
        </w:rPr>
      </w:pPr>
    </w:p>
    <w:p w14:paraId="15BCCFD3">
      <w:pPr>
        <w:spacing w:line="800" w:lineRule="exact"/>
        <w:ind w:firstLine="1920" w:firstLineChars="600"/>
        <w:rPr>
          <w:rFonts w:ascii="黑体" w:hAnsi="黑体" w:eastAsia="黑体" w:cs="方正小标宋简体"/>
          <w:szCs w:val="32"/>
          <w:u w:val="single"/>
        </w:rPr>
      </w:pPr>
      <w:r>
        <w:rPr>
          <w:rFonts w:hint="eastAsia" w:ascii="黑体" w:hAnsi="黑体" w:eastAsia="黑体" w:cs="方正小标宋简体"/>
          <w:szCs w:val="32"/>
        </w:rPr>
        <w:t>部门（单位）名称：</w:t>
      </w:r>
      <w:r>
        <w:rPr>
          <w:rFonts w:hint="eastAsia" w:ascii="黑体" w:hAnsi="黑体" w:eastAsia="黑体" w:cs="方正小标宋简体"/>
          <w:szCs w:val="32"/>
          <w:u w:val="single"/>
        </w:rPr>
        <w:t xml:space="preserve"> 资阳区商务局   </w:t>
      </w:r>
    </w:p>
    <w:p w14:paraId="64CCCE1C">
      <w:pPr>
        <w:spacing w:line="600" w:lineRule="exact"/>
        <w:jc w:val="center"/>
        <w:rPr>
          <w:rFonts w:ascii="黑体" w:hAnsi="黑体" w:eastAsia="黑体" w:cs="方正小标宋简体"/>
          <w:szCs w:val="32"/>
          <w:u w:val="single"/>
        </w:rPr>
      </w:pPr>
      <w:r>
        <w:rPr>
          <w:rFonts w:hint="eastAsia" w:ascii="黑体" w:hAnsi="黑体" w:eastAsia="黑体" w:cs="方正小标宋简体"/>
          <w:szCs w:val="32"/>
        </w:rPr>
        <w:t>2025年4 月18日</w:t>
      </w:r>
    </w:p>
    <w:p w14:paraId="43241466">
      <w:pPr>
        <w:spacing w:line="600" w:lineRule="exact"/>
        <w:ind w:firstLine="640" w:firstLineChars="200"/>
        <w:jc w:val="center"/>
        <w:rPr>
          <w:rFonts w:ascii="仿宋" w:hAnsi="仿宋" w:eastAsia="仿宋" w:cs="仿宋"/>
          <w:szCs w:val="32"/>
        </w:rPr>
      </w:pPr>
    </w:p>
    <w:p w14:paraId="0D18D67C">
      <w:pPr>
        <w:spacing w:line="600" w:lineRule="exact"/>
        <w:ind w:firstLine="720" w:firstLineChars="200"/>
        <w:jc w:val="center"/>
        <w:rPr>
          <w:rFonts w:ascii="方正小标宋简体" w:hAnsi="方正小标宋简体" w:eastAsia="方正小标宋简体" w:cs="方正小标宋简体"/>
          <w:kern w:val="0"/>
          <w:sz w:val="36"/>
          <w:szCs w:val="36"/>
        </w:rPr>
        <w:sectPr>
          <w:headerReference r:id="rId3" w:type="default"/>
          <w:footerReference r:id="rId4" w:type="default"/>
          <w:pgSz w:w="11906" w:h="16838"/>
          <w:pgMar w:top="1894" w:right="1800" w:bottom="1440" w:left="1800" w:header="851" w:footer="992" w:gutter="0"/>
          <w:pgNumType w:start="2"/>
          <w:cols w:space="425" w:num="1"/>
          <w:docGrid w:type="lines" w:linePitch="312" w:charSpace="0"/>
        </w:sectPr>
      </w:pPr>
    </w:p>
    <w:p w14:paraId="6BDC877E">
      <w:pPr>
        <w:spacing w:line="640" w:lineRule="exact"/>
        <w:jc w:val="center"/>
        <w:rPr>
          <w:rFonts w:ascii="黑体" w:hAnsi="黑体" w:eastAsia="黑体" w:cs="方正小标宋简体"/>
          <w:kern w:val="0"/>
          <w:sz w:val="36"/>
          <w:szCs w:val="36"/>
        </w:rPr>
      </w:pPr>
      <w:r>
        <w:rPr>
          <w:rFonts w:hint="eastAsia" w:ascii="黑体" w:hAnsi="黑体" w:eastAsia="黑体" w:cs="方正小标宋简体"/>
          <w:kern w:val="0"/>
          <w:sz w:val="36"/>
          <w:szCs w:val="36"/>
        </w:rPr>
        <w:t>2024年度益阳市资阳区商务局部门整体支出</w:t>
      </w:r>
    </w:p>
    <w:p w14:paraId="46D256F6">
      <w:pPr>
        <w:spacing w:line="640" w:lineRule="exact"/>
        <w:jc w:val="center"/>
        <w:rPr>
          <w:rFonts w:ascii="黑体" w:hAnsi="黑体" w:eastAsia="黑体" w:cs="方正小标宋简体"/>
          <w:kern w:val="0"/>
          <w:sz w:val="36"/>
          <w:szCs w:val="36"/>
        </w:rPr>
      </w:pPr>
      <w:r>
        <w:rPr>
          <w:rFonts w:hint="eastAsia" w:ascii="黑体" w:hAnsi="黑体" w:eastAsia="黑体" w:cs="方正小标宋简体"/>
          <w:kern w:val="0"/>
          <w:sz w:val="36"/>
          <w:szCs w:val="36"/>
        </w:rPr>
        <w:t>绩效自评报告</w:t>
      </w:r>
    </w:p>
    <w:p w14:paraId="7030D823">
      <w:pPr>
        <w:spacing w:line="640" w:lineRule="exact"/>
        <w:ind w:firstLine="640" w:firstLineChars="200"/>
        <w:jc w:val="center"/>
        <w:rPr>
          <w:rFonts w:ascii="仿宋_GB2312" w:hAnsi="仿宋_GB2312" w:cs="仿宋_GB2312"/>
          <w:kern w:val="0"/>
          <w:szCs w:val="32"/>
        </w:rPr>
      </w:pPr>
    </w:p>
    <w:p w14:paraId="066243F5">
      <w:pPr>
        <w:keepNext w:val="0"/>
        <w:keepLines w:val="0"/>
        <w:pageBreakBefore w:val="0"/>
        <w:widowControl/>
        <w:numPr>
          <w:ilvl w:val="0"/>
          <w:numId w:val="1"/>
        </w:numPr>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bCs/>
          <w:color w:val="000000"/>
          <w:kern w:val="0"/>
          <w:szCs w:val="32"/>
        </w:rPr>
      </w:pPr>
      <w:r>
        <w:rPr>
          <w:rFonts w:hint="eastAsia" w:ascii="国标仿宋-GB/T 2312" w:hAnsi="国标仿宋-GB/T 2312" w:eastAsia="国标仿宋-GB/T 2312" w:cs="国标仿宋-GB/T 2312"/>
          <w:b/>
          <w:bCs/>
          <w:color w:val="000000"/>
          <w:kern w:val="0"/>
          <w:szCs w:val="32"/>
        </w:rPr>
        <w:t>部门概况</w:t>
      </w:r>
    </w:p>
    <w:p w14:paraId="7FC83E39">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szCs w:val="32"/>
        </w:rPr>
      </w:pPr>
      <w:r>
        <w:rPr>
          <w:rFonts w:hint="eastAsia" w:ascii="国标仿宋-GB/T 2312" w:hAnsi="国标仿宋-GB/T 2312" w:eastAsia="国标仿宋-GB/T 2312" w:cs="国标仿宋-GB/T 2312"/>
          <w:b/>
          <w:szCs w:val="32"/>
        </w:rPr>
        <w:t>（一）2024年单位基本情况及工作计划</w:t>
      </w:r>
    </w:p>
    <w:p w14:paraId="2EFEF060">
      <w:pPr>
        <w:keepNext w:val="0"/>
        <w:keepLines w:val="0"/>
        <w:pageBreakBefore w:val="0"/>
        <w:widowControl/>
        <w:kinsoku/>
        <w:wordWrap/>
        <w:topLinePunct w:val="0"/>
        <w:autoSpaceDE/>
        <w:autoSpaceDN w:val="0"/>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rPr>
        <w:t>1、机构设置：区商务局于2001年12月底由原财贸办、经委、乡经委组建成立经济贸易局。2006年5月更名为商务局，2015年11月底因机构改革，经全区商务局的职责，区经济合作局除外事工作外的职责进行整合，重新组建区商务局。商务局为区人</w:t>
      </w:r>
      <w:bookmarkStart w:id="0" w:name="_GoBack"/>
      <w:bookmarkEnd w:id="0"/>
      <w:r>
        <w:rPr>
          <w:rFonts w:hint="eastAsia" w:ascii="国标仿宋-GB/T 2312" w:hAnsi="国标仿宋-GB/T 2312" w:eastAsia="国标仿宋-GB/T 2312" w:cs="国标仿宋-GB/T 2312"/>
          <w:szCs w:val="32"/>
        </w:rPr>
        <w:t>民政府工作部门;内设6个职务股室：办公室(政工人事股）、法规和市场秩序股、市场建设和发展股、商贸服务股、投资管理股，财务股。归口管理2个直属事业单位:区投资促进服务中心、区商务企业管理服务中心。</w:t>
      </w:r>
    </w:p>
    <w:p w14:paraId="3B55A162">
      <w:pPr>
        <w:keepNext w:val="0"/>
        <w:keepLines w:val="0"/>
        <w:pageBreakBefore w:val="0"/>
        <w:widowControl/>
        <w:kinsoku/>
        <w:wordWrap/>
        <w:topLinePunct w:val="0"/>
        <w:autoSpaceDE/>
        <w:autoSpaceDN w:val="0"/>
        <w:bidi w:val="0"/>
        <w:adjustRightInd/>
        <w:spacing w:line="600" w:lineRule="exact"/>
        <w:ind w:firstLine="640"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szCs w:val="32"/>
        </w:rPr>
        <w:t xml:space="preserve">2、主要工作职责：贯彻执行国家内外贸易、国际经济合作和区域经济合作的发展战略、政策；负责推进流通产业结构调整，指导流通企业改革；指导全区招商引资和承接产业转移工作；承担全区商务系统统计及其信息发布工作；拟订全区国内贸易发展规划，促进城乡市场发展提供信息咨询服务；承担牵头协调整顿和规范市场经济秩序工作的责任，按有关规定对特殊流通行业进行监督管理；按有关规定对拍卖、典当、租赁、旧货流通活动和成品油市场进行监督管理；指导全区流通领域信息网络和电子商务建设；完成区委、区政府交办的其他任务。 </w:t>
      </w:r>
    </w:p>
    <w:p w14:paraId="76FAC22A">
      <w:pPr>
        <w:keepNext w:val="0"/>
        <w:keepLines w:val="0"/>
        <w:pageBreakBefore w:val="0"/>
        <w:widowControl/>
        <w:kinsoku/>
        <w:wordWrap/>
        <w:topLinePunct w:val="0"/>
        <w:autoSpaceDE/>
        <w:autoSpaceDN w:val="0"/>
        <w:bidi w:val="0"/>
        <w:adjustRightInd/>
        <w:spacing w:line="600" w:lineRule="exact"/>
        <w:ind w:firstLine="640" w:firstLineChars="200"/>
        <w:textAlignment w:val="auto"/>
        <w:rPr>
          <w:rFonts w:hint="eastAsia" w:ascii="国标仿宋-GB/T 2312" w:hAnsi="国标仿宋-GB/T 2312" w:eastAsia="国标仿宋-GB/T 2312" w:cs="国标仿宋-GB/T 2312"/>
          <w:bCs/>
          <w:szCs w:val="32"/>
        </w:rPr>
      </w:pPr>
      <w:r>
        <w:rPr>
          <w:rFonts w:hint="eastAsia" w:ascii="国标仿宋-GB/T 2312" w:hAnsi="国标仿宋-GB/T 2312" w:eastAsia="国标仿宋-GB/T 2312" w:cs="国标仿宋-GB/T 2312"/>
          <w:szCs w:val="32"/>
        </w:rPr>
        <w:t>3、2024年工作计划</w:t>
      </w:r>
      <w:r>
        <w:rPr>
          <w:rFonts w:hint="eastAsia" w:ascii="国标仿宋-GB/T 2312" w:hAnsi="国标仿宋-GB/T 2312" w:eastAsia="国标仿宋-GB/T 2312" w:cs="国标仿宋-GB/T 2312"/>
          <w:szCs w:val="32"/>
          <w:lang w:eastAsia="zh-CN"/>
        </w:rPr>
        <w:t>。</w:t>
      </w:r>
      <w:r>
        <w:rPr>
          <w:rFonts w:hint="eastAsia" w:ascii="国标仿宋-GB/T 2312" w:hAnsi="国标仿宋-GB/T 2312" w:eastAsia="国标仿宋-GB/T 2312" w:cs="国标仿宋-GB/T 2312"/>
          <w:szCs w:val="32"/>
          <w:shd w:val="clear" w:color="auto" w:fill="FFFFFF"/>
        </w:rPr>
        <w:t>（一）锚定一个目标：积极争先创优。全力</w:t>
      </w:r>
      <w:r>
        <w:rPr>
          <w:rFonts w:hint="eastAsia" w:ascii="国标仿宋-GB/T 2312" w:hAnsi="国标仿宋-GB/T 2312" w:eastAsia="国标仿宋-GB/T 2312" w:cs="国标仿宋-GB/T 2312"/>
          <w:bCs/>
          <w:szCs w:val="32"/>
        </w:rPr>
        <w:t>争取省政府真抓实干表扬激励，争创省、市商务工作先进单位。</w:t>
      </w:r>
      <w:r>
        <w:rPr>
          <w:rFonts w:hint="eastAsia" w:ascii="国标仿宋-GB/T 2312" w:hAnsi="国标仿宋-GB/T 2312" w:eastAsia="国标仿宋-GB/T 2312" w:cs="国标仿宋-GB/T 2312"/>
          <w:szCs w:val="32"/>
          <w:shd w:val="clear" w:color="auto" w:fill="FFFFFF"/>
        </w:rPr>
        <w:t>（二）统筹两件大事：发展与安全。</w:t>
      </w:r>
      <w:r>
        <w:rPr>
          <w:rFonts w:hint="eastAsia" w:ascii="国标仿宋-GB/T 2312" w:hAnsi="国标仿宋-GB/T 2312" w:eastAsia="国标仿宋-GB/T 2312" w:cs="国标仿宋-GB/T 2312"/>
          <w:szCs w:val="32"/>
        </w:rPr>
        <w:t>统筹安全生产促发展，</w:t>
      </w:r>
      <w:r>
        <w:rPr>
          <w:rFonts w:hint="eastAsia" w:ascii="国标仿宋-GB/T 2312" w:hAnsi="国标仿宋-GB/T 2312" w:eastAsia="国标仿宋-GB/T 2312" w:cs="国标仿宋-GB/T 2312"/>
          <w:bCs/>
          <w:szCs w:val="32"/>
        </w:rPr>
        <w:t>持续推进商贸领域安全生产专项整治行动，强化隐患整改和督导检查，确保全区商贸领域安全生产持续稳定。（三）抓实三项重点：强招商、稳外贸、促消费。一是招商引资工作要持续发力，力争新亮点。坚持“引老乡回故乡建家乡”“存量变增量、龙头来牵头、上游引下游”招商工作思路，切实发挥以商招商作用，通过创新方式方法、激活乡贤资源、办好招商活动，紧盯“三类500强”企业、上市公司、总部企业等，推动产业集群、产业链、产业生态招商。二是贸易经济持续发展，力争新突破。深化外贸特色产业集群培育，抢抓外贸发展机遇，</w:t>
      </w:r>
      <w:r>
        <w:rPr>
          <w:rFonts w:hint="eastAsia" w:ascii="国标仿宋-GB/T 2312" w:hAnsi="国标仿宋-GB/T 2312" w:eastAsia="国标仿宋-GB/T 2312" w:cs="国标仿宋-GB/T 2312"/>
          <w:szCs w:val="32"/>
        </w:rPr>
        <w:t>加大外向型项目及外贸供应链平台项目的招引力度，进一步推进鲲鸿外贸供应链平台项目做大做强，积极引导区内传统企业拓展对外贸易方式，</w:t>
      </w:r>
      <w:r>
        <w:rPr>
          <w:rFonts w:hint="eastAsia" w:ascii="国标仿宋-GB/T 2312" w:hAnsi="国标仿宋-GB/T 2312" w:eastAsia="国标仿宋-GB/T 2312" w:cs="国标仿宋-GB/T 2312"/>
          <w:bCs/>
          <w:szCs w:val="32"/>
        </w:rPr>
        <w:t>鼓励区内外贸企业“走出去”，力争完成市里下达的加工贸易和对外投资任务。积极向上争取扶持政策，增强外贸补贴政策对生产型企业拓展外贸业务的激励作用，稳住订单，稳住生产，</w:t>
      </w:r>
      <w:r>
        <w:rPr>
          <w:rFonts w:hint="eastAsia" w:ascii="国标仿宋-GB/T 2312" w:hAnsi="国标仿宋-GB/T 2312" w:eastAsia="国标仿宋-GB/T 2312" w:cs="国标仿宋-GB/T 2312"/>
          <w:szCs w:val="32"/>
        </w:rPr>
        <w:t>力争2024年全区外贸实绩企业突破28家以上</w:t>
      </w:r>
      <w:r>
        <w:rPr>
          <w:rFonts w:hint="eastAsia" w:ascii="国标仿宋-GB/T 2312" w:hAnsi="国标仿宋-GB/T 2312" w:eastAsia="国标仿宋-GB/T 2312" w:cs="国标仿宋-GB/T 2312"/>
          <w:bCs/>
          <w:szCs w:val="32"/>
        </w:rPr>
        <w:t xml:space="preserve">。三是消费市场持续扩大，力争新提升。全面落实国家稳住经济大盘一揽子政策，持续深化“放管服”改革，优化营商环境激发市场活力。继续开展网上年货节、元宵喜乐会、美食文化旅游节等促消费系列节会活动，推动发展“线上引流+实体消费”。持续推广“一刻钟便民生活圈”建设工作，让群众生活更加便利。（四）强化四个支撑：党建引领、队伍建设、资金支持、依法行政。一是加强党的领导。认真学习宣传贯彻党的二十大精神，强化党对商务工作的全面领导，落实全面从严治党要求，以党建引领商务发展。二是加强队伍建设。坚持严管厚爱，激励担当作为，着力锻造政治坚定、业务精湛、精诚团结、活力迸发的商务干部队伍。三是做好立项争资。依托各类会节活动，积极争取省、市资金支持，提高资金使用绩效。四是坚持依法行政。落实行政决策程序规定和法律顾问制度，提升商务部门依法科学决策水平。 </w:t>
      </w:r>
    </w:p>
    <w:p w14:paraId="58ABC523">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szCs w:val="32"/>
        </w:rPr>
      </w:pPr>
      <w:r>
        <w:rPr>
          <w:rFonts w:hint="eastAsia" w:ascii="国标仿宋-GB/T 2312" w:hAnsi="国标仿宋-GB/T 2312" w:eastAsia="国标仿宋-GB/T 2312" w:cs="国标仿宋-GB/T 2312"/>
          <w:b/>
          <w:szCs w:val="32"/>
        </w:rPr>
        <w:t>（二）部门整体支出规模、使用方向、主要内容和涉及范围。</w:t>
      </w:r>
    </w:p>
    <w:p w14:paraId="7D47461D">
      <w:pPr>
        <w:keepNext w:val="0"/>
        <w:keepLines w:val="0"/>
        <w:pageBreakBefore w:val="0"/>
        <w:kinsoku/>
        <w:wordWrap/>
        <w:topLinePunct w:val="0"/>
        <w:autoSpaceDE/>
        <w:bidi w:val="0"/>
        <w:adjustRightInd/>
        <w:snapToGrid w:val="0"/>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rPr>
        <w:t>2024年年初预算收入 833.8万元，其中：一般公共预算经费拨款收入 553.8万元，其他资金安排280万元；预算支出 833.8万元，其中：基本支出 321.54万元，包括人员经费 288.9万元，商品和服务支出 32.64万元；项目支出 512.26万元，其中：按项目管理的工资福利支出84.93万元，按项目管理的商品和服务支出309.21万元，按项目管理的对个人和家庭的补助支出60.97万元，资本性支出8万元，对企业的补助49.15万元。</w:t>
      </w:r>
    </w:p>
    <w:p w14:paraId="79FD68F9">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color w:val="000000"/>
          <w:kern w:val="0"/>
          <w:szCs w:val="32"/>
        </w:rPr>
        <w:t>二、</w:t>
      </w:r>
      <w:r>
        <w:rPr>
          <w:rFonts w:hint="eastAsia" w:ascii="国标仿宋-GB/T 2312" w:hAnsi="国标仿宋-GB/T 2312" w:eastAsia="国标仿宋-GB/T 2312" w:cs="国标仿宋-GB/T 2312"/>
          <w:b/>
          <w:bCs/>
          <w:szCs w:val="32"/>
        </w:rPr>
        <w:t>一般公共预算支出情况</w:t>
      </w:r>
    </w:p>
    <w:p w14:paraId="35B9517C">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szCs w:val="32"/>
        </w:rPr>
      </w:pPr>
      <w:r>
        <w:rPr>
          <w:rFonts w:hint="eastAsia" w:ascii="国标仿宋-GB/T 2312" w:hAnsi="国标仿宋-GB/T 2312" w:eastAsia="国标仿宋-GB/T 2312" w:cs="国标仿宋-GB/T 2312"/>
          <w:b/>
          <w:szCs w:val="32"/>
        </w:rPr>
        <w:t>（一）基本支出情况</w:t>
      </w:r>
    </w:p>
    <w:p w14:paraId="3E89467D">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shd w:val="clear" w:color="auto" w:fill="FFFFFF"/>
        </w:rPr>
        <w:t>2024年度一般公共预算财政拨款基本支出</w:t>
      </w:r>
      <w:r>
        <w:rPr>
          <w:rFonts w:hint="eastAsia" w:ascii="国标仿宋-GB/T 2312" w:hAnsi="国标仿宋-GB/T 2312" w:eastAsia="国标仿宋-GB/T 2312" w:cs="国标仿宋-GB/T 2312"/>
          <w:szCs w:val="32"/>
        </w:rPr>
        <w:t>660.54</w:t>
      </w:r>
      <w:r>
        <w:rPr>
          <w:rFonts w:hint="eastAsia" w:ascii="国标仿宋-GB/T 2312" w:hAnsi="国标仿宋-GB/T 2312" w:eastAsia="国标仿宋-GB/T 2312" w:cs="国标仿宋-GB/T 2312"/>
          <w:szCs w:val="32"/>
          <w:shd w:val="clear" w:color="auto" w:fill="FFFFFF"/>
        </w:rPr>
        <w:t>万元，其中：人员经费602.34万元，主要包括：基本工资、津贴补贴、奖金、绩效工资、机关事业单位基本养老保险缴费、职工基本医疗保险缴费、公务员医疗补助缴费、其他社会保障缴费、住房公积金、医疗费、其他工资福利支出、离休费、退休费、抚恤金、生活补助、其他对个人和家庭的补助。公用经费58.2万元，主要包括：办公费、印刷费、物业管理费、工会经费、其他商品和服务支出。</w:t>
      </w:r>
    </w:p>
    <w:p w14:paraId="74DDB8A1">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szCs w:val="32"/>
        </w:rPr>
      </w:pPr>
      <w:r>
        <w:rPr>
          <w:rFonts w:hint="eastAsia" w:ascii="国标仿宋-GB/T 2312" w:hAnsi="国标仿宋-GB/T 2312" w:eastAsia="国标仿宋-GB/T 2312" w:cs="国标仿宋-GB/T 2312"/>
          <w:b/>
          <w:szCs w:val="32"/>
        </w:rPr>
        <w:t>(二）项目支出情况</w:t>
      </w:r>
    </w:p>
    <w:p w14:paraId="7B81A3EA">
      <w:pPr>
        <w:keepNext w:val="0"/>
        <w:keepLines w:val="0"/>
        <w:pageBreakBefore w:val="0"/>
        <w:widowControl/>
        <w:kinsoku/>
        <w:wordWrap/>
        <w:topLinePunct w:val="0"/>
        <w:autoSpaceDE/>
        <w:autoSpaceDN w:val="0"/>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rPr>
        <w:t>2024年本部门区级专项资金中年初预算232.26万元,主要情况如下：</w:t>
      </w:r>
    </w:p>
    <w:p w14:paraId="66D85247">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szCs w:val="32"/>
          <w:lang w:val="en-US" w:eastAsia="zh-CN"/>
        </w:rPr>
        <w:t>1、</w:t>
      </w:r>
      <w:r>
        <w:rPr>
          <w:rFonts w:hint="eastAsia" w:ascii="国标仿宋-GB/T 2312" w:hAnsi="国标仿宋-GB/T 2312" w:eastAsia="国标仿宋-GB/T 2312" w:cs="国标仿宋-GB/T 2312"/>
          <w:kern w:val="0"/>
          <w:szCs w:val="32"/>
        </w:rPr>
        <w:t>年初预算重大招商活动经费114万元和日常招商活动经费22.88，共计136.88万元，实际支出118.88万元，主要用于组织全区大型招商引资活动及组织协调以区名义开展的各类招商引资活动；提请区级领导参与的重大招商引资项目的接待、洽谈、联络及考察等活动；主要负责日常招商工作中，外来投资者的政策咨询、项目洽谈及相关对接工作；综合管理全区吸引外商投资和招商引资工作。决算数小于预算数的主要原因是节约了重大招商活动的开支。</w:t>
      </w:r>
    </w:p>
    <w:p w14:paraId="70A4170E">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kern w:val="0"/>
          <w:szCs w:val="32"/>
          <w:lang w:val="en-US" w:eastAsia="zh-CN"/>
        </w:rPr>
        <w:t>2、</w:t>
      </w:r>
      <w:r>
        <w:rPr>
          <w:rFonts w:hint="eastAsia" w:ascii="国标仿宋-GB/T 2312" w:hAnsi="国标仿宋-GB/T 2312" w:eastAsia="国标仿宋-GB/T 2312" w:cs="国标仿宋-GB/T 2312"/>
          <w:kern w:val="0"/>
          <w:szCs w:val="32"/>
        </w:rPr>
        <w:t>年初预算全程代理4.15万元，</w:t>
      </w:r>
      <w:r>
        <w:rPr>
          <w:rFonts w:hint="eastAsia" w:ascii="国标仿宋-GB/T 2312" w:hAnsi="国标仿宋-GB/T 2312" w:eastAsia="国标仿宋-GB/T 2312" w:cs="国标仿宋-GB/T 2312"/>
          <w:szCs w:val="32"/>
        </w:rPr>
        <w:t>实际支付</w:t>
      </w:r>
      <w:r>
        <w:rPr>
          <w:rFonts w:hint="eastAsia" w:ascii="国标仿宋-GB/T 2312" w:hAnsi="国标仿宋-GB/T 2312" w:eastAsia="国标仿宋-GB/T 2312" w:cs="国标仿宋-GB/T 2312"/>
          <w:kern w:val="0"/>
          <w:szCs w:val="32"/>
        </w:rPr>
        <w:t>4.15</w:t>
      </w:r>
      <w:r>
        <w:rPr>
          <w:rFonts w:hint="eastAsia" w:ascii="国标仿宋-GB/T 2312" w:hAnsi="国标仿宋-GB/T 2312" w:eastAsia="国标仿宋-GB/T 2312" w:cs="国标仿宋-GB/T 2312"/>
          <w:szCs w:val="32"/>
        </w:rPr>
        <w:t>万元。</w:t>
      </w:r>
      <w:r>
        <w:rPr>
          <w:rFonts w:hint="eastAsia" w:ascii="国标仿宋-GB/T 2312" w:hAnsi="国标仿宋-GB/T 2312" w:eastAsia="国标仿宋-GB/T 2312" w:cs="国标仿宋-GB/T 2312"/>
          <w:kern w:val="0"/>
          <w:szCs w:val="32"/>
        </w:rPr>
        <w:t>主要用于协调相关部门解决企业申报上级资金、员工子女入学、前期手续办理及政策兑现等有关具体问题的工作经费</w:t>
      </w:r>
      <w:r>
        <w:rPr>
          <w:rFonts w:hint="eastAsia" w:ascii="国标仿宋-GB/T 2312" w:hAnsi="国标仿宋-GB/T 2312" w:eastAsia="国标仿宋-GB/T 2312" w:cs="国标仿宋-GB/T 2312"/>
          <w:szCs w:val="32"/>
        </w:rPr>
        <w:t>。</w:t>
      </w:r>
    </w:p>
    <w:p w14:paraId="4FBFFADD">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lang w:val="en-US" w:eastAsia="zh-CN"/>
        </w:rPr>
        <w:t>3、</w:t>
      </w:r>
      <w:r>
        <w:rPr>
          <w:rFonts w:hint="eastAsia" w:ascii="国标仿宋-GB/T 2312" w:hAnsi="国标仿宋-GB/T 2312" w:eastAsia="国标仿宋-GB/T 2312" w:cs="国标仿宋-GB/T 2312"/>
          <w:szCs w:val="32"/>
        </w:rPr>
        <w:t>年初项目包装5.18万元，实际支付</w:t>
      </w:r>
      <w:r>
        <w:rPr>
          <w:rFonts w:hint="eastAsia" w:ascii="国标仿宋-GB/T 2312" w:hAnsi="国标仿宋-GB/T 2312" w:eastAsia="国标仿宋-GB/T 2312" w:cs="国标仿宋-GB/T 2312"/>
          <w:kern w:val="0"/>
          <w:szCs w:val="32"/>
        </w:rPr>
        <w:t>5.18</w:t>
      </w:r>
      <w:r>
        <w:rPr>
          <w:rFonts w:hint="eastAsia" w:ascii="国标仿宋-GB/T 2312" w:hAnsi="国标仿宋-GB/T 2312" w:eastAsia="国标仿宋-GB/T 2312" w:cs="国标仿宋-GB/T 2312"/>
          <w:szCs w:val="32"/>
        </w:rPr>
        <w:t>万元，主要用于招商项目的包装、推广开支。</w:t>
      </w:r>
    </w:p>
    <w:p w14:paraId="07FAD33F">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kern w:val="0"/>
          <w:szCs w:val="32"/>
          <w:lang w:val="en-US" w:eastAsia="zh-CN"/>
        </w:rPr>
        <w:t>4、</w:t>
      </w:r>
      <w:r>
        <w:rPr>
          <w:rFonts w:hint="eastAsia" w:ascii="国标仿宋-GB/T 2312" w:hAnsi="国标仿宋-GB/T 2312" w:eastAsia="国标仿宋-GB/T 2312" w:cs="国标仿宋-GB/T 2312"/>
          <w:kern w:val="0"/>
          <w:szCs w:val="32"/>
        </w:rPr>
        <w:t>年初预算农贸市场管理工作经费2.6万元，</w:t>
      </w:r>
      <w:r>
        <w:rPr>
          <w:rFonts w:hint="eastAsia" w:ascii="国标仿宋-GB/T 2312" w:hAnsi="国标仿宋-GB/T 2312" w:eastAsia="国标仿宋-GB/T 2312" w:cs="国标仿宋-GB/T 2312"/>
          <w:szCs w:val="32"/>
        </w:rPr>
        <w:t>实际支付</w:t>
      </w:r>
      <w:r>
        <w:rPr>
          <w:rFonts w:hint="eastAsia" w:ascii="国标仿宋-GB/T 2312" w:hAnsi="国标仿宋-GB/T 2312" w:eastAsia="国标仿宋-GB/T 2312" w:cs="国标仿宋-GB/T 2312"/>
          <w:kern w:val="0"/>
          <w:szCs w:val="32"/>
        </w:rPr>
        <w:t>2.6</w:t>
      </w:r>
      <w:r>
        <w:rPr>
          <w:rFonts w:hint="eastAsia" w:ascii="国标仿宋-GB/T 2312" w:hAnsi="国标仿宋-GB/T 2312" w:eastAsia="国标仿宋-GB/T 2312" w:cs="国标仿宋-GB/T 2312"/>
          <w:szCs w:val="32"/>
        </w:rPr>
        <w:t>万元，主要用于加强对农贸市场提质改造、新建工作的服务、指导与支持。</w:t>
      </w:r>
    </w:p>
    <w:p w14:paraId="3F4D7CB0">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lang w:val="en-US" w:eastAsia="zh-CN"/>
        </w:rPr>
        <w:t>5、</w:t>
      </w:r>
      <w:r>
        <w:rPr>
          <w:rFonts w:hint="eastAsia" w:ascii="国标仿宋-GB/T 2312" w:hAnsi="国标仿宋-GB/T 2312" w:eastAsia="国标仿宋-GB/T 2312" w:cs="国标仿宋-GB/T 2312"/>
          <w:szCs w:val="32"/>
        </w:rPr>
        <w:t>年初预算外资企业管理1.15万元，实际支付</w:t>
      </w:r>
      <w:r>
        <w:rPr>
          <w:rFonts w:hint="eastAsia" w:ascii="国标仿宋-GB/T 2312" w:hAnsi="国标仿宋-GB/T 2312" w:eastAsia="国标仿宋-GB/T 2312" w:cs="国标仿宋-GB/T 2312"/>
          <w:kern w:val="0"/>
          <w:szCs w:val="32"/>
        </w:rPr>
        <w:t>1.1</w:t>
      </w:r>
      <w:r>
        <w:rPr>
          <w:rFonts w:hint="eastAsia" w:ascii="国标仿宋-GB/T 2312" w:hAnsi="国标仿宋-GB/T 2312" w:eastAsia="国标仿宋-GB/T 2312" w:cs="国标仿宋-GB/T 2312"/>
          <w:szCs w:val="32"/>
        </w:rPr>
        <w:t>万元。主要用于外来投资企业协会的工作经费。</w:t>
      </w:r>
    </w:p>
    <w:p w14:paraId="5D95C2CF">
      <w:pPr>
        <w:keepNext w:val="0"/>
        <w:keepLines w:val="0"/>
        <w:pageBreakBefore w:val="0"/>
        <w:widowControl/>
        <w:shd w:val="clear" w:color="auto" w:fill="FFFFFF"/>
        <w:kinsoku/>
        <w:wordWrap/>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highlight w:val="yellow"/>
        </w:rPr>
      </w:pPr>
      <w:r>
        <w:rPr>
          <w:rFonts w:hint="eastAsia" w:ascii="国标仿宋-GB/T 2312" w:hAnsi="国标仿宋-GB/T 2312" w:eastAsia="国标仿宋-GB/T 2312" w:cs="国标仿宋-GB/T 2312"/>
          <w:kern w:val="0"/>
          <w:szCs w:val="32"/>
          <w:lang w:val="en-US" w:eastAsia="zh-CN"/>
        </w:rPr>
        <w:t>6、</w:t>
      </w:r>
      <w:r>
        <w:rPr>
          <w:rFonts w:hint="eastAsia" w:ascii="国标仿宋-GB/T 2312" w:hAnsi="国标仿宋-GB/T 2312" w:eastAsia="国标仿宋-GB/T 2312" w:cs="国标仿宋-GB/T 2312"/>
          <w:kern w:val="0"/>
          <w:szCs w:val="32"/>
        </w:rPr>
        <w:t>年初预算离退休人员工作经费年初预算45.67万元，</w:t>
      </w:r>
      <w:r>
        <w:rPr>
          <w:rFonts w:hint="eastAsia" w:ascii="国标仿宋-GB/T 2312" w:hAnsi="国标仿宋-GB/T 2312" w:eastAsia="国标仿宋-GB/T 2312" w:cs="国标仿宋-GB/T 2312"/>
          <w:szCs w:val="32"/>
        </w:rPr>
        <w:t>实际支付</w:t>
      </w:r>
      <w:r>
        <w:rPr>
          <w:rFonts w:hint="eastAsia" w:ascii="国标仿宋-GB/T 2312" w:hAnsi="国标仿宋-GB/T 2312" w:eastAsia="国标仿宋-GB/T 2312" w:cs="国标仿宋-GB/T 2312"/>
          <w:kern w:val="0"/>
          <w:szCs w:val="32"/>
        </w:rPr>
        <w:t>45.67</w:t>
      </w:r>
      <w:r>
        <w:rPr>
          <w:rFonts w:hint="eastAsia" w:ascii="国标仿宋-GB/T 2312" w:hAnsi="国标仿宋-GB/T 2312" w:eastAsia="国标仿宋-GB/T 2312" w:cs="国标仿宋-GB/T 2312"/>
          <w:szCs w:val="32"/>
        </w:rPr>
        <w:t>万元。</w:t>
      </w:r>
      <w:r>
        <w:rPr>
          <w:rFonts w:hint="eastAsia" w:ascii="国标仿宋-GB/T 2312" w:hAnsi="国标仿宋-GB/T 2312" w:eastAsia="国标仿宋-GB/T 2312" w:cs="国标仿宋-GB/T 2312"/>
          <w:kern w:val="0"/>
          <w:szCs w:val="32"/>
        </w:rPr>
        <w:t>主要用于发放离退休人员的传统节日慰问；生日慰问、探病探忧、健康体检、离退休人员老年活动经费；离退休人员参加老科协团体会费、老干局会费；征定发放老年人杂志；离退休支部党建活动经费及离退休支部书记工作补助；弥补退休人员独生子女父母奖励缺口及医保大病医疗缺口等。列入基本支出开支</w:t>
      </w:r>
      <w:r>
        <w:rPr>
          <w:rFonts w:hint="eastAsia" w:ascii="国标仿宋-GB/T 2312" w:hAnsi="国标仿宋-GB/T 2312" w:eastAsia="国标仿宋-GB/T 2312" w:cs="国标仿宋-GB/T 2312"/>
          <w:szCs w:val="32"/>
        </w:rPr>
        <w:t>。</w:t>
      </w:r>
    </w:p>
    <w:p w14:paraId="59749CF4">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kern w:val="0"/>
          <w:szCs w:val="32"/>
          <w:lang w:val="en-US" w:eastAsia="zh-CN"/>
        </w:rPr>
        <w:t>7、</w:t>
      </w:r>
      <w:r>
        <w:rPr>
          <w:rFonts w:hint="eastAsia" w:ascii="国标仿宋-GB/T 2312" w:hAnsi="国标仿宋-GB/T 2312" w:eastAsia="国标仿宋-GB/T 2312" w:cs="国标仿宋-GB/T 2312"/>
          <w:kern w:val="0"/>
          <w:szCs w:val="32"/>
        </w:rPr>
        <w:t>年初预算维稳工作经费3.63万元，</w:t>
      </w:r>
      <w:r>
        <w:rPr>
          <w:rFonts w:hint="eastAsia" w:ascii="国标仿宋-GB/T 2312" w:hAnsi="国标仿宋-GB/T 2312" w:eastAsia="国标仿宋-GB/T 2312" w:cs="国标仿宋-GB/T 2312"/>
          <w:szCs w:val="32"/>
        </w:rPr>
        <w:t>实际支付</w:t>
      </w:r>
      <w:r>
        <w:rPr>
          <w:rFonts w:hint="eastAsia" w:ascii="国标仿宋-GB/T 2312" w:hAnsi="国标仿宋-GB/T 2312" w:eastAsia="国标仿宋-GB/T 2312" w:cs="国标仿宋-GB/T 2312"/>
          <w:kern w:val="0"/>
          <w:szCs w:val="32"/>
        </w:rPr>
        <w:t>3.63</w:t>
      </w:r>
      <w:r>
        <w:rPr>
          <w:rFonts w:hint="eastAsia" w:ascii="国标仿宋-GB/T 2312" w:hAnsi="国标仿宋-GB/T 2312" w:eastAsia="国标仿宋-GB/T 2312" w:cs="国标仿宋-GB/T 2312"/>
          <w:szCs w:val="32"/>
        </w:rPr>
        <w:t>万元，</w:t>
      </w:r>
      <w:r>
        <w:rPr>
          <w:rFonts w:hint="eastAsia" w:ascii="国标仿宋-GB/T 2312" w:hAnsi="国标仿宋-GB/T 2312" w:eastAsia="国标仿宋-GB/T 2312" w:cs="国标仿宋-GB/T 2312"/>
          <w:kern w:val="0"/>
          <w:szCs w:val="32"/>
        </w:rPr>
        <w:t>主要用于解决企业遗留问题方面的经费</w:t>
      </w:r>
      <w:r>
        <w:rPr>
          <w:rFonts w:hint="eastAsia" w:ascii="国标仿宋-GB/T 2312" w:hAnsi="国标仿宋-GB/T 2312" w:eastAsia="国标仿宋-GB/T 2312" w:cs="国标仿宋-GB/T 2312"/>
          <w:szCs w:val="32"/>
        </w:rPr>
        <w:t>，</w:t>
      </w:r>
      <w:r>
        <w:rPr>
          <w:rFonts w:hint="eastAsia" w:ascii="国标仿宋-GB/T 2312" w:hAnsi="国标仿宋-GB/T 2312" w:eastAsia="国标仿宋-GB/T 2312" w:cs="国标仿宋-GB/T 2312"/>
          <w:kern w:val="0"/>
          <w:szCs w:val="32"/>
        </w:rPr>
        <w:t>列入基本支出日常公用经费开支。</w:t>
      </w:r>
    </w:p>
    <w:p w14:paraId="397DCABF">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bCs/>
          <w:color w:val="000000"/>
          <w:kern w:val="0"/>
          <w:szCs w:val="32"/>
        </w:rPr>
      </w:pPr>
      <w:r>
        <w:rPr>
          <w:rFonts w:hint="eastAsia" w:ascii="国标仿宋-GB/T 2312" w:hAnsi="国标仿宋-GB/T 2312" w:eastAsia="国标仿宋-GB/T 2312" w:cs="国标仿宋-GB/T 2312"/>
          <w:b/>
          <w:bCs/>
          <w:color w:val="000000"/>
          <w:kern w:val="0"/>
          <w:szCs w:val="32"/>
        </w:rPr>
        <w:t>三、部门整体支出绩效情况</w:t>
      </w:r>
    </w:p>
    <w:p w14:paraId="1A07AFA2">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szCs w:val="32"/>
        </w:rPr>
      </w:pPr>
      <w:r>
        <w:rPr>
          <w:rFonts w:hint="eastAsia" w:ascii="国标仿宋-GB/T 2312" w:hAnsi="国标仿宋-GB/T 2312" w:eastAsia="国标仿宋-GB/T 2312" w:cs="国标仿宋-GB/T 2312"/>
          <w:b/>
          <w:szCs w:val="32"/>
        </w:rPr>
        <w:t>（一）本部门预算支出的绩效目标完成情况，实现产出和取得效益的情况</w:t>
      </w:r>
    </w:p>
    <w:p w14:paraId="16E984FC">
      <w:pPr>
        <w:keepNext w:val="0"/>
        <w:keepLines w:val="0"/>
        <w:pageBreakBefore w:val="0"/>
        <w:kinsoku/>
        <w:wordWrap/>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kern w:val="0"/>
          <w:szCs w:val="32"/>
        </w:rPr>
        <w:t>依托“政策+活动”双轮驱动，积极推进以旧换新政策落地，精细办好系列消费促进活动，大力培育消费新业态、新场景，充分满足老百姓多样化的消费需求，1-12月，全区完成社会消费品零售总额94.48亿元，同比增长5.9%。</w:t>
      </w:r>
    </w:p>
    <w:p w14:paraId="234411E8">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kern w:val="0"/>
          <w:szCs w:val="32"/>
        </w:rPr>
        <w:t>消费品以旧换新落实落地。</w:t>
      </w:r>
      <w:r>
        <w:rPr>
          <w:rFonts w:hint="eastAsia" w:ascii="国标仿宋-GB/T 2312" w:hAnsi="国标仿宋-GB/T 2312" w:eastAsia="国标仿宋-GB/T 2312" w:cs="国标仿宋-GB/T 2312"/>
          <w:kern w:val="0"/>
          <w:szCs w:val="32"/>
        </w:rPr>
        <w:t>根据省商务厅和市商务局安排部署，统筹推动汽车换“能”、家电换“智”、家装厨卫“焕新”，</w:t>
      </w:r>
      <w:r>
        <w:rPr>
          <w:rFonts w:hint="eastAsia" w:ascii="国标仿宋-GB/T 2312" w:hAnsi="国标仿宋-GB/T 2312" w:eastAsia="国标仿宋-GB/T 2312" w:cs="国标仿宋-GB/T 2312"/>
          <w:szCs w:val="32"/>
        </w:rPr>
        <w:t>共计组织家电企业23家，家装厨卫企业11家，汽车销售企业4家参加以旧换新活动。通过政策落地和活动开展，全区家电企业实现营业额9800万元，同比增长38.5%；家装厨卫企业实现营业额4600万元，同比增长32.6%；汽车报废更新12台，以旧换新18台，销售总金额260万元，同比增长21.3%。</w:t>
      </w:r>
    </w:p>
    <w:p w14:paraId="59F308B0">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kern w:val="0"/>
          <w:szCs w:val="32"/>
        </w:rPr>
        <w:t>节会促销活动有声有色。</w:t>
      </w:r>
      <w:r>
        <w:rPr>
          <w:rFonts w:hint="eastAsia" w:ascii="国标仿宋-GB/T 2312" w:hAnsi="国标仿宋-GB/T 2312" w:eastAsia="国标仿宋-GB/T 2312" w:cs="国标仿宋-GB/T 2312"/>
          <w:kern w:val="0"/>
          <w:szCs w:val="32"/>
        </w:rPr>
        <w:t>组织</w:t>
      </w:r>
      <w:r>
        <w:rPr>
          <w:rFonts w:hint="eastAsia" w:ascii="国标仿宋-GB/T 2312" w:hAnsi="国标仿宋-GB/T 2312" w:eastAsia="国标仿宋-GB/T 2312" w:cs="国标仿宋-GB/T 2312"/>
          <w:szCs w:val="32"/>
        </w:rPr>
        <w:t>制定了《资阳区2024年消费促进工作实施方案》《资阳区把消费做热三年行动计划（2024—2026）》等一系列消费促进工作方案，利用元旦、春节、端午、十一等重要节日节点，开展</w:t>
      </w:r>
      <w:r>
        <w:rPr>
          <w:rFonts w:hint="eastAsia" w:ascii="国标仿宋-GB/T 2312" w:hAnsi="国标仿宋-GB/T 2312" w:eastAsia="国标仿宋-GB/T 2312" w:cs="国标仿宋-GB/T 2312"/>
          <w:bCs/>
          <w:szCs w:val="32"/>
        </w:rPr>
        <w:t>“龙行龘龘 欣欣资阳”新春百乐汇、“千年银城益阳、烟火明清古巷”美食文化旅游购物等消费促进活动10余场，</w:t>
      </w:r>
      <w:r>
        <w:rPr>
          <w:rFonts w:hint="eastAsia" w:ascii="国标仿宋-GB/T 2312" w:hAnsi="国标仿宋-GB/T 2312" w:eastAsia="国标仿宋-GB/T 2312" w:cs="国标仿宋-GB/T 2312"/>
          <w:kern w:val="0"/>
          <w:szCs w:val="32"/>
        </w:rPr>
        <w:t>共计拉动全区消费1.2亿元</w:t>
      </w:r>
      <w:r>
        <w:rPr>
          <w:rFonts w:hint="eastAsia" w:ascii="国标仿宋-GB/T 2312" w:hAnsi="国标仿宋-GB/T 2312" w:eastAsia="国标仿宋-GB/T 2312" w:cs="国标仿宋-GB/T 2312"/>
          <w:bCs/>
          <w:szCs w:val="32"/>
        </w:rPr>
        <w:t>。</w:t>
      </w:r>
      <w:r>
        <w:rPr>
          <w:rFonts w:hint="eastAsia" w:ascii="国标仿宋-GB/T 2312" w:hAnsi="国标仿宋-GB/T 2312" w:eastAsia="国标仿宋-GB/T 2312" w:cs="国标仿宋-GB/T 2312"/>
          <w:szCs w:val="32"/>
        </w:rPr>
        <w:t>湖南省实施激发需求行动工作专报第6期、湖南省“八大行动”工作月报5月刊重点推介我区激发需求工作经验。</w:t>
      </w:r>
    </w:p>
    <w:p w14:paraId="7687E5DA">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szCs w:val="32"/>
        </w:rPr>
        <w:t>商贸流通体系不断完善。</w:t>
      </w:r>
      <w:r>
        <w:rPr>
          <w:rFonts w:hint="eastAsia" w:ascii="国标仿宋-GB/T 2312" w:hAnsi="国标仿宋-GB/T 2312" w:eastAsia="国标仿宋-GB/T 2312" w:cs="国标仿宋-GB/T 2312"/>
          <w:bCs/>
          <w:szCs w:val="32"/>
        </w:rPr>
        <w:t>高标准打造商贸流通项目，</w:t>
      </w:r>
      <w:r>
        <w:rPr>
          <w:rFonts w:hint="eastAsia" w:ascii="国标仿宋-GB/T 2312" w:hAnsi="国标仿宋-GB/T 2312" w:eastAsia="国标仿宋-GB/T 2312" w:cs="国标仿宋-GB/T 2312"/>
          <w:szCs w:val="32"/>
        </w:rPr>
        <w:t>全年立项争资到位资金1575.02万元，其中竞争性资金1535.02万元，完成年度目标任务197%。5个重点商贸项目通过省商务厅验收，预计获得资金240万元。</w:t>
      </w:r>
      <w:r>
        <w:rPr>
          <w:rFonts w:hint="eastAsia" w:ascii="国标仿宋-GB/T 2312" w:hAnsi="国标仿宋-GB/T 2312" w:eastAsia="国标仿宋-GB/T 2312" w:cs="国标仿宋-GB/T 2312"/>
          <w:color w:val="000000"/>
          <w:szCs w:val="32"/>
          <w:shd w:val="clear" w:color="auto" w:fill="FFFFFF"/>
        </w:rPr>
        <w:t>全面</w:t>
      </w:r>
      <w:r>
        <w:rPr>
          <w:rFonts w:hint="eastAsia" w:ascii="国标仿宋-GB/T 2312" w:hAnsi="国标仿宋-GB/T 2312" w:eastAsia="国标仿宋-GB/T 2312" w:cs="国标仿宋-GB/T 2312"/>
          <w:szCs w:val="32"/>
        </w:rPr>
        <w:t>深入推进乡镇农贸市场建设，张家塞乡农贸市场和迎风桥镇上游农贸市场已完成提质改造，长春镇、沙头镇2个乡镇的农贸市场项目正在建设中。《盘活旧城存量设施 打造资阳智慧商圈——湖南省益阳市资阳区零售商业设施提质改造经验》已作为典型案例报送至商务部。</w:t>
      </w:r>
    </w:p>
    <w:p w14:paraId="0A64126E">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b/>
          <w:bCs/>
          <w:szCs w:val="32"/>
        </w:rPr>
        <w:t>消费新业态不断涌现。</w:t>
      </w:r>
      <w:r>
        <w:rPr>
          <w:rFonts w:hint="eastAsia" w:ascii="国标仿宋-GB/T 2312" w:hAnsi="国标仿宋-GB/T 2312" w:eastAsia="国标仿宋-GB/T 2312" w:cs="国标仿宋-GB/T 2312"/>
          <w:szCs w:val="32"/>
        </w:rPr>
        <w:t>网络直播、线上线下融合的新零售等电子商务的新模式、新业态加速发展，</w:t>
      </w:r>
      <w:r>
        <w:rPr>
          <w:rFonts w:hint="eastAsia" w:ascii="国标仿宋-GB/T 2312" w:hAnsi="国标仿宋-GB/T 2312" w:eastAsia="国标仿宋-GB/T 2312" w:cs="国标仿宋-GB/T 2312"/>
          <w:kern w:val="0"/>
          <w:szCs w:val="32"/>
        </w:rPr>
        <w:t>2024年资阳区电商直播大赛成功举办。卤师兄食品入围东方甄选湖南行直播带货专场，单场带货金额达250万元以上。金花坪社区和建新里社区成功获评湖南省第二批“品质型、提升型、基础型”一刻钟便民生活圈。积极推动夜经济发展，明清古巷获评第二批省级夜经济文旅消费集聚区。</w:t>
      </w:r>
    </w:p>
    <w:p w14:paraId="73C6488C">
      <w:pPr>
        <w:keepNext w:val="0"/>
        <w:keepLines w:val="0"/>
        <w:pageBreakBefore w:val="0"/>
        <w:kinsoku/>
        <w:wordWrap/>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kern w:val="0"/>
          <w:szCs w:val="32"/>
        </w:rPr>
        <w:t xml:space="preserve">我们坚持以高水平对外开放拓展高质量发展空间，持续巩固外贸基本盘，全力拓展国际市场，推动外贸实现质量齐升。1-11月，全区完成进出口总额约27.31亿元，同比增长26.7%，高于全省平均增速35.2个百分点，超额完成省、市下达的外贸进出口年度任务. </w:t>
      </w:r>
    </w:p>
    <w:p w14:paraId="6A4F1204">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kern w:val="0"/>
          <w:szCs w:val="32"/>
        </w:rPr>
        <w:t>外贸型产业集群不断壮大。</w:t>
      </w:r>
      <w:r>
        <w:rPr>
          <w:rFonts w:hint="eastAsia" w:ascii="国标仿宋-GB/T 2312" w:hAnsi="国标仿宋-GB/T 2312" w:eastAsia="国标仿宋-GB/T 2312" w:cs="国标仿宋-GB/T 2312"/>
          <w:kern w:val="0"/>
          <w:szCs w:val="32"/>
        </w:rPr>
        <w:t>重点扶持PCB、新材料等外贸主导产业发展，用足用好</w:t>
      </w:r>
      <w:r>
        <w:rPr>
          <w:rFonts w:hint="eastAsia" w:ascii="国标仿宋-GB/T 2312" w:hAnsi="国标仿宋-GB/T 2312" w:eastAsia="国标仿宋-GB/T 2312" w:cs="国标仿宋-GB/T 2312"/>
          <w:color w:val="000000"/>
          <w:kern w:val="0"/>
          <w:szCs w:val="32"/>
          <w:shd w:val="clear" w:color="auto" w:fill="FFFFFF"/>
        </w:rPr>
        <w:t>国家级</w:t>
      </w:r>
      <w:r>
        <w:rPr>
          <w:rFonts w:hint="eastAsia" w:ascii="国标仿宋-GB/T 2312" w:hAnsi="国标仿宋-GB/T 2312" w:eastAsia="国标仿宋-GB/T 2312" w:cs="国标仿宋-GB/T 2312"/>
          <w:kern w:val="0"/>
          <w:szCs w:val="32"/>
        </w:rPr>
        <w:t>、</w:t>
      </w:r>
      <w:r>
        <w:rPr>
          <w:rFonts w:hint="eastAsia" w:ascii="国标仿宋-GB/T 2312" w:hAnsi="国标仿宋-GB/T 2312" w:eastAsia="国标仿宋-GB/T 2312" w:cs="国标仿宋-GB/T 2312"/>
          <w:color w:val="000000"/>
          <w:kern w:val="0"/>
          <w:szCs w:val="32"/>
          <w:shd w:val="clear" w:color="auto" w:fill="FFFFFF"/>
        </w:rPr>
        <w:t>省级</w:t>
      </w:r>
      <w:r>
        <w:rPr>
          <w:rFonts w:hint="eastAsia" w:ascii="国标仿宋-GB/T 2312" w:hAnsi="国标仿宋-GB/T 2312" w:eastAsia="国标仿宋-GB/T 2312" w:cs="国标仿宋-GB/T 2312"/>
          <w:kern w:val="0"/>
          <w:szCs w:val="32"/>
        </w:rPr>
        <w:t>商务发展专项资金，组织</w:t>
      </w:r>
      <w:r>
        <w:rPr>
          <w:rFonts w:hint="eastAsia" w:ascii="国标仿宋-GB/T 2312" w:hAnsi="国标仿宋-GB/T 2312" w:eastAsia="国标仿宋-GB/T 2312" w:cs="国标仿宋-GB/T 2312"/>
          <w:szCs w:val="32"/>
        </w:rPr>
        <w:t>14家外贸企业申报中央外经贸发展资金、</w:t>
      </w:r>
      <w:r>
        <w:rPr>
          <w:rFonts w:hint="eastAsia" w:ascii="国标仿宋-GB/T 2312" w:hAnsi="国标仿宋-GB/T 2312" w:eastAsia="国标仿宋-GB/T 2312" w:cs="国标仿宋-GB/T 2312"/>
          <w:color w:val="000000"/>
          <w:szCs w:val="32"/>
          <w:shd w:val="clear" w:color="auto" w:fill="FFFFFF"/>
        </w:rPr>
        <w:t>省级</w:t>
      </w:r>
      <w:r>
        <w:rPr>
          <w:rFonts w:hint="eastAsia" w:ascii="国标仿宋-GB/T 2312" w:hAnsi="国标仿宋-GB/T 2312" w:eastAsia="国标仿宋-GB/T 2312" w:cs="国标仿宋-GB/T 2312"/>
          <w:szCs w:val="32"/>
        </w:rPr>
        <w:t>外贸促进资金合计204.8万元。积极扩大对外投资，引导区内企业在外建厂，大力推进产贸融合，预计</w:t>
      </w:r>
      <w:r>
        <w:rPr>
          <w:rFonts w:hint="eastAsia" w:ascii="国标仿宋-GB/T 2312" w:hAnsi="国标仿宋-GB/T 2312" w:eastAsia="国标仿宋-GB/T 2312" w:cs="国标仿宋-GB/T 2312"/>
          <w:kern w:val="0"/>
          <w:szCs w:val="32"/>
        </w:rPr>
        <w:t>全年完成对外投资总额约4500余万美元。</w:t>
      </w:r>
      <w:r>
        <w:rPr>
          <w:rFonts w:hint="eastAsia" w:ascii="国标仿宋-GB/T 2312" w:hAnsi="国标仿宋-GB/T 2312" w:eastAsia="国标仿宋-GB/T 2312" w:cs="国标仿宋-GB/T 2312"/>
          <w:szCs w:val="32"/>
        </w:rPr>
        <w:t>依托长春经开区</w:t>
      </w:r>
      <w:r>
        <w:rPr>
          <w:rFonts w:hint="eastAsia" w:ascii="国标仿宋-GB/T 2312" w:hAnsi="国标仿宋-GB/T 2312" w:eastAsia="国标仿宋-GB/T 2312" w:cs="国标仿宋-GB/T 2312"/>
          <w:color w:val="000000"/>
          <w:szCs w:val="32"/>
          <w:shd w:val="clear" w:color="auto" w:fill="FFFFFF"/>
        </w:rPr>
        <w:t>“国家级</w:t>
      </w:r>
      <w:r>
        <w:rPr>
          <w:rFonts w:hint="eastAsia" w:ascii="国标仿宋-GB/T 2312" w:hAnsi="国标仿宋-GB/T 2312" w:eastAsia="国标仿宋-GB/T 2312" w:cs="国标仿宋-GB/T 2312"/>
          <w:szCs w:val="32"/>
        </w:rPr>
        <w:t>外贸转型升级基地（电子元件）</w:t>
      </w:r>
      <w:r>
        <w:rPr>
          <w:rFonts w:hint="eastAsia" w:ascii="国标仿宋-GB/T 2312" w:hAnsi="国标仿宋-GB/T 2312" w:eastAsia="国标仿宋-GB/T 2312" w:cs="国标仿宋-GB/T 2312"/>
          <w:color w:val="000000"/>
          <w:szCs w:val="32"/>
          <w:shd w:val="clear" w:color="auto" w:fill="FFFFFF"/>
        </w:rPr>
        <w:t>”</w:t>
      </w:r>
      <w:r>
        <w:rPr>
          <w:rFonts w:hint="eastAsia" w:ascii="国标仿宋-GB/T 2312" w:hAnsi="国标仿宋-GB/T 2312" w:eastAsia="国标仿宋-GB/T 2312" w:cs="国标仿宋-GB/T 2312"/>
          <w:szCs w:val="32"/>
        </w:rPr>
        <w:t>，着力打造外贸综合发展服务平台，不断推进外贸</w:t>
      </w:r>
      <w:r>
        <w:rPr>
          <w:rFonts w:hint="eastAsia" w:ascii="国标仿宋-GB/T 2312" w:hAnsi="国标仿宋-GB/T 2312" w:eastAsia="国标仿宋-GB/T 2312" w:cs="国标仿宋-GB/T 2312"/>
          <w:color w:val="000000"/>
          <w:szCs w:val="32"/>
          <w:shd w:val="clear" w:color="auto" w:fill="FFFFFF"/>
        </w:rPr>
        <w:t>“</w:t>
      </w:r>
      <w:r>
        <w:rPr>
          <w:rFonts w:hint="eastAsia" w:ascii="国标仿宋-GB/T 2312" w:hAnsi="国标仿宋-GB/T 2312" w:eastAsia="国标仿宋-GB/T 2312" w:cs="国标仿宋-GB/T 2312"/>
          <w:szCs w:val="32"/>
        </w:rPr>
        <w:t>一库四清单</w:t>
      </w:r>
      <w:r>
        <w:rPr>
          <w:rFonts w:hint="eastAsia" w:ascii="国标仿宋-GB/T 2312" w:hAnsi="国标仿宋-GB/T 2312" w:eastAsia="国标仿宋-GB/T 2312" w:cs="国标仿宋-GB/T 2312"/>
          <w:color w:val="000000"/>
          <w:szCs w:val="32"/>
          <w:shd w:val="clear" w:color="auto" w:fill="FFFFFF"/>
        </w:rPr>
        <w:t>”</w:t>
      </w:r>
      <w:r>
        <w:rPr>
          <w:rFonts w:hint="eastAsia" w:ascii="国标仿宋-GB/T 2312" w:hAnsi="国标仿宋-GB/T 2312" w:eastAsia="国标仿宋-GB/T 2312" w:cs="国标仿宋-GB/T 2312"/>
          <w:szCs w:val="32"/>
        </w:rPr>
        <w:t>工作。</w:t>
      </w:r>
    </w:p>
    <w:p w14:paraId="343F447C">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跨境贸易新业态加速发展。</w:t>
      </w:r>
      <w:r>
        <w:rPr>
          <w:rFonts w:hint="eastAsia" w:ascii="国标仿宋-GB/T 2312" w:hAnsi="国标仿宋-GB/T 2312" w:eastAsia="国标仿宋-GB/T 2312" w:cs="国标仿宋-GB/T 2312"/>
          <w:szCs w:val="32"/>
        </w:rPr>
        <w:t>积极发展跨境电商，对接大龙网、深圳市联和美慧实业有限公司、深圳市莱美斯进出口有限公司等，引进商贸服务企业入驻长春经开区，打造跨境电商产业园。大力培育外贸供应链平台项目，鲲鸿外贸供应链，已完成进口清关1.6亿元人民币。紧跟上级部门对非经贸工作新思路，学习新经验，大力宣传对非易货贸易、公共海外仓、产工贸一体化等创新模式，预计全年我区完成对非贸易总额约3亿元。</w:t>
      </w:r>
    </w:p>
    <w:p w14:paraId="3FBA8716">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外贸服务水平持续提高。</w:t>
      </w:r>
      <w:r>
        <w:rPr>
          <w:rFonts w:hint="eastAsia" w:ascii="国标仿宋-GB/T 2312" w:hAnsi="国标仿宋-GB/T 2312" w:eastAsia="国标仿宋-GB/T 2312" w:cs="国标仿宋-GB/T 2312"/>
          <w:bCs/>
          <w:szCs w:val="32"/>
        </w:rPr>
        <w:t>开展外贸调研，</w:t>
      </w:r>
      <w:r>
        <w:rPr>
          <w:rFonts w:hint="eastAsia" w:ascii="国标仿宋-GB/T 2312" w:hAnsi="国标仿宋-GB/T 2312" w:eastAsia="国标仿宋-GB/T 2312" w:cs="国标仿宋-GB/T 2312"/>
          <w:szCs w:val="32"/>
        </w:rPr>
        <w:t>摸底我区外贸情况，积极为具备外贸潜力的企业提供政策咨询、手续办理、人才培训等服务，已有8家企业成功实现外贸“破零”。组织奥士康、科鑫泰等区内外贸企业参加商务部外贸司、省商务厅、市商务局开展的外贸业务和跨境电商培训会。对外加强对接各类平台、展会、商协会，</w:t>
      </w:r>
      <w:r>
        <w:rPr>
          <w:rFonts w:hint="eastAsia" w:ascii="国标仿宋-GB/T 2312" w:hAnsi="国标仿宋-GB/T 2312" w:eastAsia="国标仿宋-GB/T 2312" w:cs="国标仿宋-GB/T 2312"/>
          <w:kern w:val="0"/>
          <w:szCs w:val="32"/>
        </w:rPr>
        <w:t>组织</w:t>
      </w:r>
      <w:r>
        <w:rPr>
          <w:rFonts w:hint="eastAsia" w:ascii="国标仿宋-GB/T 2312" w:hAnsi="国标仿宋-GB/T 2312" w:eastAsia="国标仿宋-GB/T 2312" w:cs="国标仿宋-GB/T 2312"/>
          <w:szCs w:val="32"/>
        </w:rPr>
        <w:t>宇晶机器、诺泽生物、生力材料等各类企业参加境内外展会，鼓励企业拓展市场争订单。《资阳区：“三位一体”推动外贸快速增长》被市级作为重点亮点推介。</w:t>
      </w:r>
    </w:p>
    <w:p w14:paraId="5790E847">
      <w:pPr>
        <w:keepNext w:val="0"/>
        <w:keepLines w:val="0"/>
        <w:pageBreakBefore w:val="0"/>
        <w:widowControl/>
        <w:kinsoku/>
        <w:wordWrap/>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bCs/>
          <w:szCs w:val="32"/>
          <w:shd w:val="clear" w:color="auto" w:fill="FFFFFF"/>
        </w:rPr>
      </w:pPr>
      <w:r>
        <w:rPr>
          <w:rFonts w:hint="eastAsia" w:ascii="国标仿宋-GB/T 2312" w:hAnsi="国标仿宋-GB/T 2312" w:eastAsia="国标仿宋-GB/T 2312" w:cs="国标仿宋-GB/T 2312"/>
          <w:kern w:val="0"/>
          <w:szCs w:val="32"/>
        </w:rPr>
        <w:t>我们坚持“隐患即事故”，深入贯彻落实习近平总书记关于安全生产的重要论述，按照“三管三必须”的要求，全面贯彻落实安全生产治本攻坚三年行动方案，践行“两个至上”，围绕“两个根本”，维护商贸领域安全生产形势持续稳定。</w:t>
      </w:r>
      <w:r>
        <w:rPr>
          <w:rFonts w:hint="eastAsia" w:ascii="国标仿宋-GB/T 2312" w:hAnsi="国标仿宋-GB/T 2312" w:eastAsia="国标仿宋-GB/T 2312" w:cs="国标仿宋-GB/T 2312"/>
          <w:szCs w:val="32"/>
        </w:rPr>
        <w:t>主要领导亲自部署、靠前指挥，强化商贸安全监管职能，组织召开安全工作会议，统筹事前、事中、事后监管环节，补齐行业安全发展短板。围绕安全生产工作主线，密切联动市监、应急等部门，持续开展安全检查，全年对大型商超及综合体、餐饮燃气、报废机动车回收等领域开展综合检查293家次，共出动人员352人次，共查出隐患问题605个，下发责令通知书170份，建立隐患台账。配合区燃气专班共检查餐饮企业562家，发现隐患108处，现已全部完成整改。组织开展辖区成品油市场“打非治违”专项行动，对辖区内35座加油站进行全面摸排和严格监管。</w:t>
      </w:r>
    </w:p>
    <w:p w14:paraId="0BC20920">
      <w:pPr>
        <w:keepNext w:val="0"/>
        <w:keepLines w:val="0"/>
        <w:pageBreakBefore w:val="0"/>
        <w:kinsoku/>
        <w:wordWrap/>
        <w:overflowPunct w:val="0"/>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szCs w:val="32"/>
        </w:rPr>
        <w:t>（二）未实现既定绩效目标或未完成指标任务的分析说明。</w:t>
      </w:r>
    </w:p>
    <w:p w14:paraId="511D5CC0">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color w:val="FF0000"/>
          <w:szCs w:val="32"/>
        </w:rPr>
      </w:pPr>
      <w:r>
        <w:rPr>
          <w:rFonts w:hint="eastAsia" w:ascii="国标仿宋-GB/T 2312" w:hAnsi="国标仿宋-GB/T 2312" w:eastAsia="国标仿宋-GB/T 2312" w:cs="国标仿宋-GB/T 2312"/>
          <w:szCs w:val="32"/>
        </w:rPr>
        <w:t>社会消费品零售总额增幅5.9%，未完成年度目标增幅7%的任务。主要原因是</w:t>
      </w:r>
      <w:r>
        <w:rPr>
          <w:rFonts w:hint="eastAsia" w:ascii="国标仿宋-GB/T 2312" w:hAnsi="国标仿宋-GB/T 2312" w:eastAsia="国标仿宋-GB/T 2312" w:cs="国标仿宋-GB/T 2312"/>
        </w:rPr>
        <w:t>受国外、国内经济大环境影响，居民可支配收入明显增长乏力，造成了居民生活消费增长减缓，虽说消费促进，家电、厨卫、汽车以旧换新政策支持，但居民总体消费能力减弱。加上少部分限上企业因资金紧张经营困难，出现了退出经营市场情况，造成了我区增长减缓乏力情况，加上我区限上企业大多数为小体量企业，无大型连锁优势企业，后续增长无力。多方面影响了我区社零数据增长势头。 限上企业库内中小型企业较多，大型连锁企业较少，仅靠银富石油、人民药店、国药控股及阿俊餐饮拉动我区限上企业数据增长，而我区退库占基数企业达到15家。商贸企业质量良莠不齐，亟需大型零售企业及新开业企业推动社零增速更上台阶。入限资料要求较高。企业入限以后，我区对于税收、社保及相关补贴等方面相关优惠政策不够。现有奖励政策并不足以吸引企业入限，导致企业入限积极性不高。</w:t>
      </w:r>
    </w:p>
    <w:p w14:paraId="0E136A1F">
      <w:pPr>
        <w:keepNext w:val="0"/>
        <w:keepLines w:val="0"/>
        <w:pageBreakBefore w:val="0"/>
        <w:kinsoku/>
        <w:wordWrap/>
        <w:topLinePunct w:val="0"/>
        <w:autoSpaceDE/>
        <w:bidi w:val="0"/>
        <w:adjustRightInd/>
        <w:spacing w:line="600" w:lineRule="exact"/>
        <w:ind w:firstLine="640" w:firstLineChars="200"/>
        <w:jc w:val="left"/>
        <w:textAlignment w:val="auto"/>
        <w:rPr>
          <w:rFonts w:hint="eastAsia" w:ascii="国标仿宋-GB/T 2312" w:hAnsi="国标仿宋-GB/T 2312" w:eastAsia="国标仿宋-GB/T 2312" w:cs="国标仿宋-GB/T 2312"/>
          <w:b/>
          <w:spacing w:val="-6"/>
          <w:kern w:val="0"/>
          <w:szCs w:val="32"/>
        </w:rPr>
      </w:pPr>
      <w:r>
        <w:rPr>
          <w:rFonts w:hint="eastAsia" w:ascii="国标仿宋-GB/T 2312" w:hAnsi="国标仿宋-GB/T 2312" w:eastAsia="国标仿宋-GB/T 2312" w:cs="国标仿宋-GB/T 2312"/>
          <w:kern w:val="0"/>
          <w:szCs w:val="32"/>
        </w:rPr>
        <w:t xml:space="preserve">    </w:t>
      </w:r>
      <w:r>
        <w:rPr>
          <w:rFonts w:hint="eastAsia" w:ascii="国标仿宋-GB/T 2312" w:hAnsi="国标仿宋-GB/T 2312" w:eastAsia="国标仿宋-GB/T 2312" w:cs="国标仿宋-GB/T 2312"/>
          <w:b/>
          <w:kern w:val="0"/>
          <w:szCs w:val="32"/>
        </w:rPr>
        <w:t xml:space="preserve"> (三)围绕部门（单位）职责、行业发展规划，以预算资金管理为主线，总结部门（单位）资产管理和开展业务情况，从运行成本、管理效率、履职效能、社会效应、可持续发展能力和服</w:t>
      </w:r>
      <w:r>
        <w:rPr>
          <w:rFonts w:hint="eastAsia" w:ascii="国标仿宋-GB/T 2312" w:hAnsi="国标仿宋-GB/T 2312" w:eastAsia="国标仿宋-GB/T 2312" w:cs="国标仿宋-GB/T 2312"/>
          <w:b/>
          <w:spacing w:val="-6"/>
          <w:kern w:val="0"/>
          <w:szCs w:val="32"/>
        </w:rPr>
        <w:t>务对象满意度等方面，衡量部门（单位）整体及核心业务实施效果。</w:t>
      </w:r>
    </w:p>
    <w:p w14:paraId="13062538">
      <w:pPr>
        <w:keepNext w:val="0"/>
        <w:keepLines w:val="0"/>
        <w:pageBreakBefore w:val="0"/>
        <w:numPr>
          <w:ilvl w:val="0"/>
          <w:numId w:val="0"/>
        </w:numPr>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lang w:val="en-US" w:eastAsia="zh-CN"/>
        </w:rPr>
        <w:t>1、</w:t>
      </w:r>
      <w:r>
        <w:rPr>
          <w:rFonts w:hint="eastAsia" w:ascii="国标仿宋-GB/T 2312" w:hAnsi="国标仿宋-GB/T 2312" w:eastAsia="国标仿宋-GB/T 2312" w:cs="国标仿宋-GB/T 2312"/>
          <w:szCs w:val="32"/>
        </w:rPr>
        <w:t xml:space="preserve">运行成本指标绩效目标均完成。本年实际支出的公用经费和“三公”经费均未超出年初预算安排，并严格按照预算规定的项目和用途使用。实际在职人员数未超出核定编制数，并能满足实际工作需要。 </w:t>
      </w:r>
    </w:p>
    <w:p w14:paraId="79C25E9D">
      <w:pPr>
        <w:keepNext w:val="0"/>
        <w:keepLines w:val="0"/>
        <w:pageBreakBefore w:val="0"/>
        <w:numPr>
          <w:ilvl w:val="0"/>
          <w:numId w:val="0"/>
        </w:numPr>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lang w:val="en-US" w:eastAsia="zh-CN"/>
        </w:rPr>
        <w:t>2、</w:t>
      </w:r>
      <w:r>
        <w:rPr>
          <w:rFonts w:hint="eastAsia" w:ascii="国标仿宋-GB/T 2312" w:hAnsi="国标仿宋-GB/T 2312" w:eastAsia="国标仿宋-GB/T 2312" w:cs="国标仿宋-GB/T 2312"/>
          <w:szCs w:val="32"/>
        </w:rPr>
        <w:t>管理效率方面，预算编制、绩效管理、资产管理、财务管理绩效目标均完成。预算编制方面，我局根据身实际情况，编制反映本单位全部收入和支出的综合收支预算。预算编制科学合理，立项规范，符合我单位实际需求。绩效管理方面，我单位设置的绩效目标依据充分，符合我局实际及年度工作计划，绩效运行监控和评价覆盖所有项目支出。资产管理方面，我局建立并完善了资产管理制度，日常资产管理规范。财务管理方面，我局建立并完善了财务管理制度，会计核算规范，资金使用合规，专项业务工作经费实行专款专用，严格控制支出标准。预算执行方面，我局 2024年无结转结余，政府采购及非税收入执行情况完成良好。</w:t>
      </w:r>
    </w:p>
    <w:p w14:paraId="7393E6D0">
      <w:pPr>
        <w:keepNext w:val="0"/>
        <w:keepLines w:val="0"/>
        <w:pageBreakBefore w:val="0"/>
        <w:kinsoku/>
        <w:wordWrap/>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szCs w:val="32"/>
          <w:lang w:val="en-US" w:eastAsia="zh-CN"/>
        </w:rPr>
        <w:t>3、</w:t>
      </w:r>
      <w:r>
        <w:rPr>
          <w:rFonts w:hint="eastAsia" w:ascii="国标仿宋-GB/T 2312" w:hAnsi="国标仿宋-GB/T 2312" w:eastAsia="国标仿宋-GB/T 2312" w:cs="国标仿宋-GB/T 2312"/>
          <w:szCs w:val="32"/>
        </w:rPr>
        <w:t>履职效能方面，被评为益阳市推动“两新”实施激发需求行动，促消费成效明显的县市区及打造内陆地区改革开放高地，推进稳外贸、稳外资、稳外经、自贸试验区协同联动区建设、中非经贸合作以及“湘商回归”“校友回湘”等成效明显的县市区。湖南省实施激发需求行动工作专报第6期、湖南省“八大行动”工作月报5月刊重点推介我区激发需求工作经验。金花坪社区和建新里社区成功获评湖南省第二批“品质型、提升型、基础型”一刻钟便民生活圈。积极推动夜经济发展，明清古巷获评第二批省级夜经济文旅消费集聚区。</w:t>
      </w:r>
    </w:p>
    <w:p w14:paraId="036C4272">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rPr>
        <w:t xml:space="preserve">    </w:t>
      </w:r>
      <w:r>
        <w:rPr>
          <w:rFonts w:hint="eastAsia" w:ascii="国标仿宋-GB/T 2312" w:hAnsi="国标仿宋-GB/T 2312" w:eastAsia="国标仿宋-GB/T 2312" w:cs="国标仿宋-GB/T 2312"/>
          <w:szCs w:val="32"/>
          <w:lang w:val="en-US" w:eastAsia="zh-CN"/>
        </w:rPr>
        <w:t>4、</w:t>
      </w:r>
      <w:r>
        <w:rPr>
          <w:rFonts w:hint="eastAsia" w:ascii="国标仿宋-GB/T 2312" w:hAnsi="国标仿宋-GB/T 2312" w:eastAsia="国标仿宋-GB/T 2312" w:cs="国标仿宋-GB/T 2312"/>
          <w:szCs w:val="32"/>
        </w:rPr>
        <w:t xml:space="preserve">社会效应方面，经济效益、社会效益、生态效益绩效目标均完成。我单位实际履职情况产生了良好的经济、社会、环境效益。 </w:t>
      </w:r>
    </w:p>
    <w:p w14:paraId="2B946064">
      <w:pPr>
        <w:keepNext w:val="0"/>
        <w:keepLines w:val="0"/>
        <w:pageBreakBefore w:val="0"/>
        <w:tabs>
          <w:tab w:val="center" w:pos="4153"/>
          <w:tab w:val="right" w:pos="8306"/>
        </w:tabs>
        <w:kinsoku/>
        <w:wordWrap/>
        <w:topLinePunct w:val="0"/>
        <w:autoSpaceDE/>
        <w:bidi w:val="0"/>
        <w:adjustRightInd/>
        <w:snapToGrid w:val="0"/>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lang w:val="en-US" w:eastAsia="zh-CN"/>
        </w:rPr>
        <w:t>5、</w:t>
      </w:r>
      <w:r>
        <w:rPr>
          <w:rFonts w:hint="eastAsia" w:ascii="国标仿宋-GB/T 2312" w:hAnsi="国标仿宋-GB/T 2312" w:eastAsia="国标仿宋-GB/T 2312" w:cs="国标仿宋-GB/T 2312"/>
          <w:szCs w:val="32"/>
        </w:rPr>
        <w:t>可持续发展能力方面，通过强化四个支撑：党建引领、队伍建设、资金支持、依法行政，抓实三项重点：强招商、稳外贸、促消费等举措为资阳区商务高质量可持续快发展提供坚强保障。</w:t>
      </w:r>
    </w:p>
    <w:p w14:paraId="5C8CB6C2">
      <w:pPr>
        <w:keepNext w:val="0"/>
        <w:keepLines w:val="0"/>
        <w:pageBreakBefore w:val="0"/>
        <w:kinsoku/>
        <w:wordWrap/>
        <w:overflowPunct w:val="0"/>
        <w:topLinePunct w:val="0"/>
        <w:autoSpaceDE/>
        <w:bidi w:val="0"/>
        <w:adjustRightInd/>
        <w:spacing w:line="600" w:lineRule="exact"/>
        <w:ind w:firstLine="640" w:firstLineChars="200"/>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lang w:val="en-US" w:eastAsia="zh-CN"/>
        </w:rPr>
        <w:t>6、</w:t>
      </w:r>
      <w:r>
        <w:rPr>
          <w:rFonts w:hint="eastAsia" w:ascii="国标仿宋-GB/T 2312" w:hAnsi="国标仿宋-GB/T 2312" w:eastAsia="国标仿宋-GB/T 2312" w:cs="国标仿宋-GB/T 2312"/>
          <w:szCs w:val="32"/>
        </w:rPr>
        <w:t>满意度方面，单位内部、服务对象以及社会公众对我局履职效果均非常认可。</w:t>
      </w:r>
    </w:p>
    <w:p w14:paraId="6094137A">
      <w:pPr>
        <w:keepNext w:val="0"/>
        <w:keepLines w:val="0"/>
        <w:pageBreakBefore w:val="0"/>
        <w:kinsoku/>
        <w:wordWrap/>
        <w:topLinePunct w:val="0"/>
        <w:autoSpaceDE/>
        <w:bidi w:val="0"/>
        <w:adjustRightInd/>
        <w:spacing w:line="600" w:lineRule="exact"/>
        <w:ind w:firstLine="641" w:firstLineChars="200"/>
        <w:textAlignment w:val="auto"/>
        <w:rPr>
          <w:rFonts w:hint="eastAsia" w:ascii="国标仿宋-GB/T 2312" w:hAnsi="国标仿宋-GB/T 2312" w:eastAsia="国标仿宋-GB/T 2312" w:cs="国标仿宋-GB/T 2312"/>
          <w:kern w:val="0"/>
          <w:szCs w:val="32"/>
        </w:rPr>
      </w:pPr>
      <w:r>
        <w:rPr>
          <w:rFonts w:hint="eastAsia" w:ascii="国标仿宋-GB/T 2312" w:hAnsi="国标仿宋-GB/T 2312" w:eastAsia="国标仿宋-GB/T 2312" w:cs="国标仿宋-GB/T 2312"/>
          <w:b/>
          <w:bCs/>
          <w:kern w:val="0"/>
          <w:szCs w:val="32"/>
        </w:rPr>
        <w:t>(四）加强部门整体支出绩效管理的举措</w:t>
      </w:r>
    </w:p>
    <w:p w14:paraId="3E11B654">
      <w:pPr>
        <w:keepNext w:val="0"/>
        <w:keepLines w:val="0"/>
        <w:pageBreakBefore w:val="0"/>
        <w:shd w:val="clear" w:color="auto" w:fill="FFFFFF"/>
        <w:kinsoku/>
        <w:wordWrap/>
        <w:overflowPunct w:val="0"/>
        <w:topLinePunct w:val="0"/>
        <w:autoSpaceDE/>
        <w:bidi w:val="0"/>
        <w:adjustRightInd/>
        <w:spacing w:line="600" w:lineRule="exact"/>
        <w:ind w:firstLine="640"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rPr>
        <w:t xml:space="preserve">在编制部门年初预算时，结合部门主要工作任务，合理设置绩效目标和指标值。年度预算执行中，加强绩效运行监控，根据情况变化，及时按程序调整修订绩效目标和指标值、调整资金使用方向，加强资金使用情况的跟踪问效。年终，切实做好绩效自评工作，根据资金使用绩效情况，在编制下一年度部门预算时，合理安排部门预算资金。    </w:t>
      </w:r>
    </w:p>
    <w:p w14:paraId="1ED289E5">
      <w:pPr>
        <w:keepNext w:val="0"/>
        <w:keepLines w:val="0"/>
        <w:pageBreakBefore w:val="0"/>
        <w:widowControl/>
        <w:kinsoku/>
        <w:wordWrap/>
        <w:topLinePunct w:val="0"/>
        <w:autoSpaceDE/>
        <w:autoSpaceDN w:val="0"/>
        <w:bidi w:val="0"/>
        <w:adjustRightInd/>
        <w:spacing w:line="600" w:lineRule="exact"/>
        <w:ind w:firstLine="641" w:firstLineChars="200"/>
        <w:textAlignment w:val="auto"/>
        <w:rPr>
          <w:rFonts w:hint="eastAsia" w:ascii="国标仿宋-GB/T 2312" w:hAnsi="国标仿宋-GB/T 2312" w:eastAsia="国标仿宋-GB/T 2312" w:cs="国标仿宋-GB/T 2312"/>
          <w:b/>
          <w:bCs/>
          <w:color w:val="000000"/>
          <w:kern w:val="0"/>
          <w:szCs w:val="32"/>
        </w:rPr>
      </w:pPr>
      <w:r>
        <w:rPr>
          <w:rFonts w:hint="eastAsia" w:ascii="国标仿宋-GB/T 2312" w:hAnsi="国标仿宋-GB/T 2312" w:eastAsia="国标仿宋-GB/T 2312" w:cs="国标仿宋-GB/T 2312"/>
          <w:b/>
          <w:bCs/>
          <w:color w:val="000000"/>
          <w:kern w:val="0"/>
          <w:szCs w:val="32"/>
        </w:rPr>
        <w:t>四、总体评价和自评得分情况</w:t>
      </w:r>
    </w:p>
    <w:p w14:paraId="7EEF0A13">
      <w:pPr>
        <w:keepNext w:val="0"/>
        <w:keepLines w:val="0"/>
        <w:pageBreakBefore w:val="0"/>
        <w:shd w:val="clear" w:color="auto" w:fill="FFFFFF"/>
        <w:kinsoku/>
        <w:wordWrap/>
        <w:overflowPunct w:val="0"/>
        <w:topLinePunct w:val="0"/>
        <w:autoSpaceDE/>
        <w:bidi w:val="0"/>
        <w:adjustRightInd/>
        <w:spacing w:line="600" w:lineRule="exact"/>
        <w:ind w:firstLine="640"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szCs w:val="32"/>
        </w:rPr>
        <w:t>2024年本部门整体支出资金项目绩效评价得分为</w:t>
      </w:r>
      <w:r>
        <w:rPr>
          <w:rFonts w:hint="eastAsia" w:ascii="国标仿宋-GB/T 2312" w:hAnsi="国标仿宋-GB/T 2312" w:eastAsia="国标仿宋-GB/T 2312" w:cs="国标仿宋-GB/T 2312"/>
          <w:szCs w:val="32"/>
          <w:lang w:val="en-US" w:eastAsia="zh-CN"/>
        </w:rPr>
        <w:t>98.85</w:t>
      </w:r>
      <w:r>
        <w:rPr>
          <w:rFonts w:hint="eastAsia" w:ascii="国标仿宋-GB/T 2312" w:hAnsi="国标仿宋-GB/T 2312" w:eastAsia="国标仿宋-GB/T 2312" w:cs="国标仿宋-GB/T 2312"/>
          <w:szCs w:val="32"/>
        </w:rPr>
        <w:t>分，绩效自评结果将为下年度预算配置、预算执行和预算管理提供参照和依据，自评工作中发现的问题及时整改。自评为优秀。</w:t>
      </w:r>
    </w:p>
    <w:p w14:paraId="3FBAC9BB">
      <w:pPr>
        <w:pStyle w:val="9"/>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color w:val="000000"/>
          <w:kern w:val="0"/>
          <w:szCs w:val="32"/>
        </w:rPr>
        <w:t>五、</w:t>
      </w:r>
      <w:r>
        <w:rPr>
          <w:rFonts w:hint="eastAsia" w:ascii="国标仿宋-GB/T 2312" w:hAnsi="国标仿宋-GB/T 2312" w:eastAsia="国标仿宋-GB/T 2312" w:cs="国标仿宋-GB/T 2312"/>
          <w:b/>
          <w:bCs/>
          <w:szCs w:val="32"/>
        </w:rPr>
        <w:t>存在的问题及原因分析</w:t>
      </w:r>
    </w:p>
    <w:p w14:paraId="1BDD5F3A">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szCs w:val="32"/>
        </w:rPr>
        <w:t>（一）预算执行力度不够</w:t>
      </w:r>
    </w:p>
    <w:p w14:paraId="6C5D58A2">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问题：</w:t>
      </w:r>
      <w:r>
        <w:rPr>
          <w:rFonts w:hint="eastAsia" w:ascii="国标仿宋-GB/T 2312" w:hAnsi="国标仿宋-GB/T 2312" w:eastAsia="国标仿宋-GB/T 2312" w:cs="国标仿宋-GB/T 2312"/>
          <w:szCs w:val="32"/>
        </w:rPr>
        <w:t>人员经费预算与部门实际支出存在差距，差额、自收自支人员经费无来源，导致个别项目未按预算科目及专项列支，部分预算支出混入其他科目。​</w:t>
      </w:r>
    </w:p>
    <w:p w14:paraId="3DED9F7D">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原因：</w:t>
      </w:r>
      <w:r>
        <w:rPr>
          <w:rFonts w:hint="eastAsia" w:ascii="国标仿宋-GB/T 2312" w:hAnsi="国标仿宋-GB/T 2312" w:eastAsia="国标仿宋-GB/T 2312" w:cs="国标仿宋-GB/T 2312"/>
          <w:szCs w:val="32"/>
        </w:rPr>
        <w:t>预算编制前未充分调研人员经费实际需求，对差额、自收自支人员经费来源未提前规划；日常预算执行中缺乏动态监控，对科目列支偏差未能及时纠正。​</w:t>
      </w:r>
    </w:p>
    <w:p w14:paraId="758BA877">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szCs w:val="32"/>
        </w:rPr>
        <w:t>（二）招商活动经费预算执行不均衡</w:t>
      </w:r>
    </w:p>
    <w:p w14:paraId="2497EE81">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问题：</w:t>
      </w:r>
      <w:r>
        <w:rPr>
          <w:rFonts w:hint="eastAsia" w:ascii="国标仿宋-GB/T 2312" w:hAnsi="国标仿宋-GB/T 2312" w:eastAsia="国标仿宋-GB/T 2312" w:cs="国标仿宋-GB/T 2312"/>
          <w:szCs w:val="32"/>
        </w:rPr>
        <w:t>招商活动经费未按进度均衡推进申报审批，支出集中在年末支付，影响资金使用效率。</w:t>
      </w:r>
    </w:p>
    <w:p w14:paraId="0B2CF8E5">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原因：</w:t>
      </w:r>
      <w:r>
        <w:rPr>
          <w:rFonts w:hint="eastAsia" w:ascii="国标仿宋-GB/T 2312" w:hAnsi="国标仿宋-GB/T 2312" w:eastAsia="国标仿宋-GB/T 2312" w:cs="国标仿宋-GB/T 2312"/>
          <w:szCs w:val="32"/>
        </w:rPr>
        <w:t>未建立招商经费月度 / 季度申报审批机制，对招商活动开展节奏与经费需求的匹配度预判不足；招商部门与财政部门间沟通协调不及时，导致经费审批流程滞后。</w:t>
      </w:r>
    </w:p>
    <w:p w14:paraId="504CDCD8">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szCs w:val="32"/>
        </w:rPr>
        <w:t>（三）项目评价指标体系不完善</w:t>
      </w:r>
    </w:p>
    <w:p w14:paraId="7C2476BC">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问题</w:t>
      </w:r>
      <w:r>
        <w:rPr>
          <w:rFonts w:hint="eastAsia" w:ascii="国标仿宋-GB/T 2312" w:hAnsi="国标仿宋-GB/T 2312" w:eastAsia="国标仿宋-GB/T 2312" w:cs="国标仿宋-GB/T 2312"/>
          <w:szCs w:val="32"/>
        </w:rPr>
        <w:t>：项目绩效评价指标体系设置不科学，定量指标占比低，与项目实际特点、行业标准脱节，可操作性不强，难以有效支撑绩效评估工作。</w:t>
      </w:r>
    </w:p>
    <w:p w14:paraId="311114DC">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原因</w:t>
      </w:r>
      <w:r>
        <w:rPr>
          <w:rFonts w:hint="eastAsia" w:ascii="国标仿宋-GB/T 2312" w:hAnsi="国标仿宋-GB/T 2312" w:eastAsia="国标仿宋-GB/T 2312" w:cs="国标仿宋-GB/T 2312"/>
          <w:szCs w:val="32"/>
        </w:rPr>
        <w:t>：一是前期调研不充分，未开展系统性行业调研与项目需求论证，指标设计缺乏针对性；二是专业能力不足，参与指标设计人员缺乏绩效管理、统计学等专业知识，无法构建科学的指标框架；三是缺乏动态调整机制，指标体系确定后未根据项目进展、外部环境变化优化，可操作性逐步下降。</w:t>
      </w:r>
    </w:p>
    <w:p w14:paraId="1C306582">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szCs w:val="32"/>
        </w:rPr>
        <w:t>（四）部门预算绩效管理认知与管理存在短板</w:t>
      </w:r>
    </w:p>
    <w:p w14:paraId="2481DD8A">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lang w:val="en-US" w:eastAsia="zh-CN"/>
        </w:rPr>
        <w:t>1、</w:t>
      </w:r>
      <w:r>
        <w:rPr>
          <w:rFonts w:hint="eastAsia" w:ascii="国标仿宋-GB/T 2312" w:hAnsi="国标仿宋-GB/T 2312" w:eastAsia="国标仿宋-GB/T 2312" w:cs="国标仿宋-GB/T 2312"/>
          <w:b/>
          <w:bCs/>
          <w:szCs w:val="32"/>
        </w:rPr>
        <w:t>绩效评价意识薄弱与制度缺位</w:t>
      </w:r>
      <w:r>
        <w:rPr>
          <w:rFonts w:hint="eastAsia" w:ascii="国标仿宋-GB/T 2312" w:hAnsi="国标仿宋-GB/T 2312" w:eastAsia="国标仿宋-GB/T 2312" w:cs="国标仿宋-GB/T 2312"/>
          <w:b/>
          <w:bCs/>
          <w:szCs w:val="32"/>
          <w:lang w:eastAsia="zh-CN"/>
        </w:rPr>
        <w:t>。</w:t>
      </w:r>
      <w:r>
        <w:rPr>
          <w:rFonts w:hint="eastAsia" w:ascii="国标仿宋-GB/T 2312" w:hAnsi="国标仿宋-GB/T 2312" w:eastAsia="国标仿宋-GB/T 2312" w:cs="国标仿宋-GB/T 2312"/>
          <w:b/>
          <w:bCs/>
          <w:szCs w:val="32"/>
        </w:rPr>
        <w:t>问题：</w:t>
      </w:r>
      <w:r>
        <w:rPr>
          <w:rFonts w:hint="eastAsia" w:ascii="国标仿宋-GB/T 2312" w:hAnsi="国标仿宋-GB/T 2312" w:eastAsia="国标仿宋-GB/T 2312" w:cs="国标仿宋-GB/T 2312"/>
          <w:szCs w:val="32"/>
        </w:rPr>
        <w:t>全员绩效评价意识不足，绩效管理制度执行弱化，内部会计绩效工作推进缺乏积极性与主动性。</w:t>
      </w:r>
      <w:r>
        <w:rPr>
          <w:rFonts w:hint="eastAsia" w:ascii="国标仿宋-GB/T 2312" w:hAnsi="国标仿宋-GB/T 2312" w:eastAsia="国标仿宋-GB/T 2312" w:cs="国标仿宋-GB/T 2312"/>
          <w:b/>
          <w:bCs/>
          <w:szCs w:val="32"/>
        </w:rPr>
        <w:t>原因：</w:t>
      </w:r>
      <w:r>
        <w:rPr>
          <w:rFonts w:hint="eastAsia" w:ascii="国标仿宋-GB/T 2312" w:hAnsi="国标仿宋-GB/T 2312" w:eastAsia="国标仿宋-GB/T 2312" w:cs="国标仿宋-GB/T 2312"/>
          <w:szCs w:val="32"/>
        </w:rPr>
        <w:t>管理层及干部未充分认识预算绩效管理对提升资金效益、优化项目管理的重要性；缺乏有效的制度约束与激励机制，干部参与内部绩效工作的动力不足。</w:t>
      </w:r>
    </w:p>
    <w:p w14:paraId="3D8D7104">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2. 会计基础工作薄弱与岗位设置不规</w:t>
      </w:r>
      <w:r>
        <w:rPr>
          <w:rFonts w:hint="eastAsia" w:ascii="国标仿宋-GB/T 2312" w:hAnsi="国标仿宋-GB/T 2312" w:eastAsia="国标仿宋-GB/T 2312" w:cs="国标仿宋-GB/T 2312"/>
          <w:b/>
          <w:bCs/>
          <w:szCs w:val="32"/>
          <w:lang w:eastAsia="zh-CN"/>
        </w:rPr>
        <w:t>范。</w:t>
      </w:r>
      <w:r>
        <w:rPr>
          <w:rFonts w:hint="eastAsia" w:ascii="国标仿宋-GB/T 2312" w:hAnsi="国标仿宋-GB/T 2312" w:eastAsia="国标仿宋-GB/T 2312" w:cs="国标仿宋-GB/T 2312"/>
          <w:b/>
          <w:bCs/>
          <w:szCs w:val="32"/>
        </w:rPr>
        <w:t>问题：</w:t>
      </w:r>
      <w:r>
        <w:rPr>
          <w:rFonts w:hint="eastAsia" w:ascii="国标仿宋-GB/T 2312" w:hAnsi="国标仿宋-GB/T 2312" w:eastAsia="国标仿宋-GB/T 2312" w:cs="国标仿宋-GB/T 2312"/>
          <w:szCs w:val="32"/>
        </w:rPr>
        <w:t>会计基础工作存在薄弱环节，会计人员普遍一岗多职，岗位间相互牵制、监督的作用未有效发挥。</w:t>
      </w:r>
      <w:r>
        <w:rPr>
          <w:rFonts w:hint="eastAsia" w:ascii="国标仿宋-GB/T 2312" w:hAnsi="国标仿宋-GB/T 2312" w:eastAsia="国标仿宋-GB/T 2312" w:cs="国标仿宋-GB/T 2312"/>
          <w:b/>
          <w:bCs/>
          <w:szCs w:val="32"/>
        </w:rPr>
        <w:t>原因</w:t>
      </w:r>
      <w:r>
        <w:rPr>
          <w:rFonts w:hint="eastAsia" w:ascii="国标仿宋-GB/T 2312" w:hAnsi="国标仿宋-GB/T 2312" w:eastAsia="国标仿宋-GB/T 2312" w:cs="国标仿宋-GB/T 2312"/>
          <w:szCs w:val="32"/>
        </w:rPr>
        <w:t>：单位人员编制紧张，导致会计人员兼任多岗，精力分散难以专注基础工作；未建立完善的岗位制衡机制，岗位职责划分不清晰，监督功能无法落地。</w:t>
      </w:r>
    </w:p>
    <w:p w14:paraId="08D1C2B6">
      <w:pPr>
        <w:keepNext w:val="0"/>
        <w:keepLines w:val="0"/>
        <w:pageBreakBefore w:val="0"/>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szCs w:val="32"/>
        </w:rPr>
      </w:pPr>
      <w:r>
        <w:rPr>
          <w:rFonts w:hint="eastAsia" w:ascii="国标仿宋-GB/T 2312" w:hAnsi="国标仿宋-GB/T 2312" w:eastAsia="国标仿宋-GB/T 2312" w:cs="国标仿宋-GB/T 2312"/>
          <w:b/>
          <w:bCs/>
          <w:szCs w:val="32"/>
        </w:rPr>
        <w:t>3. 监督考核机制不健全</w:t>
      </w:r>
      <w:r>
        <w:rPr>
          <w:rFonts w:hint="eastAsia" w:ascii="国标仿宋-GB/T 2312" w:hAnsi="国标仿宋-GB/T 2312" w:eastAsia="国标仿宋-GB/T 2312" w:cs="国标仿宋-GB/T 2312"/>
          <w:b/>
          <w:bCs/>
          <w:szCs w:val="32"/>
          <w:lang w:eastAsia="zh-CN"/>
        </w:rPr>
        <w:t>。</w:t>
      </w:r>
      <w:r>
        <w:rPr>
          <w:rFonts w:hint="eastAsia" w:ascii="国标仿宋-GB/T 2312" w:hAnsi="国标仿宋-GB/T 2312" w:eastAsia="国标仿宋-GB/T 2312" w:cs="国标仿宋-GB/T 2312"/>
          <w:b/>
          <w:bCs/>
          <w:szCs w:val="32"/>
        </w:rPr>
        <w:t>问题：</w:t>
      </w:r>
      <w:r>
        <w:rPr>
          <w:rFonts w:hint="eastAsia" w:ascii="国标仿宋-GB/T 2312" w:hAnsi="国标仿宋-GB/T 2312" w:eastAsia="国标仿宋-GB/T 2312" w:cs="国标仿宋-GB/T 2312"/>
          <w:szCs w:val="32"/>
        </w:rPr>
        <w:t>内部监督考核机制缺位，未设立专门内审机构，相关监督工作依附财务人员开展，工作完成后无评价、无后续跟踪考核环节。</w:t>
      </w:r>
      <w:r>
        <w:rPr>
          <w:rFonts w:hint="eastAsia" w:ascii="国标仿宋-GB/T 2312" w:hAnsi="国标仿宋-GB/T 2312" w:eastAsia="国标仿宋-GB/T 2312" w:cs="国标仿宋-GB/T 2312"/>
          <w:b/>
          <w:bCs/>
          <w:szCs w:val="32"/>
        </w:rPr>
        <w:t>原因：</w:t>
      </w:r>
      <w:r>
        <w:rPr>
          <w:rFonts w:hint="eastAsia" w:ascii="国标仿宋-GB/T 2312" w:hAnsi="国标仿宋-GB/T 2312" w:eastAsia="国标仿宋-GB/T 2312" w:cs="国标仿宋-GB/T 2312"/>
          <w:szCs w:val="32"/>
        </w:rPr>
        <w:t>对内部监督考核工作重视不足，未认识到内审机构在保障预算执行、防范财务风险中的作用；财务人员既负责日常核算又承担监督职能，存在 “既当运动员又当裁判员” 的矛盾，监督客观性、公正性难以保障；缺乏统一的监督考核流程与标准，无法形成管理闭环。</w:t>
      </w:r>
    </w:p>
    <w:p w14:paraId="6A9F1B0C">
      <w:pPr>
        <w:keepNext w:val="0"/>
        <w:keepLines w:val="0"/>
        <w:pageBreakBefore w:val="0"/>
        <w:numPr>
          <w:ilvl w:val="0"/>
          <w:numId w:val="2"/>
        </w:numPr>
        <w:shd w:val="clear" w:color="auto" w:fill="FFFFFF"/>
        <w:kinsoku/>
        <w:wordWrap/>
        <w:overflowPunct w:val="0"/>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szCs w:val="32"/>
        </w:rPr>
        <w:t>下一步改进措施</w:t>
      </w:r>
    </w:p>
    <w:p w14:paraId="1DCB84D0">
      <w:pPr>
        <w:keepNext w:val="0"/>
        <w:keepLines w:val="0"/>
        <w:pageBreakBefore w:val="0"/>
        <w:widowControl w:val="0"/>
        <w:numPr>
          <w:ilvl w:val="0"/>
          <w:numId w:val="0"/>
        </w:numPr>
        <w:shd w:val="clear" w:color="auto" w:fill="FFFFFF"/>
        <w:kinsoku/>
        <w:wordWrap/>
        <w:overflowPunct w:val="0"/>
        <w:topLinePunct w:val="0"/>
        <w:autoSpaceDE/>
        <w:autoSpaceDN/>
        <w:bidi w:val="0"/>
        <w:adjustRightInd/>
        <w:snapToGrid/>
        <w:spacing w:line="600" w:lineRule="exact"/>
        <w:ind w:firstLine="641" w:firstLineChars="200"/>
        <w:jc w:val="left"/>
        <w:textAlignment w:val="auto"/>
        <w:rPr>
          <w:rFonts w:hint="eastAsia" w:ascii="国标仿宋-GB/T 2312" w:hAnsi="国标仿宋-GB/T 2312" w:eastAsia="国标仿宋-GB/T 2312" w:cs="国标仿宋-GB/T 2312"/>
          <w:sz w:val="32"/>
          <w:szCs w:val="32"/>
        </w:rPr>
      </w:pPr>
      <w:r>
        <w:rPr>
          <w:rFonts w:hint="eastAsia" w:ascii="国标仿宋-GB/T 2312" w:hAnsi="国标仿宋-GB/T 2312" w:eastAsia="国标仿宋-GB/T 2312" w:cs="国标仿宋-GB/T 2312"/>
          <w:b/>
          <w:bCs/>
          <w:sz w:val="32"/>
          <w:szCs w:val="32"/>
          <w:lang w:eastAsia="zh-CN"/>
        </w:rPr>
        <w:t>（</w:t>
      </w:r>
      <w:r>
        <w:rPr>
          <w:rFonts w:hint="eastAsia" w:ascii="国标仿宋-GB/T 2312" w:hAnsi="国标仿宋-GB/T 2312" w:eastAsia="国标仿宋-GB/T 2312" w:cs="国标仿宋-GB/T 2312"/>
          <w:b/>
          <w:bCs/>
          <w:sz w:val="32"/>
          <w:szCs w:val="32"/>
        </w:rPr>
        <w:t>一）强化预算全流程管理</w:t>
      </w:r>
      <w:r>
        <w:rPr>
          <w:rFonts w:hint="eastAsia" w:ascii="国标仿宋-GB/T 2312" w:hAnsi="国标仿宋-GB/T 2312" w:eastAsia="国标仿宋-GB/T 2312" w:cs="国标仿宋-GB/T 2312"/>
          <w:sz w:val="32"/>
          <w:szCs w:val="32"/>
        </w:rPr>
        <w:t>​</w:t>
      </w:r>
    </w:p>
    <w:p w14:paraId="1442A88C">
      <w:pPr>
        <w:pStyle w:val="5"/>
        <w:keepNext w:val="0"/>
        <w:keepLines w:val="0"/>
        <w:pageBreakBefore w:val="0"/>
        <w:widowControl/>
        <w:shd w:val="clear" w:color="auto" w:fill="FFFFFF"/>
        <w:kinsoku/>
        <w:wordWrap/>
        <w:topLinePunct w:val="0"/>
        <w:autoSpaceDE/>
        <w:bidi w:val="0"/>
        <w:adjustRightInd/>
        <w:spacing w:before="0" w:beforeAutospacing="0" w:after="0" w:afterAutospacing="0" w:line="600" w:lineRule="exact"/>
        <w:ind w:firstLine="641" w:firstLineChars="200"/>
        <w:jc w:val="both"/>
        <w:textAlignment w:val="auto"/>
        <w:rPr>
          <w:rFonts w:hint="eastAsia" w:ascii="国标仿宋-GB/T 2312" w:hAnsi="国标仿宋-GB/T 2312" w:eastAsia="国标仿宋-GB/T 2312" w:cs="国标仿宋-GB/T 2312"/>
          <w:sz w:val="32"/>
          <w:szCs w:val="32"/>
        </w:rPr>
      </w:pPr>
      <w:r>
        <w:rPr>
          <w:rFonts w:hint="eastAsia" w:ascii="国标仿宋-GB/T 2312" w:hAnsi="国标仿宋-GB/T 2312" w:eastAsia="国标仿宋-GB/T 2312" w:cs="国标仿宋-GB/T 2312"/>
          <w:b/>
          <w:bCs/>
          <w:sz w:val="32"/>
          <w:szCs w:val="32"/>
        </w:rPr>
        <w:t>预算编制阶段：</w:t>
      </w:r>
      <w:r>
        <w:rPr>
          <w:rFonts w:hint="eastAsia" w:ascii="国标仿宋-GB/T 2312" w:hAnsi="国标仿宋-GB/T 2312" w:eastAsia="国标仿宋-GB/T 2312" w:cs="国标仿宋-GB/T 2312"/>
          <w:sz w:val="32"/>
          <w:szCs w:val="32"/>
        </w:rPr>
        <w:t>提前开展人员经费需求调研，将差额、自收自支人员经费纳入预算统筹，明确资金来源；梳理年度潜在临时工作，确保预算无漏项。​</w:t>
      </w:r>
    </w:p>
    <w:p w14:paraId="550C2E0F">
      <w:pPr>
        <w:pStyle w:val="5"/>
        <w:keepNext w:val="0"/>
        <w:keepLines w:val="0"/>
        <w:pageBreakBefore w:val="0"/>
        <w:widowControl/>
        <w:shd w:val="clear" w:color="auto" w:fill="FFFFFF"/>
        <w:kinsoku/>
        <w:wordWrap/>
        <w:topLinePunct w:val="0"/>
        <w:autoSpaceDE/>
        <w:bidi w:val="0"/>
        <w:adjustRightInd/>
        <w:spacing w:before="0" w:beforeAutospacing="0" w:after="0" w:afterAutospacing="0" w:line="600" w:lineRule="exact"/>
        <w:ind w:firstLine="641" w:firstLineChars="200"/>
        <w:jc w:val="both"/>
        <w:textAlignment w:val="auto"/>
        <w:rPr>
          <w:rFonts w:hint="eastAsia" w:ascii="国标仿宋-GB/T 2312" w:hAnsi="国标仿宋-GB/T 2312" w:eastAsia="国标仿宋-GB/T 2312" w:cs="国标仿宋-GB/T 2312"/>
          <w:sz w:val="32"/>
          <w:szCs w:val="32"/>
        </w:rPr>
      </w:pPr>
      <w:r>
        <w:rPr>
          <w:rFonts w:hint="eastAsia" w:ascii="国标仿宋-GB/T 2312" w:hAnsi="国标仿宋-GB/T 2312" w:eastAsia="国标仿宋-GB/T 2312" w:cs="国标仿宋-GB/T 2312"/>
          <w:b/>
          <w:bCs/>
          <w:sz w:val="32"/>
          <w:szCs w:val="32"/>
        </w:rPr>
        <w:t>预算执行阶段：</w:t>
      </w:r>
      <w:r>
        <w:rPr>
          <w:rFonts w:hint="eastAsia" w:ascii="国标仿宋-GB/T 2312" w:hAnsi="国标仿宋-GB/T 2312" w:eastAsia="国标仿宋-GB/T 2312" w:cs="国标仿宋-GB/T 2312"/>
          <w:sz w:val="32"/>
          <w:szCs w:val="32"/>
        </w:rPr>
        <w:t>建立“周跟踪、月分析”机制，加强支出审核，对偏离预算科目的情况实时预警；定期召开预算执行分析会，及时调整优化支出结构。​</w:t>
      </w:r>
    </w:p>
    <w:p w14:paraId="48279B49">
      <w:pPr>
        <w:pStyle w:val="5"/>
        <w:keepNext w:val="0"/>
        <w:keepLines w:val="0"/>
        <w:pageBreakBefore w:val="0"/>
        <w:widowControl/>
        <w:shd w:val="clear" w:color="auto" w:fill="FFFFFF"/>
        <w:kinsoku/>
        <w:wordWrap/>
        <w:topLinePunct w:val="0"/>
        <w:autoSpaceDE/>
        <w:bidi w:val="0"/>
        <w:adjustRightInd/>
        <w:spacing w:before="0" w:beforeAutospacing="0" w:after="0" w:afterAutospacing="0" w:line="600" w:lineRule="exact"/>
        <w:ind w:firstLine="641" w:firstLineChars="200"/>
        <w:jc w:val="both"/>
        <w:textAlignment w:val="auto"/>
        <w:rPr>
          <w:rFonts w:hint="eastAsia" w:ascii="国标仿宋-GB/T 2312" w:hAnsi="国标仿宋-GB/T 2312" w:eastAsia="国标仿宋-GB/T 2312" w:cs="国标仿宋-GB/T 2312"/>
          <w:sz w:val="32"/>
          <w:szCs w:val="32"/>
        </w:rPr>
      </w:pPr>
      <w:r>
        <w:rPr>
          <w:rFonts w:hint="eastAsia" w:ascii="国标仿宋-GB/T 2312" w:hAnsi="国标仿宋-GB/T 2312" w:eastAsia="国标仿宋-GB/T 2312" w:cs="国标仿宋-GB/T 2312"/>
          <w:b/>
          <w:bCs/>
          <w:sz w:val="32"/>
          <w:szCs w:val="32"/>
        </w:rPr>
        <w:t>资金管理阶段：</w:t>
      </w:r>
      <w:r>
        <w:rPr>
          <w:rFonts w:hint="eastAsia" w:ascii="国标仿宋-GB/T 2312" w:hAnsi="国标仿宋-GB/T 2312" w:eastAsia="国标仿宋-GB/T 2312" w:cs="国标仿宋-GB/T 2312"/>
          <w:sz w:val="32"/>
          <w:szCs w:val="32"/>
        </w:rPr>
        <w:t>严格按专项程序申报临时追加费用及使用结余资金，开展预算绩效评估，提升预算科学性与可控性。</w:t>
      </w:r>
    </w:p>
    <w:p w14:paraId="59E0691B">
      <w:pPr>
        <w:pStyle w:val="5"/>
        <w:keepNext w:val="0"/>
        <w:keepLines w:val="0"/>
        <w:pageBreakBefore w:val="0"/>
        <w:widowControl/>
        <w:shd w:val="clear" w:color="auto" w:fill="FFFFFF"/>
        <w:kinsoku/>
        <w:wordWrap/>
        <w:topLinePunct w:val="0"/>
        <w:autoSpaceDE/>
        <w:bidi w:val="0"/>
        <w:adjustRightInd/>
        <w:spacing w:before="0" w:beforeAutospacing="0" w:after="0" w:afterAutospacing="0" w:line="600" w:lineRule="exact"/>
        <w:ind w:firstLine="641" w:firstLineChars="200"/>
        <w:jc w:val="both"/>
        <w:textAlignment w:val="auto"/>
        <w:rPr>
          <w:rFonts w:hint="eastAsia" w:ascii="国标仿宋-GB/T 2312" w:hAnsi="国标仿宋-GB/T 2312" w:eastAsia="国标仿宋-GB/T 2312" w:cs="国标仿宋-GB/T 2312"/>
          <w:b/>
          <w:bCs/>
          <w:sz w:val="32"/>
          <w:szCs w:val="32"/>
        </w:rPr>
      </w:pPr>
      <w:r>
        <w:rPr>
          <w:rFonts w:hint="eastAsia" w:ascii="国标仿宋-GB/T 2312" w:hAnsi="国标仿宋-GB/T 2312" w:eastAsia="国标仿宋-GB/T 2312" w:cs="国标仿宋-GB/T 2312"/>
          <w:b/>
          <w:bCs/>
          <w:sz w:val="32"/>
          <w:szCs w:val="32"/>
        </w:rPr>
        <w:t>（二）优化招商经费预算执行</w:t>
      </w:r>
    </w:p>
    <w:p w14:paraId="376048D5">
      <w:pPr>
        <w:pStyle w:val="5"/>
        <w:keepNext w:val="0"/>
        <w:keepLines w:val="0"/>
        <w:pageBreakBefore w:val="0"/>
        <w:widowControl/>
        <w:shd w:val="clear" w:color="auto" w:fill="FFFFFF"/>
        <w:kinsoku/>
        <w:wordWrap/>
        <w:topLinePunct w:val="0"/>
        <w:autoSpaceDE/>
        <w:bidi w:val="0"/>
        <w:adjustRightInd/>
        <w:spacing w:before="0" w:beforeAutospacing="0" w:after="0" w:afterAutospacing="0" w:line="600" w:lineRule="exact"/>
        <w:ind w:firstLine="640" w:firstLineChars="200"/>
        <w:jc w:val="both"/>
        <w:textAlignment w:val="auto"/>
        <w:rPr>
          <w:rFonts w:hint="eastAsia" w:ascii="国标仿宋-GB/T 2312" w:hAnsi="国标仿宋-GB/T 2312" w:eastAsia="国标仿宋-GB/T 2312" w:cs="国标仿宋-GB/T 2312"/>
          <w:sz w:val="32"/>
          <w:szCs w:val="32"/>
        </w:rPr>
      </w:pPr>
      <w:r>
        <w:rPr>
          <w:rFonts w:hint="eastAsia" w:ascii="国标仿宋-GB/T 2312" w:hAnsi="国标仿宋-GB/T 2312" w:eastAsia="国标仿宋-GB/T 2312" w:cs="国标仿宋-GB/T 2312"/>
          <w:sz w:val="32"/>
          <w:szCs w:val="32"/>
        </w:rPr>
        <w:t>制定招商经费年度进度计划，按季度分解申报额度，明确各阶段审批时限，避免年底集中支付。​</w:t>
      </w:r>
    </w:p>
    <w:p w14:paraId="7E8020C0">
      <w:pPr>
        <w:pStyle w:val="5"/>
        <w:keepNext w:val="0"/>
        <w:keepLines w:val="0"/>
        <w:pageBreakBefore w:val="0"/>
        <w:widowControl/>
        <w:shd w:val="clear" w:color="auto" w:fill="FFFFFF"/>
        <w:kinsoku/>
        <w:wordWrap/>
        <w:topLinePunct w:val="0"/>
        <w:autoSpaceDE/>
        <w:bidi w:val="0"/>
        <w:adjustRightInd/>
        <w:spacing w:before="0" w:beforeAutospacing="0" w:after="0" w:afterAutospacing="0" w:line="600" w:lineRule="exact"/>
        <w:ind w:firstLine="640" w:firstLineChars="200"/>
        <w:jc w:val="both"/>
        <w:textAlignment w:val="auto"/>
        <w:rPr>
          <w:rFonts w:hint="eastAsia" w:ascii="国标仿宋-GB/T 2312" w:hAnsi="国标仿宋-GB/T 2312" w:eastAsia="国标仿宋-GB/T 2312" w:cs="国标仿宋-GB/T 2312"/>
          <w:sz w:val="32"/>
          <w:szCs w:val="32"/>
        </w:rPr>
      </w:pPr>
      <w:r>
        <w:rPr>
          <w:rFonts w:hint="eastAsia" w:ascii="国标仿宋-GB/T 2312" w:hAnsi="国标仿宋-GB/T 2312" w:eastAsia="国标仿宋-GB/T 2312" w:cs="国标仿宋-GB/T 2312"/>
          <w:sz w:val="32"/>
          <w:szCs w:val="32"/>
        </w:rPr>
        <w:t>建立招商部门与财政部门月度沟通机制，及时反馈经费使用需求，加快审批拨付效率；对滞后的经费支付项目，制定专项推进方案，确保资金及时足额到位。​</w:t>
      </w:r>
    </w:p>
    <w:p w14:paraId="482C94F7">
      <w:pPr>
        <w:pStyle w:val="5"/>
        <w:keepNext w:val="0"/>
        <w:keepLines w:val="0"/>
        <w:pageBreakBefore w:val="0"/>
        <w:widowControl/>
        <w:shd w:val="clear" w:color="auto" w:fill="FFFFFF"/>
        <w:kinsoku/>
        <w:wordWrap/>
        <w:topLinePunct w:val="0"/>
        <w:autoSpaceDE/>
        <w:bidi w:val="0"/>
        <w:adjustRightInd/>
        <w:spacing w:before="0" w:beforeAutospacing="0" w:after="0" w:afterAutospacing="0" w:line="600" w:lineRule="exact"/>
        <w:ind w:firstLine="640" w:firstLineChars="200"/>
        <w:jc w:val="both"/>
        <w:textAlignment w:val="auto"/>
        <w:rPr>
          <w:rFonts w:hint="eastAsia" w:ascii="国标仿宋-GB/T 2312" w:hAnsi="国标仿宋-GB/T 2312" w:eastAsia="国标仿宋-GB/T 2312" w:cs="国标仿宋-GB/T 2312"/>
          <w:sz w:val="32"/>
          <w:szCs w:val="32"/>
        </w:rPr>
      </w:pPr>
      <w:r>
        <w:rPr>
          <w:rFonts w:hint="eastAsia" w:ascii="国标仿宋-GB/T 2312" w:hAnsi="国标仿宋-GB/T 2312" w:eastAsia="国标仿宋-GB/T 2312" w:cs="国标仿宋-GB/T 2312"/>
          <w:sz w:val="32"/>
          <w:szCs w:val="32"/>
        </w:rPr>
        <w:t>加强招商经费使用监督，定期公开经费支出进度与用途，接受内部审计与社会监督，保障资金规范高效使用。</w:t>
      </w:r>
    </w:p>
    <w:p w14:paraId="73A8D7A6">
      <w:pPr>
        <w:keepNext w:val="0"/>
        <w:keepLines w:val="0"/>
        <w:pageBreakBefore w:val="0"/>
        <w:widowControl w:val="0"/>
        <w:numPr>
          <w:ilvl w:val="0"/>
          <w:numId w:val="0"/>
        </w:numPr>
        <w:shd w:val="clear" w:color="auto" w:fill="FFFFFF"/>
        <w:kinsoku/>
        <w:wordWrap/>
        <w:overflowPunct w:val="0"/>
        <w:topLinePunct w:val="0"/>
        <w:autoSpaceDE/>
        <w:autoSpaceDN/>
        <w:bidi w:val="0"/>
        <w:adjustRightInd/>
        <w:snapToGrid/>
        <w:spacing w:line="600" w:lineRule="exact"/>
        <w:ind w:firstLine="641" w:firstLineChars="200"/>
        <w:jc w:val="left"/>
        <w:textAlignment w:val="auto"/>
        <w:rPr>
          <w:rFonts w:hint="eastAsia" w:ascii="国标仿宋-GB/T 2312" w:hAnsi="国标仿宋-GB/T 2312" w:eastAsia="国标仿宋-GB/T 2312" w:cs="国标仿宋-GB/T 2312"/>
          <w:b/>
          <w:bCs/>
          <w:sz w:val="32"/>
          <w:szCs w:val="32"/>
          <w:lang w:eastAsia="zh-CN"/>
        </w:rPr>
      </w:pPr>
      <w:r>
        <w:rPr>
          <w:rFonts w:hint="eastAsia" w:ascii="国标仿宋-GB/T 2312" w:hAnsi="国标仿宋-GB/T 2312" w:eastAsia="国标仿宋-GB/T 2312" w:cs="国标仿宋-GB/T 2312"/>
          <w:b/>
          <w:bCs/>
          <w:sz w:val="32"/>
          <w:szCs w:val="32"/>
          <w:lang w:eastAsia="zh-CN"/>
        </w:rPr>
        <w:t>（三）科学构建绩效评价指标体系，提升评估质量</w:t>
      </w:r>
    </w:p>
    <w:p w14:paraId="62B980EA">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val="0"/>
          <w:bCs w:val="0"/>
          <w:sz w:val="32"/>
          <w:szCs w:val="32"/>
          <w:lang w:eastAsia="zh-CN"/>
        </w:rPr>
      </w:pPr>
      <w:r>
        <w:rPr>
          <w:rFonts w:hint="eastAsia" w:ascii="国标仿宋-GB/T 2312" w:hAnsi="国标仿宋-GB/T 2312" w:eastAsia="国标仿宋-GB/T 2312" w:cs="国标仿宋-GB/T 2312"/>
          <w:b/>
          <w:bCs/>
          <w:sz w:val="32"/>
          <w:szCs w:val="32"/>
          <w:lang w:eastAsia="zh-CN"/>
        </w:rPr>
        <w:t>1. 深化政策学习：</w:t>
      </w:r>
      <w:r>
        <w:rPr>
          <w:rFonts w:hint="eastAsia" w:ascii="国标仿宋-GB/T 2312" w:hAnsi="国标仿宋-GB/T 2312" w:eastAsia="国标仿宋-GB/T 2312" w:cs="国标仿宋-GB/T 2312"/>
          <w:b w:val="0"/>
          <w:bCs w:val="0"/>
          <w:sz w:val="32"/>
          <w:szCs w:val="32"/>
          <w:lang w:eastAsia="zh-CN"/>
        </w:rPr>
        <w:t>组织各职能股室开展绩效评价政策专题学习会、政策解读沙龙，准确把握绩效评价的目标、要求与方法，提升全员对绩效工作的认知。</w:t>
      </w:r>
    </w:p>
    <w:p w14:paraId="0FA4204D">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val="0"/>
          <w:bCs w:val="0"/>
          <w:sz w:val="32"/>
          <w:szCs w:val="32"/>
          <w:lang w:eastAsia="zh-CN"/>
        </w:rPr>
      </w:pPr>
      <w:r>
        <w:rPr>
          <w:rFonts w:hint="eastAsia" w:ascii="国标仿宋-GB/T 2312" w:hAnsi="国标仿宋-GB/T 2312" w:eastAsia="国标仿宋-GB/T 2312" w:cs="国标仿宋-GB/T 2312"/>
          <w:b/>
          <w:bCs/>
          <w:sz w:val="32"/>
          <w:szCs w:val="32"/>
          <w:lang w:eastAsia="zh-CN"/>
        </w:rPr>
        <w:t>2. 强化专业培训：</w:t>
      </w:r>
      <w:r>
        <w:rPr>
          <w:rFonts w:hint="eastAsia" w:ascii="国标仿宋-GB/T 2312" w:hAnsi="国标仿宋-GB/T 2312" w:eastAsia="国标仿宋-GB/T 2312" w:cs="国标仿宋-GB/T 2312"/>
          <w:b w:val="0"/>
          <w:bCs w:val="0"/>
          <w:sz w:val="32"/>
          <w:szCs w:val="32"/>
          <w:lang w:eastAsia="zh-CN"/>
        </w:rPr>
        <w:t>结合统计业务与财政预算执行实战需求，邀请绩效管理专家开展实战教学，通过 “案例分享 + 问题研讨” 模式，逐步破解绩效评价中的难点问题，提升业务能力。</w:t>
      </w:r>
    </w:p>
    <w:p w14:paraId="101D0239">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val="0"/>
          <w:bCs w:val="0"/>
          <w:sz w:val="32"/>
          <w:szCs w:val="32"/>
          <w:lang w:eastAsia="zh-CN"/>
        </w:rPr>
      </w:pPr>
      <w:r>
        <w:rPr>
          <w:rFonts w:hint="eastAsia" w:ascii="国标仿宋-GB/T 2312" w:hAnsi="国标仿宋-GB/T 2312" w:eastAsia="国标仿宋-GB/T 2312" w:cs="国标仿宋-GB/T 2312"/>
          <w:b/>
          <w:bCs/>
          <w:sz w:val="32"/>
          <w:szCs w:val="32"/>
          <w:lang w:eastAsia="zh-CN"/>
        </w:rPr>
        <w:t>3. 优化指标设计：</w:t>
      </w:r>
      <w:r>
        <w:rPr>
          <w:rFonts w:hint="eastAsia" w:ascii="国标仿宋-GB/T 2312" w:hAnsi="国标仿宋-GB/T 2312" w:eastAsia="国标仿宋-GB/T 2312" w:cs="国标仿宋-GB/T 2312"/>
          <w:b w:val="0"/>
          <w:bCs w:val="0"/>
          <w:sz w:val="32"/>
          <w:szCs w:val="32"/>
          <w:lang w:eastAsia="zh-CN"/>
        </w:rPr>
        <w:t>加大定量指标占比，结合项目实际与行业标准动态调整指标体系，建立“季度评估、年度优化” 机制，确保指标科学性与可操作性。</w:t>
      </w:r>
    </w:p>
    <w:p w14:paraId="435C0652">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 w:val="32"/>
          <w:szCs w:val="32"/>
          <w:lang w:eastAsia="zh-CN"/>
        </w:rPr>
      </w:pPr>
      <w:r>
        <w:rPr>
          <w:rFonts w:hint="eastAsia" w:ascii="国标仿宋-GB/T 2312" w:hAnsi="国标仿宋-GB/T 2312" w:eastAsia="国标仿宋-GB/T 2312" w:cs="国标仿宋-GB/T 2312"/>
          <w:b/>
          <w:bCs/>
          <w:sz w:val="32"/>
          <w:szCs w:val="32"/>
          <w:lang w:eastAsia="zh-CN"/>
        </w:rPr>
        <w:t>（四）健全绩效管理制度，完善综合管理体系</w:t>
      </w:r>
    </w:p>
    <w:p w14:paraId="0B81BF9D">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val="0"/>
          <w:bCs w:val="0"/>
          <w:sz w:val="32"/>
          <w:szCs w:val="32"/>
          <w:lang w:eastAsia="zh-CN"/>
        </w:rPr>
      </w:pPr>
      <w:r>
        <w:rPr>
          <w:rFonts w:hint="eastAsia" w:ascii="国标仿宋-GB/T 2312" w:hAnsi="国标仿宋-GB/T 2312" w:eastAsia="国标仿宋-GB/T 2312" w:cs="国标仿宋-GB/T 2312"/>
          <w:b/>
          <w:bCs/>
          <w:sz w:val="32"/>
          <w:szCs w:val="32"/>
          <w:lang w:eastAsia="zh-CN"/>
        </w:rPr>
        <w:t>1. 明确职责协同：</w:t>
      </w:r>
      <w:r>
        <w:rPr>
          <w:rFonts w:hint="eastAsia" w:ascii="国标仿宋-GB/T 2312" w:hAnsi="国标仿宋-GB/T 2312" w:eastAsia="国标仿宋-GB/T 2312" w:cs="国标仿宋-GB/T 2312"/>
          <w:b w:val="0"/>
          <w:bCs w:val="0"/>
          <w:sz w:val="32"/>
          <w:szCs w:val="32"/>
          <w:lang w:eastAsia="zh-CN"/>
        </w:rPr>
        <w:t>细化各部门、各岗位在预算绩效管理中的职责，建立“横向协同、纵向联动”的工作格局，避免职责交叉或缺位。</w:t>
      </w:r>
    </w:p>
    <w:p w14:paraId="0C3DFF8F">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val="0"/>
          <w:bCs w:val="0"/>
          <w:sz w:val="32"/>
          <w:szCs w:val="32"/>
          <w:lang w:eastAsia="zh-CN"/>
        </w:rPr>
      </w:pPr>
      <w:r>
        <w:rPr>
          <w:rFonts w:hint="eastAsia" w:ascii="国标仿宋-GB/T 2312" w:hAnsi="国标仿宋-GB/T 2312" w:eastAsia="国标仿宋-GB/T 2312" w:cs="国标仿宋-GB/T 2312"/>
          <w:b/>
          <w:bCs/>
          <w:sz w:val="32"/>
          <w:szCs w:val="32"/>
          <w:lang w:eastAsia="zh-CN"/>
        </w:rPr>
        <w:t>2. 优化激励机制：</w:t>
      </w:r>
      <w:r>
        <w:rPr>
          <w:rFonts w:hint="eastAsia" w:ascii="国标仿宋-GB/T 2312" w:hAnsi="国标仿宋-GB/T 2312" w:eastAsia="国标仿宋-GB/T 2312" w:cs="国标仿宋-GB/T 2312"/>
          <w:b w:val="0"/>
          <w:bCs w:val="0"/>
          <w:sz w:val="32"/>
          <w:szCs w:val="32"/>
          <w:lang w:eastAsia="zh-CN"/>
        </w:rPr>
        <w:t>将预算绩效管理成效与部门考核、个人评优挂钩，设立绩效工作专项奖励，充分调动全员参与积极性。</w:t>
      </w:r>
    </w:p>
    <w:p w14:paraId="45B228A0">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val="0"/>
          <w:bCs w:val="0"/>
          <w:sz w:val="32"/>
          <w:szCs w:val="32"/>
          <w:lang w:eastAsia="zh-CN"/>
        </w:rPr>
      </w:pPr>
      <w:r>
        <w:rPr>
          <w:rFonts w:hint="eastAsia" w:ascii="国标仿宋-GB/T 2312" w:hAnsi="国标仿宋-GB/T 2312" w:eastAsia="国标仿宋-GB/T 2312" w:cs="国标仿宋-GB/T 2312"/>
          <w:b/>
          <w:bCs/>
          <w:sz w:val="32"/>
          <w:szCs w:val="32"/>
          <w:lang w:eastAsia="zh-CN"/>
        </w:rPr>
        <w:t>3. 夯实管理基础：</w:t>
      </w:r>
      <w:r>
        <w:rPr>
          <w:rFonts w:hint="eastAsia" w:ascii="国标仿宋-GB/T 2312" w:hAnsi="国标仿宋-GB/T 2312" w:eastAsia="国标仿宋-GB/T 2312" w:cs="国标仿宋-GB/T 2312"/>
          <w:b w:val="0"/>
          <w:bCs w:val="0"/>
          <w:sz w:val="32"/>
          <w:szCs w:val="32"/>
          <w:lang w:eastAsia="zh-CN"/>
        </w:rPr>
        <w:t>针对会计基础薄弱问题，根据人员编制优化岗位配置，明确岗位职责与制衡要求，杜绝一岗多职；建立会计基础工作定期检查机制，提升工作规范性。</w:t>
      </w:r>
    </w:p>
    <w:p w14:paraId="2994A77A">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val="0"/>
          <w:bCs w:val="0"/>
          <w:sz w:val="32"/>
          <w:szCs w:val="32"/>
          <w:lang w:eastAsia="zh-CN"/>
        </w:rPr>
      </w:pPr>
      <w:r>
        <w:rPr>
          <w:rFonts w:hint="eastAsia" w:ascii="国标仿宋-GB/T 2312" w:hAnsi="国标仿宋-GB/T 2312" w:eastAsia="国标仿宋-GB/T 2312" w:cs="国标仿宋-GB/T 2312"/>
          <w:b/>
          <w:bCs/>
          <w:sz w:val="32"/>
          <w:szCs w:val="32"/>
          <w:lang w:eastAsia="zh-CN"/>
        </w:rPr>
        <w:t>4. 完善监督闭环：</w:t>
      </w:r>
      <w:r>
        <w:rPr>
          <w:rFonts w:hint="eastAsia" w:ascii="国标仿宋-GB/T 2312" w:hAnsi="国标仿宋-GB/T 2312" w:eastAsia="国标仿宋-GB/T 2312" w:cs="国标仿宋-GB/T 2312"/>
          <w:b w:val="0"/>
          <w:bCs w:val="0"/>
          <w:sz w:val="32"/>
          <w:szCs w:val="32"/>
          <w:lang w:eastAsia="zh-CN"/>
        </w:rPr>
        <w:t>设立专门内审机构，明确监督主体、流程与标准；建立“工作完成</w:t>
      </w:r>
      <w:r>
        <w:rPr>
          <w:rFonts w:hint="eastAsia" w:ascii="国标仿宋-GB/T 2312" w:hAnsi="国标仿宋-GB/T 2312" w:eastAsia="国标仿宋-GB/T 2312" w:cs="国标仿宋-GB/T 2312"/>
          <w:b w:val="0"/>
          <w:bCs w:val="0"/>
          <w:sz w:val="32"/>
          <w:szCs w:val="32"/>
          <w:lang w:val="en-US" w:eastAsia="zh-CN"/>
        </w:rPr>
        <w:t>-</w:t>
      </w:r>
      <w:r>
        <w:rPr>
          <w:rFonts w:hint="eastAsia" w:ascii="国标仿宋-GB/T 2312" w:hAnsi="国标仿宋-GB/T 2312" w:eastAsia="国标仿宋-GB/T 2312" w:cs="国标仿宋-GB/T 2312"/>
          <w:b w:val="0"/>
          <w:bCs w:val="0"/>
          <w:sz w:val="32"/>
          <w:szCs w:val="32"/>
          <w:lang w:eastAsia="zh-CN"/>
        </w:rPr>
        <w:t>评价反馈</w:t>
      </w:r>
      <w:r>
        <w:rPr>
          <w:rFonts w:hint="eastAsia" w:ascii="国标仿宋-GB/T 2312" w:hAnsi="国标仿宋-GB/T 2312" w:eastAsia="国标仿宋-GB/T 2312" w:cs="国标仿宋-GB/T 2312"/>
          <w:b w:val="0"/>
          <w:bCs w:val="0"/>
          <w:sz w:val="32"/>
          <w:szCs w:val="32"/>
          <w:lang w:val="en-US" w:eastAsia="zh-CN"/>
        </w:rPr>
        <w:t>-</w:t>
      </w:r>
      <w:r>
        <w:rPr>
          <w:rFonts w:hint="eastAsia" w:ascii="国标仿宋-GB/T 2312" w:hAnsi="国标仿宋-GB/T 2312" w:eastAsia="国标仿宋-GB/T 2312" w:cs="国标仿宋-GB/T 2312"/>
          <w:b w:val="0"/>
          <w:bCs w:val="0"/>
          <w:sz w:val="32"/>
          <w:szCs w:val="32"/>
          <w:lang w:eastAsia="zh-CN"/>
        </w:rPr>
        <w:t>问题整改</w:t>
      </w:r>
      <w:r>
        <w:rPr>
          <w:rFonts w:hint="eastAsia" w:ascii="国标仿宋-GB/T 2312" w:hAnsi="国标仿宋-GB/T 2312" w:eastAsia="国标仿宋-GB/T 2312" w:cs="国标仿宋-GB/T 2312"/>
          <w:b w:val="0"/>
          <w:bCs w:val="0"/>
          <w:sz w:val="32"/>
          <w:szCs w:val="32"/>
          <w:lang w:val="en-US" w:eastAsia="zh-CN"/>
        </w:rPr>
        <w:t>-</w:t>
      </w:r>
      <w:r>
        <w:rPr>
          <w:rFonts w:hint="eastAsia" w:ascii="国标仿宋-GB/T 2312" w:hAnsi="国标仿宋-GB/T 2312" w:eastAsia="国标仿宋-GB/T 2312" w:cs="国标仿宋-GB/T 2312"/>
          <w:b w:val="0"/>
          <w:bCs w:val="0"/>
          <w:sz w:val="32"/>
          <w:szCs w:val="32"/>
          <w:lang w:eastAsia="zh-CN"/>
        </w:rPr>
        <w:t>跟踪复核”的监督闭环，确保改进措施落地见效。</w:t>
      </w:r>
    </w:p>
    <w:p w14:paraId="20EF375A">
      <w:pPr>
        <w:keepNext w:val="0"/>
        <w:keepLines w:val="0"/>
        <w:pageBreakBefore w:val="0"/>
        <w:widowControl/>
        <w:kinsoku/>
        <w:wordWrap/>
        <w:topLinePunct w:val="0"/>
        <w:autoSpaceDE/>
        <w:bidi w:val="0"/>
        <w:adjustRightInd/>
        <w:spacing w:line="600" w:lineRule="exact"/>
        <w:ind w:firstLine="641" w:firstLineChars="200"/>
        <w:jc w:val="left"/>
        <w:textAlignment w:val="auto"/>
        <w:rPr>
          <w:rFonts w:hint="eastAsia" w:ascii="国标仿宋-GB/T 2312" w:hAnsi="国标仿宋-GB/T 2312" w:eastAsia="国标仿宋-GB/T 2312" w:cs="国标仿宋-GB/T 2312"/>
          <w:b/>
          <w:bCs/>
          <w:szCs w:val="32"/>
        </w:rPr>
      </w:pPr>
      <w:r>
        <w:rPr>
          <w:rFonts w:hint="eastAsia" w:ascii="国标仿宋-GB/T 2312" w:hAnsi="国标仿宋-GB/T 2312" w:eastAsia="国标仿宋-GB/T 2312" w:cs="国标仿宋-GB/T 2312"/>
          <w:b/>
          <w:bCs/>
          <w:szCs w:val="32"/>
        </w:rPr>
        <w:t>七、整体支出绩效自评结果拟应用和公开情况</w:t>
      </w:r>
    </w:p>
    <w:p w14:paraId="115CFAEF">
      <w:pPr>
        <w:keepNext w:val="0"/>
        <w:keepLines w:val="0"/>
        <w:pageBreakBefore w:val="0"/>
        <w:kinsoku/>
        <w:wordWrap/>
        <w:topLinePunct w:val="0"/>
        <w:autoSpaceDE/>
        <w:bidi w:val="0"/>
        <w:adjustRightInd/>
        <w:spacing w:line="600" w:lineRule="exact"/>
        <w:ind w:firstLine="640" w:firstLineChars="200"/>
        <w:textAlignment w:val="auto"/>
        <w:rPr>
          <w:rFonts w:ascii="仿宋" w:hAnsi="仿宋" w:eastAsia="仿宋" w:cs="仿宋_GB2312"/>
          <w:szCs w:val="32"/>
        </w:rPr>
      </w:pPr>
      <w:r>
        <w:rPr>
          <w:rFonts w:hint="eastAsia" w:ascii="国标仿宋-GB/T 2312" w:hAnsi="国标仿宋-GB/T 2312" w:eastAsia="国标仿宋-GB/T 2312" w:cs="国标仿宋-GB/T 2312"/>
          <w:szCs w:val="32"/>
        </w:rPr>
        <w:t>本部门2024年度整体绩效评价报告及相关表格将</w:t>
      </w:r>
      <w:r>
        <w:rPr>
          <w:rFonts w:hint="eastAsia" w:ascii="仿宋" w:hAnsi="仿宋" w:eastAsia="仿宋" w:cs="仿宋_GB2312"/>
          <w:szCs w:val="32"/>
        </w:rPr>
        <w:t>按规定在门户网站进行公开，接受社会监督。绩效自评结果将为下年度预算配置、预算执行和预算管理提供参照和依据，自评工作中发现的问题及时整改。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国标仿宋-GB/T 2312">
    <w:panose1 w:val="02000500000000000000"/>
    <w:charset w:val="86"/>
    <w:family w:val="auto"/>
    <w:pitch w:val="default"/>
    <w:sig w:usb0="800002AF" w:usb1="08476CF8" w:usb2="00000010" w:usb3="00000000" w:csb0="00040000" w:csb1="00000000"/>
  </w:font>
  <w:font w:name="DejaVu Math TeX Gyre">
    <w:panose1 w:val="02000503000000000000"/>
    <w:charset w:val="00"/>
    <w:family w:val="auto"/>
    <w:pitch w:val="default"/>
    <w:sig w:usb0="A10000EF" w:usb1="4201F9EE" w:usb2="02000000" w:usb3="00000000" w:csb0="60000193" w:csb1="0DD4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502C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D78DA">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719BE"/>
    <w:multiLevelType w:val="singleLevel"/>
    <w:tmpl w:val="AF3719BE"/>
    <w:lvl w:ilvl="0" w:tentative="0">
      <w:start w:val="1"/>
      <w:numFmt w:val="chineseCounting"/>
      <w:suff w:val="nothing"/>
      <w:lvlText w:val="%1、"/>
      <w:lvlJc w:val="left"/>
      <w:rPr>
        <w:rFonts w:hint="eastAsia"/>
      </w:rPr>
    </w:lvl>
  </w:abstractNum>
  <w:abstractNum w:abstractNumId="1">
    <w:nsid w:val="F7FB7FCE"/>
    <w:multiLevelType w:val="singleLevel"/>
    <w:tmpl w:val="F7FB7FCE"/>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YzZjUzYWM4Yzk3NTU1NmQ3MTVlMTljODU0M2FiOTMifQ=="/>
  </w:docVars>
  <w:rsids>
    <w:rsidRoot w:val="08424EDD"/>
    <w:rsid w:val="00057AE5"/>
    <w:rsid w:val="000603D9"/>
    <w:rsid w:val="00155901"/>
    <w:rsid w:val="001D15C8"/>
    <w:rsid w:val="00211CB9"/>
    <w:rsid w:val="00282803"/>
    <w:rsid w:val="00384885"/>
    <w:rsid w:val="003D069E"/>
    <w:rsid w:val="00455C70"/>
    <w:rsid w:val="00466512"/>
    <w:rsid w:val="006404E8"/>
    <w:rsid w:val="00675EE6"/>
    <w:rsid w:val="007016C1"/>
    <w:rsid w:val="007327F0"/>
    <w:rsid w:val="007D6D1C"/>
    <w:rsid w:val="008D3E74"/>
    <w:rsid w:val="009E2502"/>
    <w:rsid w:val="00B0050E"/>
    <w:rsid w:val="00B53E07"/>
    <w:rsid w:val="00BD2D50"/>
    <w:rsid w:val="00C118E4"/>
    <w:rsid w:val="00C378B0"/>
    <w:rsid w:val="00CA5D81"/>
    <w:rsid w:val="00D62A27"/>
    <w:rsid w:val="00DC7725"/>
    <w:rsid w:val="00E9795F"/>
    <w:rsid w:val="00EC5484"/>
    <w:rsid w:val="00FD4F50"/>
    <w:rsid w:val="00FF1872"/>
    <w:rsid w:val="01DF12E0"/>
    <w:rsid w:val="01E23011"/>
    <w:rsid w:val="020C0C4E"/>
    <w:rsid w:val="02932388"/>
    <w:rsid w:val="037A4C5C"/>
    <w:rsid w:val="04BD38C2"/>
    <w:rsid w:val="04EB3BB5"/>
    <w:rsid w:val="06781D56"/>
    <w:rsid w:val="06DB2F20"/>
    <w:rsid w:val="077F3F8B"/>
    <w:rsid w:val="08265D91"/>
    <w:rsid w:val="08424EDD"/>
    <w:rsid w:val="0CF772D4"/>
    <w:rsid w:val="0D430A51"/>
    <w:rsid w:val="0DC334BA"/>
    <w:rsid w:val="0EB5391B"/>
    <w:rsid w:val="0F0827DA"/>
    <w:rsid w:val="12410CD1"/>
    <w:rsid w:val="12494B65"/>
    <w:rsid w:val="13166FBF"/>
    <w:rsid w:val="15344D3E"/>
    <w:rsid w:val="15470BE9"/>
    <w:rsid w:val="15B72137"/>
    <w:rsid w:val="16AD7C3A"/>
    <w:rsid w:val="17BD4E5A"/>
    <w:rsid w:val="188E75F7"/>
    <w:rsid w:val="189701D6"/>
    <w:rsid w:val="18CD74E2"/>
    <w:rsid w:val="18F25DD8"/>
    <w:rsid w:val="1B993D75"/>
    <w:rsid w:val="1BF8455C"/>
    <w:rsid w:val="1D710ED6"/>
    <w:rsid w:val="1D7F14A6"/>
    <w:rsid w:val="1DD345D1"/>
    <w:rsid w:val="1E301562"/>
    <w:rsid w:val="1E8B266C"/>
    <w:rsid w:val="1EBD070D"/>
    <w:rsid w:val="2222653F"/>
    <w:rsid w:val="22263063"/>
    <w:rsid w:val="22CB7A9A"/>
    <w:rsid w:val="22D93D85"/>
    <w:rsid w:val="237E3D85"/>
    <w:rsid w:val="24415E66"/>
    <w:rsid w:val="24FC62EF"/>
    <w:rsid w:val="25844348"/>
    <w:rsid w:val="263B21B5"/>
    <w:rsid w:val="268D5392"/>
    <w:rsid w:val="26BC0DFA"/>
    <w:rsid w:val="26EB4F82"/>
    <w:rsid w:val="29030993"/>
    <w:rsid w:val="2B1A44FF"/>
    <w:rsid w:val="2BC50243"/>
    <w:rsid w:val="2CB27F45"/>
    <w:rsid w:val="2CE46028"/>
    <w:rsid w:val="2CF5626A"/>
    <w:rsid w:val="2E2E2720"/>
    <w:rsid w:val="2F785653"/>
    <w:rsid w:val="30AE16E4"/>
    <w:rsid w:val="318F6462"/>
    <w:rsid w:val="325D2A8B"/>
    <w:rsid w:val="32CD6452"/>
    <w:rsid w:val="33A17EB0"/>
    <w:rsid w:val="34386774"/>
    <w:rsid w:val="3542345E"/>
    <w:rsid w:val="36917BB1"/>
    <w:rsid w:val="37353608"/>
    <w:rsid w:val="388A2113"/>
    <w:rsid w:val="38A44CAD"/>
    <w:rsid w:val="39E43F2D"/>
    <w:rsid w:val="3A164EE9"/>
    <w:rsid w:val="3B597F96"/>
    <w:rsid w:val="3C41668F"/>
    <w:rsid w:val="3CA02772"/>
    <w:rsid w:val="3D9A6657"/>
    <w:rsid w:val="3E0D0E3B"/>
    <w:rsid w:val="3E74638B"/>
    <w:rsid w:val="3EF2A6B2"/>
    <w:rsid w:val="3EFA1EB2"/>
    <w:rsid w:val="410302D3"/>
    <w:rsid w:val="41A2189A"/>
    <w:rsid w:val="41E023C2"/>
    <w:rsid w:val="41FF4DFA"/>
    <w:rsid w:val="450A60D4"/>
    <w:rsid w:val="45AE4881"/>
    <w:rsid w:val="45CA13BF"/>
    <w:rsid w:val="46832D9B"/>
    <w:rsid w:val="46A95479"/>
    <w:rsid w:val="477959E8"/>
    <w:rsid w:val="47B15B67"/>
    <w:rsid w:val="47E5148F"/>
    <w:rsid w:val="48303EA1"/>
    <w:rsid w:val="48DA400F"/>
    <w:rsid w:val="48DB1B35"/>
    <w:rsid w:val="49581273"/>
    <w:rsid w:val="49E04D5D"/>
    <w:rsid w:val="4A0B51BF"/>
    <w:rsid w:val="4A8C758B"/>
    <w:rsid w:val="4BD048BE"/>
    <w:rsid w:val="4C7A43E5"/>
    <w:rsid w:val="4C892CA6"/>
    <w:rsid w:val="4CC92E63"/>
    <w:rsid w:val="4D477799"/>
    <w:rsid w:val="4D824A84"/>
    <w:rsid w:val="518C0422"/>
    <w:rsid w:val="53E079CC"/>
    <w:rsid w:val="54AD082A"/>
    <w:rsid w:val="54F43483"/>
    <w:rsid w:val="55443E3A"/>
    <w:rsid w:val="57582D36"/>
    <w:rsid w:val="57BB325E"/>
    <w:rsid w:val="58E50210"/>
    <w:rsid w:val="59661796"/>
    <w:rsid w:val="5A302684"/>
    <w:rsid w:val="5AC02AE1"/>
    <w:rsid w:val="5C861E69"/>
    <w:rsid w:val="5D6F70A6"/>
    <w:rsid w:val="5EB32EE1"/>
    <w:rsid w:val="5FB52284"/>
    <w:rsid w:val="5FFE8AAC"/>
    <w:rsid w:val="601E02D9"/>
    <w:rsid w:val="60AD392A"/>
    <w:rsid w:val="60F33A68"/>
    <w:rsid w:val="632009C2"/>
    <w:rsid w:val="639E645B"/>
    <w:rsid w:val="63B867E3"/>
    <w:rsid w:val="64914E40"/>
    <w:rsid w:val="65EC3C75"/>
    <w:rsid w:val="664A1A2C"/>
    <w:rsid w:val="665F74AA"/>
    <w:rsid w:val="66DE4968"/>
    <w:rsid w:val="677900A9"/>
    <w:rsid w:val="68C77F4A"/>
    <w:rsid w:val="68F15417"/>
    <w:rsid w:val="6AE12510"/>
    <w:rsid w:val="6AFE715F"/>
    <w:rsid w:val="6B2E46DA"/>
    <w:rsid w:val="6B8342AA"/>
    <w:rsid w:val="6B907DB6"/>
    <w:rsid w:val="6C3C1144"/>
    <w:rsid w:val="6CC645A8"/>
    <w:rsid w:val="6D2C0473"/>
    <w:rsid w:val="6E3B55CE"/>
    <w:rsid w:val="6F965EEB"/>
    <w:rsid w:val="73EE18B7"/>
    <w:rsid w:val="758C37C4"/>
    <w:rsid w:val="759D26FD"/>
    <w:rsid w:val="763D5EC9"/>
    <w:rsid w:val="77092289"/>
    <w:rsid w:val="77DD8B83"/>
    <w:rsid w:val="794C1942"/>
    <w:rsid w:val="796726BF"/>
    <w:rsid w:val="7C8F4132"/>
    <w:rsid w:val="7D425242"/>
    <w:rsid w:val="7DA517E7"/>
    <w:rsid w:val="7E354BA9"/>
    <w:rsid w:val="7F6A7885"/>
    <w:rsid w:val="7FE16BC2"/>
    <w:rsid w:val="7FE98A70"/>
    <w:rsid w:val="AFE7E477"/>
    <w:rsid w:val="D66F058C"/>
    <w:rsid w:val="DE379650"/>
    <w:rsid w:val="DFCFDD19"/>
    <w:rsid w:val="E9E781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toc 1"/>
    <w:basedOn w:val="1"/>
    <w:next w:val="1"/>
    <w:qFormat/>
    <w:uiPriority w:val="0"/>
    <w:rPr>
      <w:szCs w:val="24"/>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0"/>
    <w:rPr>
      <w:b/>
    </w:rPr>
  </w:style>
  <w:style w:type="paragraph" w:styleId="9">
    <w:name w:val="List Paragraph"/>
    <w:basedOn w:val="1"/>
    <w:autoRedefine/>
    <w:qFormat/>
    <w:uiPriority w:val="99"/>
    <w:pPr>
      <w:ind w:firstLine="420" w:firstLineChars="200"/>
    </w:pPr>
    <w:rPr>
      <w:szCs w:val="22"/>
    </w:rPr>
  </w:style>
  <w:style w:type="paragraph" w:customStyle="1" w:styleId="10">
    <w:name w:val="BodyText1I2"/>
    <w:basedOn w:val="11"/>
    <w:qFormat/>
    <w:uiPriority w:val="0"/>
    <w:pPr>
      <w:ind w:firstLine="420"/>
    </w:pPr>
  </w:style>
  <w:style w:type="paragraph" w:customStyle="1" w:styleId="11">
    <w:name w:val="BodyTextIndent"/>
    <w:basedOn w:val="1"/>
    <w:autoRedefine/>
    <w:qFormat/>
    <w:uiPriority w:val="0"/>
    <w:pPr>
      <w:spacing w:after="120"/>
      <w:ind w:left="420" w:leftChars="200" w:firstLine="200" w:firstLineChars="200"/>
      <w:textAlignment w:val="baseline"/>
    </w:pPr>
  </w:style>
  <w:style w:type="paragraph" w:customStyle="1" w:styleId="12">
    <w:name w:val="18"/>
    <w:basedOn w:val="1"/>
    <w:qFormat/>
    <w:uiPriority w:val="0"/>
    <w:rPr>
      <w:rFonts w:hint="eastAsia" w:ascii="等线" w:hAnsi="等线" w:eastAsia="等线"/>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6728</Words>
  <Characters>7012</Characters>
  <Lines>48</Lines>
  <Paragraphs>13</Paragraphs>
  <TotalTime>606</TotalTime>
  <ScaleCrop>false</ScaleCrop>
  <LinksUpToDate>false</LinksUpToDate>
  <CharactersWithSpaces>7046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2024-05-22T05:29:00Z</dcterms:created>
  <dc:creator>Administrator</dc:creator>
  <cp:lastModifiedBy>hw</cp:lastModifiedBy>
  <cp:lastPrinted>2024-05-27T18:22:00Z</cp:lastPrinted>
  <dcterms:modified xsi:type="dcterms:W3CDTF">2025-10-14T16:09:33Z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0622D5D48AD143D8A18F86F53D63A482_11</vt:lpwstr>
  </property>
</Properties>
</file>