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仿宋_GB2312" w:hAnsi="仿宋_GB2312" w:cs="仿宋_GB2312"/>
          <w:b/>
          <w:bCs/>
          <w:kern w:val="0"/>
          <w:sz w:val="44"/>
          <w:szCs w:val="44"/>
          <w:lang w:val="en-US" w:eastAsia="zh-CN" w:bidi="ar-SA"/>
        </w:rPr>
      </w:pPr>
      <w:bookmarkStart w:id="0" w:name="_GoBack"/>
      <w:bookmarkEnd w:id="0"/>
      <w:r>
        <w:rPr>
          <w:rFonts w:hint="eastAsia" w:ascii="仿宋_GB2312" w:hAnsi="仿宋_GB2312" w:cs="仿宋_GB2312"/>
          <w:b/>
          <w:bCs/>
          <w:kern w:val="0"/>
          <w:sz w:val="44"/>
          <w:szCs w:val="44"/>
          <w:lang w:val="en-US" w:eastAsia="zh-CN" w:bidi="ar-SA"/>
        </w:rPr>
        <w:t>2024年</w:t>
      </w:r>
      <w:r>
        <w:rPr>
          <w:rFonts w:hint="eastAsia" w:ascii="仿宋_GB2312" w:hAnsi="仿宋_GB2312" w:eastAsia="仿宋_GB2312" w:cs="仿宋_GB2312"/>
          <w:b/>
          <w:bCs/>
          <w:kern w:val="0"/>
          <w:sz w:val="44"/>
          <w:szCs w:val="44"/>
          <w:lang w:val="en-US" w:eastAsia="zh-CN" w:bidi="ar-SA"/>
        </w:rPr>
        <w:t>度</w:t>
      </w:r>
      <w:r>
        <w:rPr>
          <w:rFonts w:hint="eastAsia" w:ascii="仿宋_GB2312" w:hAnsi="仿宋_GB2312" w:cs="仿宋_GB2312"/>
          <w:b/>
          <w:bCs/>
          <w:kern w:val="0"/>
          <w:sz w:val="44"/>
          <w:szCs w:val="44"/>
          <w:lang w:val="en-US" w:eastAsia="zh-CN" w:bidi="ar-SA"/>
        </w:rPr>
        <w:t>益阳市资阳区就业服务中心</w:t>
      </w:r>
    </w:p>
    <w:p>
      <w:pPr>
        <w:spacing w:line="600" w:lineRule="exact"/>
        <w:jc w:val="center"/>
        <w:rPr>
          <w:rFonts w:hint="eastAsia" w:ascii="仿宋_GB2312" w:hAnsi="仿宋_GB2312" w:eastAsia="仿宋_GB2312" w:cs="仿宋_GB2312"/>
          <w:b/>
          <w:bCs/>
          <w:kern w:val="0"/>
          <w:sz w:val="44"/>
          <w:szCs w:val="44"/>
          <w:lang w:val="en-US" w:eastAsia="zh-CN" w:bidi="ar-SA"/>
        </w:rPr>
      </w:pPr>
      <w:r>
        <w:rPr>
          <w:rFonts w:hint="eastAsia" w:ascii="仿宋_GB2312" w:hAnsi="仿宋_GB2312" w:eastAsia="仿宋_GB2312" w:cs="仿宋_GB2312"/>
          <w:b/>
          <w:bCs/>
          <w:kern w:val="0"/>
          <w:sz w:val="44"/>
          <w:szCs w:val="44"/>
          <w:lang w:val="en-US" w:eastAsia="zh-CN" w:bidi="ar-SA"/>
        </w:rPr>
        <w:t>部门整体支出绩效自评报告</w:t>
      </w:r>
    </w:p>
    <w:p>
      <w:pPr>
        <w:pStyle w:val="2"/>
        <w:rPr>
          <w:rFonts w:hint="eastAsia"/>
          <w:lang w:val="en-US" w:eastAsia="zh-CN"/>
        </w:rPr>
      </w:pPr>
    </w:p>
    <w:p>
      <w:pPr>
        <w:spacing w:line="600" w:lineRule="exact"/>
        <w:ind w:firstLine="627" w:firstLineChars="196"/>
        <w:rPr>
          <w:rFonts w:hint="eastAsia"/>
          <w:lang w:val="en-US" w:eastAsia="zh-CN"/>
        </w:rPr>
      </w:pPr>
      <w:r>
        <w:rPr>
          <w:rFonts w:hint="eastAsia" w:ascii="仿宋_GB2312" w:hAnsi="仿宋_GB2312" w:eastAsia="仿宋_GB2312" w:cs="仿宋_GB2312"/>
          <w:kern w:val="0"/>
          <w:sz w:val="32"/>
          <w:szCs w:val="32"/>
          <w:lang w:val="en-US" w:eastAsia="zh-CN" w:bidi="ar-SA"/>
        </w:rPr>
        <w:t>根据益阳市资阳区财政局关于开展</w:t>
      </w:r>
      <w:r>
        <w:rPr>
          <w:rFonts w:hint="eastAsia" w:ascii="仿宋_GB2312" w:hAnsi="仿宋_GB2312" w:cs="仿宋_GB2312"/>
          <w:kern w:val="0"/>
          <w:sz w:val="32"/>
          <w:szCs w:val="32"/>
          <w:lang w:val="en-US" w:eastAsia="zh-CN" w:bidi="ar-SA"/>
        </w:rPr>
        <w:t>2024年</w:t>
      </w:r>
      <w:r>
        <w:rPr>
          <w:rFonts w:hint="eastAsia" w:ascii="仿宋_GB2312" w:hAnsi="仿宋_GB2312" w:eastAsia="仿宋_GB2312" w:cs="仿宋_GB2312"/>
          <w:kern w:val="0"/>
          <w:sz w:val="32"/>
          <w:szCs w:val="32"/>
          <w:lang w:val="en-US" w:eastAsia="zh-CN" w:bidi="ar-SA"/>
        </w:rPr>
        <w:t>度部门绩效自评工作的要求，我</w:t>
      </w:r>
      <w:r>
        <w:rPr>
          <w:rFonts w:hint="eastAsia" w:ascii="仿宋_GB2312" w:hAnsi="仿宋_GB2312" w:cs="仿宋_GB2312"/>
          <w:kern w:val="0"/>
          <w:sz w:val="32"/>
          <w:szCs w:val="32"/>
          <w:lang w:val="en-US" w:eastAsia="zh-CN" w:bidi="ar-SA"/>
        </w:rPr>
        <w:t>中心</w:t>
      </w:r>
      <w:r>
        <w:rPr>
          <w:rFonts w:hint="eastAsia" w:ascii="仿宋_GB2312" w:hAnsi="仿宋_GB2312" w:eastAsia="仿宋_GB2312" w:cs="仿宋_GB2312"/>
          <w:kern w:val="0"/>
          <w:sz w:val="32"/>
          <w:szCs w:val="32"/>
          <w:lang w:val="en-US" w:eastAsia="zh-CN" w:bidi="ar-SA"/>
        </w:rPr>
        <w:t>成立自评工作小组，明确分工，落实责任，认真开展自评自查工作，经查阅、核实有关账务及项目等执行情况，填写自评表格，形成本评价报告。现将益阳市资阳区</w:t>
      </w:r>
      <w:r>
        <w:rPr>
          <w:rFonts w:hint="eastAsia" w:ascii="仿宋_GB2312" w:hAnsi="仿宋_GB2312" w:cs="仿宋_GB2312"/>
          <w:kern w:val="0"/>
          <w:sz w:val="32"/>
          <w:szCs w:val="32"/>
          <w:lang w:val="en-US" w:eastAsia="zh-CN" w:bidi="ar-SA"/>
        </w:rPr>
        <w:t>就业服务中心2024年</w:t>
      </w:r>
      <w:r>
        <w:rPr>
          <w:rFonts w:hint="eastAsia" w:ascii="仿宋_GB2312" w:hAnsi="仿宋_GB2312" w:eastAsia="仿宋_GB2312" w:cs="仿宋_GB2312"/>
          <w:kern w:val="0"/>
          <w:sz w:val="32"/>
          <w:szCs w:val="32"/>
          <w:lang w:val="en-US" w:eastAsia="zh-CN" w:bidi="ar-SA"/>
        </w:rPr>
        <w:t>度整体支出绩效自评情况报告如下：</w:t>
      </w:r>
    </w:p>
    <w:p>
      <w:pPr>
        <w:widowControl/>
        <w:numPr>
          <w:ilvl w:val="0"/>
          <w:numId w:val="1"/>
        </w:numPr>
        <w:autoSpaceDN w:val="0"/>
        <w:spacing w:line="540" w:lineRule="exact"/>
        <w:ind w:firstLine="640"/>
        <w:rPr>
          <w:rFonts w:hint="eastAsia"/>
        </w:rPr>
      </w:pPr>
      <w:r>
        <w:rPr>
          <w:rFonts w:hint="eastAsia" w:ascii="黑体" w:hAnsi="黑体" w:eastAsia="黑体" w:cs="宋体"/>
          <w:color w:val="000000"/>
          <w:kern w:val="0"/>
          <w:sz w:val="32"/>
          <w:szCs w:val="32"/>
        </w:rPr>
        <w:t>部门概况</w:t>
      </w:r>
    </w:p>
    <w:p>
      <w:pPr>
        <w:pStyle w:val="2"/>
        <w:numPr>
          <w:ilvl w:val="0"/>
          <w:numId w:val="2"/>
        </w:numPr>
        <w:ind w:left="0" w:leftChars="0" w:firstLine="630" w:firstLineChars="196"/>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部门职能</w:t>
      </w:r>
    </w:p>
    <w:p>
      <w:pPr>
        <w:pStyle w:val="2"/>
        <w:numPr>
          <w:ilvl w:val="0"/>
          <w:numId w:val="3"/>
        </w:numPr>
        <w:ind w:left="220" w:leftChars="0" w:firstLineChars="0"/>
        <w:rPr>
          <w:rFonts w:hint="eastAsia"/>
          <w:lang w:val="en-US" w:eastAsia="zh-CN"/>
        </w:rPr>
      </w:pPr>
      <w:r>
        <w:rPr>
          <w:rFonts w:hint="eastAsia"/>
          <w:lang w:val="en-US" w:eastAsia="zh-CN"/>
        </w:rPr>
        <w:t>负责全区劳动职业培训，就业服务和失业保险工作；</w:t>
      </w:r>
    </w:p>
    <w:p>
      <w:pPr>
        <w:pStyle w:val="2"/>
        <w:numPr>
          <w:ilvl w:val="0"/>
          <w:numId w:val="3"/>
        </w:numPr>
        <w:ind w:left="220" w:leftChars="0" w:firstLineChars="0"/>
        <w:rPr>
          <w:rFonts w:hint="eastAsia"/>
          <w:lang w:val="en-US" w:eastAsia="zh-CN"/>
        </w:rPr>
      </w:pPr>
      <w:r>
        <w:rPr>
          <w:rFonts w:hint="eastAsia"/>
          <w:lang w:val="en-US" w:eastAsia="zh-CN"/>
        </w:rPr>
        <w:t>拟定职业技能培训机构发展规划；负责就业技能培训，岗位技能提升培训，创业培训；指导定点职业技能培训机构的业务工作；</w:t>
      </w:r>
    </w:p>
    <w:p>
      <w:pPr>
        <w:pStyle w:val="2"/>
        <w:numPr>
          <w:ilvl w:val="0"/>
          <w:numId w:val="3"/>
        </w:numPr>
        <w:ind w:left="220" w:leftChars="0" w:firstLineChars="0"/>
        <w:rPr>
          <w:rFonts w:hint="eastAsia"/>
          <w:lang w:val="en-US" w:eastAsia="zh-CN"/>
        </w:rPr>
      </w:pPr>
      <w:r>
        <w:rPr>
          <w:rFonts w:hint="eastAsia"/>
          <w:lang w:val="en-US" w:eastAsia="zh-CN"/>
        </w:rPr>
        <w:t>协助政府履行有关就业方面的社会公共服务职能。</w:t>
      </w:r>
    </w:p>
    <w:p>
      <w:pPr>
        <w:pStyle w:val="2"/>
        <w:numPr>
          <w:ilvl w:val="0"/>
          <w:numId w:val="2"/>
        </w:numPr>
        <w:ind w:left="0" w:leftChars="0" w:firstLine="630" w:firstLineChars="196"/>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机构设置</w:t>
      </w:r>
    </w:p>
    <w:p>
      <w:pPr>
        <w:pStyle w:val="2"/>
        <w:numPr>
          <w:ilvl w:val="0"/>
          <w:numId w:val="0"/>
        </w:numPr>
        <w:spacing w:after="0"/>
        <w:ind w:left="0" w:leftChars="0" w:firstLine="640" w:firstLineChars="200"/>
        <w:rPr>
          <w:rFonts w:hint="eastAsia"/>
          <w:lang w:val="en-US" w:eastAsia="zh-CN"/>
        </w:rPr>
      </w:pPr>
      <w:r>
        <w:rPr>
          <w:rFonts w:hint="eastAsia"/>
          <w:lang w:val="en-US" w:eastAsia="zh-CN"/>
        </w:rPr>
        <w:t>我中心内设办公室、失业保险、城乡就业、职业培训4个股室。</w:t>
      </w:r>
    </w:p>
    <w:p>
      <w:pPr>
        <w:pStyle w:val="2"/>
        <w:numPr>
          <w:ilvl w:val="0"/>
          <w:numId w:val="0"/>
        </w:numPr>
        <w:spacing w:after="0"/>
        <w:ind w:left="0" w:leftChars="0" w:firstLine="640" w:firstLineChars="200"/>
        <w:rPr>
          <w:rFonts w:hint="eastAsia"/>
          <w:lang w:val="en-US" w:eastAsia="zh-CN"/>
        </w:rPr>
      </w:pPr>
    </w:p>
    <w:p>
      <w:pPr>
        <w:pStyle w:val="2"/>
        <w:numPr>
          <w:ilvl w:val="0"/>
          <w:numId w:val="0"/>
        </w:numPr>
        <w:spacing w:after="0"/>
        <w:ind w:left="0" w:leftChars="0" w:firstLine="640" w:firstLineChars="200"/>
        <w:rPr>
          <w:rFonts w:hint="default"/>
          <w:lang w:val="en-US" w:eastAsia="zh-CN"/>
        </w:rPr>
      </w:pPr>
    </w:p>
    <w:p>
      <w:pPr>
        <w:pStyle w:val="2"/>
        <w:numPr>
          <w:ilvl w:val="0"/>
          <w:numId w:val="2"/>
        </w:numPr>
        <w:ind w:left="0" w:leftChars="0" w:firstLine="630" w:firstLineChars="196"/>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年度总体工作和重点工作任务</w:t>
      </w:r>
    </w:p>
    <w:p>
      <w:pPr>
        <w:pStyle w:val="2"/>
        <w:numPr>
          <w:ilvl w:val="0"/>
          <w:numId w:val="4"/>
        </w:numPr>
        <w:ind w:left="220" w:leftChars="0" w:firstLineChars="0"/>
        <w:rPr>
          <w:rFonts w:hint="eastAsia"/>
          <w:lang w:val="en-US" w:eastAsia="zh-CN"/>
        </w:rPr>
      </w:pPr>
      <w:r>
        <w:rPr>
          <w:rFonts w:hint="eastAsia"/>
          <w:lang w:val="en-US" w:eastAsia="zh-CN"/>
        </w:rPr>
        <w:t>贯彻落实政府失业保险政策，负责全区失业保险基金征缴与发放，以保障失业人员基本生活；</w:t>
      </w:r>
    </w:p>
    <w:p>
      <w:pPr>
        <w:pStyle w:val="2"/>
        <w:numPr>
          <w:ilvl w:val="0"/>
          <w:numId w:val="4"/>
        </w:numPr>
        <w:ind w:left="220" w:leftChars="0" w:firstLineChars="0"/>
        <w:rPr>
          <w:rFonts w:hint="eastAsia"/>
          <w:lang w:val="en-US" w:eastAsia="zh-CN"/>
        </w:rPr>
      </w:pPr>
      <w:r>
        <w:rPr>
          <w:rFonts w:hint="eastAsia"/>
          <w:lang w:val="en-US" w:eastAsia="zh-CN"/>
        </w:rPr>
        <w:t>负责全区企业职工培训、就业培训、农村劳动力转移技能培训、创业培训工作；</w:t>
      </w:r>
    </w:p>
    <w:p>
      <w:pPr>
        <w:pStyle w:val="2"/>
        <w:numPr>
          <w:ilvl w:val="0"/>
          <w:numId w:val="4"/>
        </w:numPr>
        <w:ind w:left="220" w:leftChars="0" w:firstLineChars="0"/>
        <w:rPr>
          <w:rFonts w:hint="eastAsia"/>
          <w:lang w:val="en-US" w:eastAsia="zh-CN"/>
        </w:rPr>
      </w:pPr>
      <w:r>
        <w:rPr>
          <w:rFonts w:hint="eastAsia"/>
          <w:lang w:val="en-US" w:eastAsia="zh-CN"/>
        </w:rPr>
        <w:t>负责全区基层平台建设管理，小额担保贷款，农村劳动力转移就业及零就业家庭援助、职业指导、政策扶持等工作。</w:t>
      </w:r>
    </w:p>
    <w:p>
      <w:pPr>
        <w:pStyle w:val="2"/>
        <w:numPr>
          <w:ilvl w:val="0"/>
          <w:numId w:val="1"/>
        </w:numPr>
        <w:ind w:left="0" w:leftChars="0" w:firstLine="640" w:firstLineChars="0"/>
        <w:rPr>
          <w:rFonts w:hint="eastAsia" w:ascii="黑体" w:hAnsi="黑体" w:eastAsia="黑体" w:cs="宋体"/>
          <w:color w:val="000000"/>
          <w:kern w:val="0"/>
          <w:sz w:val="32"/>
          <w:szCs w:val="32"/>
          <w:lang w:val="en-US" w:eastAsia="zh-CN" w:bidi="ar-SA"/>
        </w:rPr>
      </w:pPr>
      <w:r>
        <w:rPr>
          <w:rFonts w:hint="eastAsia" w:ascii="黑体" w:hAnsi="黑体" w:eastAsia="黑体" w:cs="宋体"/>
          <w:color w:val="000000"/>
          <w:kern w:val="0"/>
          <w:sz w:val="32"/>
          <w:szCs w:val="32"/>
          <w:lang w:val="en-US" w:eastAsia="zh-CN" w:bidi="ar-SA"/>
        </w:rPr>
        <w:t>一般公共预算支出情况</w:t>
      </w:r>
    </w:p>
    <w:p>
      <w:pPr>
        <w:pStyle w:val="2"/>
        <w:numPr>
          <w:ilvl w:val="0"/>
          <w:numId w:val="0"/>
        </w:numPr>
        <w:ind w:leftChars="196"/>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（一）基本支出安排及使用情况</w:t>
      </w:r>
    </w:p>
    <w:p>
      <w:pPr>
        <w:pStyle w:val="2"/>
        <w:numPr>
          <w:ilvl w:val="0"/>
          <w:numId w:val="0"/>
        </w:numPr>
        <w:ind w:firstLine="640" w:firstLineChars="200"/>
        <w:rPr>
          <w:rFonts w:hint="eastAsia"/>
          <w:lang w:val="en-US" w:eastAsia="zh-CN"/>
        </w:rPr>
      </w:pPr>
      <w:r>
        <w:rPr>
          <w:rFonts w:hint="eastAsia"/>
          <w:lang w:val="en-US" w:eastAsia="zh-CN"/>
        </w:rPr>
        <w:t>2024年度财政拨款基本支出88.67万元，其中：人员经费76.67万元，占基本支出的86.47%，主要包括基本工资、津贴补贴、奖金、绩效工资、住房公积金、社保；公用经费12万元，占基本支出的13.53%，主要包括办公费、电费、劳务费、工会经费、其他交通费用、其他商品和服务支出等。</w:t>
      </w:r>
    </w:p>
    <w:p>
      <w:pPr>
        <w:spacing w:line="600" w:lineRule="exact"/>
        <w:ind w:firstLine="630" w:firstLineChars="196"/>
        <w:jc w:val="left"/>
        <w:rPr>
          <w:rFonts w:hint="default"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（二）项目支出安排及使用情况</w:t>
      </w:r>
    </w:p>
    <w:p>
      <w:pPr>
        <w:spacing w:line="60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cs="仿宋_GB2312"/>
          <w:kern w:val="2"/>
          <w:sz w:val="32"/>
          <w:szCs w:val="32"/>
          <w:lang w:val="en-US" w:eastAsia="zh-CN" w:bidi="ar-SA"/>
        </w:rPr>
        <w:t>2024年</w:t>
      </w:r>
      <w:r>
        <w:rPr>
          <w:rFonts w:hint="eastAsia" w:ascii="仿宋_GB2312" w:hAnsi="仿宋_GB2312" w:eastAsia="仿宋_GB2312" w:cs="仿宋_GB2312"/>
          <w:kern w:val="2"/>
          <w:sz w:val="32"/>
          <w:szCs w:val="32"/>
          <w:lang w:val="en-US" w:eastAsia="zh-CN" w:bidi="ar-SA"/>
        </w:rPr>
        <w:t>项目支出</w:t>
      </w:r>
      <w:r>
        <w:rPr>
          <w:rFonts w:hint="eastAsia" w:ascii="仿宋_GB2312" w:hAnsi="仿宋_GB2312" w:cs="仿宋_GB2312"/>
          <w:kern w:val="2"/>
          <w:sz w:val="32"/>
          <w:szCs w:val="32"/>
          <w:lang w:val="en-US" w:eastAsia="zh-CN" w:bidi="ar-SA"/>
        </w:rPr>
        <w:t>583.77</w:t>
      </w:r>
      <w:r>
        <w:rPr>
          <w:rFonts w:hint="eastAsia" w:ascii="仿宋_GB2312" w:hAnsi="仿宋_GB2312" w:eastAsia="仿宋_GB2312" w:cs="仿宋_GB2312"/>
          <w:kern w:val="2"/>
          <w:sz w:val="32"/>
          <w:szCs w:val="32"/>
          <w:lang w:val="en-US" w:eastAsia="zh-CN" w:bidi="ar-SA"/>
        </w:rPr>
        <w:t>万元。主要用于发放培训补贴、发放充分就业社区补助以及召开专场招聘会等。</w:t>
      </w:r>
    </w:p>
    <w:p>
      <w:pPr>
        <w:rPr>
          <w:rFonts w:hint="eastAsia"/>
          <w:lang w:val="en-US" w:eastAsia="zh-CN"/>
        </w:rPr>
      </w:pPr>
      <w:r>
        <w:rPr>
          <w:rFonts w:hint="eastAsia" w:ascii="仿宋_GB2312" w:hAnsi="仿宋_GB2312" w:eastAsia="仿宋_GB2312" w:cs="仿宋_GB2312"/>
          <w:kern w:val="2"/>
          <w:sz w:val="32"/>
          <w:szCs w:val="32"/>
          <w:lang w:val="en-US" w:eastAsia="zh-CN" w:bidi="ar-SA"/>
        </w:rPr>
        <w:br w:type="page"/>
      </w:r>
    </w:p>
    <w:p>
      <w:pPr>
        <w:pStyle w:val="2"/>
        <w:numPr>
          <w:ilvl w:val="0"/>
          <w:numId w:val="1"/>
        </w:numPr>
        <w:ind w:left="0" w:leftChars="0" w:firstLine="640" w:firstLineChars="0"/>
        <w:rPr>
          <w:rFonts w:hint="eastAsia" w:ascii="黑体" w:hAnsi="黑体" w:eastAsia="黑体" w:cs="宋体"/>
          <w:color w:val="000000"/>
          <w:kern w:val="0"/>
          <w:sz w:val="32"/>
          <w:szCs w:val="32"/>
          <w:lang w:val="en-US" w:eastAsia="zh-CN" w:bidi="ar-SA"/>
        </w:rPr>
      </w:pPr>
      <w:r>
        <w:rPr>
          <w:rFonts w:hint="eastAsia" w:ascii="黑体" w:hAnsi="黑体" w:eastAsia="黑体" w:cs="宋体"/>
          <w:color w:val="000000"/>
          <w:kern w:val="0"/>
          <w:sz w:val="32"/>
          <w:szCs w:val="32"/>
          <w:lang w:val="en-US" w:eastAsia="zh-CN" w:bidi="ar-SA"/>
        </w:rPr>
        <w:t>部门整体支出绩效情况</w:t>
      </w:r>
    </w:p>
    <w:p>
      <w:pPr>
        <w:spacing w:line="600" w:lineRule="exact"/>
        <w:ind w:firstLine="630" w:firstLineChars="196"/>
        <w:jc w:val="left"/>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（一）就业培训工作稳步推进</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cs="Times New Roman"/>
          <w:kern w:val="2"/>
          <w:sz w:val="32"/>
          <w:lang w:val="en-US" w:eastAsia="zh-CN" w:bidi="ar-SA"/>
        </w:rPr>
        <w:t>2024年</w:t>
      </w:r>
      <w:r>
        <w:rPr>
          <w:rFonts w:hint="eastAsia" w:ascii="Calibri" w:hAnsi="Calibri" w:eastAsia="仿宋_GB2312" w:cs="Times New Roman"/>
          <w:kern w:val="2"/>
          <w:sz w:val="32"/>
          <w:lang w:val="en-US" w:eastAsia="zh-CN" w:bidi="ar-SA"/>
        </w:rPr>
        <w:t>，职业技能培训目标任务</w:t>
      </w:r>
      <w:r>
        <w:rPr>
          <w:rFonts w:hint="eastAsia" w:cs="Times New Roman"/>
          <w:kern w:val="2"/>
          <w:sz w:val="32"/>
          <w:lang w:val="en-US" w:eastAsia="zh-CN" w:bidi="ar-SA"/>
        </w:rPr>
        <w:t>1050</w:t>
      </w:r>
      <w:r>
        <w:rPr>
          <w:rFonts w:hint="eastAsia" w:ascii="Calibri" w:hAnsi="Calibri" w:eastAsia="仿宋_GB2312" w:cs="Times New Roman"/>
          <w:kern w:val="2"/>
          <w:sz w:val="32"/>
          <w:lang w:val="en-US" w:eastAsia="zh-CN" w:bidi="ar-SA"/>
        </w:rPr>
        <w:t>人，已完成</w:t>
      </w:r>
      <w:r>
        <w:rPr>
          <w:rFonts w:hint="eastAsia" w:cs="Times New Roman"/>
          <w:kern w:val="2"/>
          <w:sz w:val="32"/>
          <w:lang w:val="en-US" w:eastAsia="zh-CN" w:bidi="ar-SA"/>
        </w:rPr>
        <w:t>1099</w:t>
      </w:r>
      <w:r>
        <w:rPr>
          <w:rFonts w:hint="eastAsia" w:ascii="Calibri" w:hAnsi="Calibri" w:eastAsia="仿宋_GB2312" w:cs="Times New Roman"/>
          <w:kern w:val="2"/>
          <w:sz w:val="32"/>
          <w:lang w:val="en-US" w:eastAsia="zh-CN" w:bidi="ar-SA"/>
        </w:rPr>
        <w:t>人次，完成比例104.</w:t>
      </w:r>
      <w:r>
        <w:rPr>
          <w:rFonts w:hint="eastAsia" w:cs="Times New Roman"/>
          <w:kern w:val="2"/>
          <w:sz w:val="32"/>
          <w:lang w:val="en-US" w:eastAsia="zh-CN" w:bidi="ar-SA"/>
        </w:rPr>
        <w:t>66</w:t>
      </w:r>
      <w:r>
        <w:rPr>
          <w:rFonts w:hint="eastAsia" w:ascii="Calibri" w:hAnsi="Calibri" w:eastAsia="仿宋_GB2312" w:cs="Times New Roman"/>
          <w:kern w:val="2"/>
          <w:sz w:val="32"/>
          <w:lang w:val="en-US" w:eastAsia="zh-CN" w:bidi="ar-SA"/>
        </w:rPr>
        <w:t>%。创业培训目标任务</w:t>
      </w:r>
      <w:r>
        <w:rPr>
          <w:rFonts w:hint="eastAsia" w:cs="Times New Roman"/>
          <w:kern w:val="2"/>
          <w:sz w:val="32"/>
          <w:lang w:val="en-US" w:eastAsia="zh-CN" w:bidi="ar-SA"/>
        </w:rPr>
        <w:t>400</w:t>
      </w:r>
      <w:r>
        <w:rPr>
          <w:rFonts w:hint="eastAsia" w:ascii="Calibri" w:hAnsi="Calibri" w:eastAsia="仿宋_GB2312" w:cs="Times New Roman"/>
          <w:kern w:val="2"/>
          <w:sz w:val="32"/>
          <w:lang w:val="en-US" w:eastAsia="zh-CN" w:bidi="ar-SA"/>
        </w:rPr>
        <w:t>人，已完成</w:t>
      </w:r>
      <w:r>
        <w:rPr>
          <w:rFonts w:hint="eastAsia" w:cs="Times New Roman"/>
          <w:kern w:val="2"/>
          <w:sz w:val="32"/>
          <w:lang w:val="en-US" w:eastAsia="zh-CN" w:bidi="ar-SA"/>
        </w:rPr>
        <w:t>690</w:t>
      </w:r>
      <w:r>
        <w:rPr>
          <w:rFonts w:hint="eastAsia" w:ascii="Calibri" w:hAnsi="Calibri" w:eastAsia="仿宋_GB2312" w:cs="Times New Roman"/>
          <w:kern w:val="2"/>
          <w:sz w:val="32"/>
          <w:lang w:val="en-US" w:eastAsia="zh-CN" w:bidi="ar-SA"/>
        </w:rPr>
        <w:t>人，完成比例</w:t>
      </w:r>
      <w:r>
        <w:rPr>
          <w:rFonts w:hint="eastAsia" w:cs="Times New Roman"/>
          <w:kern w:val="2"/>
          <w:sz w:val="32"/>
          <w:lang w:val="en-US" w:eastAsia="zh-CN" w:bidi="ar-SA"/>
        </w:rPr>
        <w:t>172.5</w:t>
      </w:r>
      <w:r>
        <w:rPr>
          <w:rFonts w:hint="eastAsia" w:ascii="Calibri" w:hAnsi="Calibri" w:eastAsia="仿宋_GB2312" w:cs="Times New Roman"/>
          <w:kern w:val="2"/>
          <w:sz w:val="32"/>
          <w:lang w:val="en-US" w:eastAsia="zh-CN" w:bidi="ar-SA"/>
        </w:rPr>
        <w:t>%。</w:t>
      </w:r>
    </w:p>
    <w:p>
      <w:pPr>
        <w:spacing w:line="600" w:lineRule="exact"/>
        <w:ind w:firstLine="630" w:firstLineChars="196"/>
        <w:jc w:val="left"/>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（二）失业保险工作扎实推进</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失业保险省级统筹已按要求全面落实。严格按照省统一政策覆盖范围、发放标准、经办流程完成；失业保险基金结余已于</w:t>
      </w:r>
      <w:r>
        <w:rPr>
          <w:rFonts w:hint="eastAsia" w:cs="Times New Roman"/>
          <w:kern w:val="2"/>
          <w:sz w:val="32"/>
          <w:lang w:val="en-US" w:eastAsia="zh-CN" w:bidi="ar-SA"/>
        </w:rPr>
        <w:t>2023年</w:t>
      </w:r>
      <w:r>
        <w:rPr>
          <w:rFonts w:hint="eastAsia" w:ascii="Calibri" w:hAnsi="Calibri" w:eastAsia="仿宋_GB2312" w:cs="Times New Roman"/>
          <w:kern w:val="2"/>
          <w:sz w:val="32"/>
          <w:lang w:val="en-US" w:eastAsia="zh-CN" w:bidi="ar-SA"/>
        </w:rPr>
        <w:t>7月31日前全部归集上解至省财政专户；按月及时申报基金支付计划。</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cs="Times New Roman"/>
          <w:kern w:val="2"/>
          <w:sz w:val="32"/>
          <w:lang w:val="en-US" w:eastAsia="zh-CN" w:bidi="ar-SA"/>
        </w:rPr>
        <w:t>2024年</w:t>
      </w:r>
      <w:r>
        <w:rPr>
          <w:rFonts w:hint="eastAsia" w:ascii="Calibri" w:hAnsi="Calibri" w:eastAsia="仿宋_GB2312" w:cs="Times New Roman"/>
          <w:kern w:val="2"/>
          <w:sz w:val="32"/>
          <w:lang w:val="en-US" w:eastAsia="zh-CN" w:bidi="ar-SA"/>
        </w:rPr>
        <w:t>失业保险基金</w:t>
      </w:r>
      <w:r>
        <w:rPr>
          <w:rFonts w:hint="eastAsia" w:cs="Times New Roman"/>
          <w:kern w:val="2"/>
          <w:sz w:val="32"/>
          <w:lang w:val="en-US" w:eastAsia="zh-CN" w:bidi="ar-SA"/>
        </w:rPr>
        <w:t>征缴1033.51</w:t>
      </w:r>
      <w:r>
        <w:rPr>
          <w:rFonts w:hint="eastAsia" w:ascii="Calibri" w:hAnsi="Calibri" w:eastAsia="仿宋_GB2312" w:cs="Times New Roman"/>
          <w:kern w:val="2"/>
          <w:sz w:val="32"/>
          <w:lang w:val="en-US" w:eastAsia="zh-CN" w:bidi="ar-SA"/>
        </w:rPr>
        <w:t>万元，</w:t>
      </w:r>
      <w:r>
        <w:rPr>
          <w:rFonts w:hint="eastAsia" w:cs="Times New Roman"/>
          <w:kern w:val="2"/>
          <w:sz w:val="32"/>
          <w:lang w:val="en-US" w:eastAsia="zh-CN" w:bidi="ar-SA"/>
        </w:rPr>
        <w:t>待遇</w:t>
      </w:r>
      <w:r>
        <w:rPr>
          <w:rFonts w:hint="eastAsia" w:ascii="Calibri" w:hAnsi="Calibri" w:eastAsia="仿宋_GB2312" w:cs="Times New Roman"/>
          <w:kern w:val="2"/>
          <w:sz w:val="32"/>
          <w:lang w:val="en-US" w:eastAsia="zh-CN" w:bidi="ar-SA"/>
        </w:rPr>
        <w:t>支出</w:t>
      </w:r>
      <w:r>
        <w:rPr>
          <w:rFonts w:hint="eastAsia" w:cs="Times New Roman"/>
          <w:kern w:val="2"/>
          <w:sz w:val="32"/>
          <w:lang w:val="en-US" w:eastAsia="zh-CN" w:bidi="ar-SA"/>
        </w:rPr>
        <w:t>941.30</w:t>
      </w:r>
      <w:r>
        <w:rPr>
          <w:rFonts w:hint="eastAsia" w:ascii="Calibri" w:hAnsi="Calibri" w:eastAsia="仿宋_GB2312" w:cs="Times New Roman"/>
          <w:kern w:val="2"/>
          <w:sz w:val="32"/>
          <w:lang w:val="en-US" w:eastAsia="zh-CN" w:bidi="ar-SA"/>
        </w:rPr>
        <w:t>万元，参保单位</w:t>
      </w:r>
      <w:r>
        <w:rPr>
          <w:rFonts w:hint="eastAsia" w:cs="Times New Roman"/>
          <w:kern w:val="2"/>
          <w:sz w:val="32"/>
          <w:lang w:val="en-US" w:eastAsia="zh-CN" w:bidi="ar-SA"/>
        </w:rPr>
        <w:t>555</w:t>
      </w:r>
      <w:r>
        <w:rPr>
          <w:rFonts w:hint="eastAsia" w:ascii="Calibri" w:hAnsi="Calibri" w:eastAsia="仿宋_GB2312" w:cs="Times New Roman"/>
          <w:kern w:val="2"/>
          <w:sz w:val="32"/>
          <w:lang w:val="en-US" w:eastAsia="zh-CN" w:bidi="ar-SA"/>
        </w:rPr>
        <w:t>家，参保人数</w:t>
      </w:r>
      <w:r>
        <w:rPr>
          <w:rFonts w:hint="eastAsia" w:cs="Times New Roman"/>
          <w:kern w:val="2"/>
          <w:sz w:val="32"/>
          <w:lang w:val="en-US" w:eastAsia="zh-CN" w:bidi="ar-SA"/>
        </w:rPr>
        <w:t>2.87万</w:t>
      </w:r>
      <w:r>
        <w:rPr>
          <w:rFonts w:hint="eastAsia" w:ascii="Calibri" w:hAnsi="Calibri" w:eastAsia="仿宋_GB2312" w:cs="Times New Roman"/>
          <w:kern w:val="2"/>
          <w:sz w:val="32"/>
          <w:lang w:val="en-US" w:eastAsia="zh-CN" w:bidi="ar-SA"/>
        </w:rPr>
        <w:t>人，</w:t>
      </w:r>
      <w:r>
        <w:rPr>
          <w:rFonts w:hint="eastAsia" w:ascii="Calibri" w:hAnsi="Calibri" w:eastAsia="仿宋_GB2312" w:cs="Times New Roman"/>
          <w:color w:val="auto"/>
          <w:kern w:val="2"/>
          <w:sz w:val="32"/>
          <w:lang w:val="en-US" w:eastAsia="zh-CN" w:bidi="ar-SA"/>
        </w:rPr>
        <w:t>新增参保人数</w:t>
      </w:r>
      <w:r>
        <w:rPr>
          <w:rFonts w:hint="eastAsia" w:cs="Times New Roman"/>
          <w:color w:val="auto"/>
          <w:kern w:val="2"/>
          <w:sz w:val="32"/>
          <w:lang w:val="en-US" w:eastAsia="zh-CN" w:bidi="ar-SA"/>
        </w:rPr>
        <w:t>520</w:t>
      </w:r>
      <w:r>
        <w:rPr>
          <w:rFonts w:hint="eastAsia" w:ascii="Calibri" w:hAnsi="Calibri" w:eastAsia="仿宋_GB2312" w:cs="Times New Roman"/>
          <w:color w:val="auto"/>
          <w:kern w:val="2"/>
          <w:sz w:val="32"/>
          <w:lang w:val="en-US" w:eastAsia="zh-CN" w:bidi="ar-SA"/>
        </w:rPr>
        <w:t>人，失业保险稳岗返还</w:t>
      </w:r>
      <w:r>
        <w:rPr>
          <w:rFonts w:hint="eastAsia" w:cs="Times New Roman"/>
          <w:color w:val="auto"/>
          <w:kern w:val="2"/>
          <w:sz w:val="32"/>
          <w:lang w:val="en-US" w:eastAsia="zh-CN" w:bidi="ar-SA"/>
        </w:rPr>
        <w:t>212.52</w:t>
      </w:r>
      <w:r>
        <w:rPr>
          <w:rFonts w:hint="eastAsia" w:ascii="Calibri" w:hAnsi="Calibri" w:eastAsia="仿宋_GB2312" w:cs="Times New Roman"/>
          <w:color w:val="auto"/>
          <w:kern w:val="2"/>
          <w:sz w:val="32"/>
          <w:lang w:val="en-US" w:eastAsia="zh-CN" w:bidi="ar-SA"/>
        </w:rPr>
        <w:t>万元，涉及</w:t>
      </w:r>
      <w:r>
        <w:rPr>
          <w:rFonts w:hint="eastAsia" w:cs="Times New Roman"/>
          <w:color w:val="auto"/>
          <w:kern w:val="2"/>
          <w:sz w:val="32"/>
          <w:lang w:val="en-US" w:eastAsia="zh-CN" w:bidi="ar-SA"/>
        </w:rPr>
        <w:t>17</w:t>
      </w:r>
      <w:r>
        <w:rPr>
          <w:rFonts w:hint="eastAsia" w:ascii="Calibri" w:hAnsi="Calibri" w:eastAsia="仿宋_GB2312" w:cs="Times New Roman"/>
          <w:color w:val="auto"/>
          <w:kern w:val="2"/>
          <w:sz w:val="32"/>
          <w:lang w:val="en-US" w:eastAsia="zh-CN" w:bidi="ar-SA"/>
        </w:rPr>
        <w:t>家企业，领取失业保险金</w:t>
      </w:r>
      <w:r>
        <w:rPr>
          <w:rFonts w:hint="eastAsia" w:cs="Times New Roman"/>
          <w:color w:val="auto"/>
          <w:kern w:val="2"/>
          <w:sz w:val="32"/>
          <w:lang w:val="en-US" w:eastAsia="zh-CN" w:bidi="ar-SA"/>
        </w:rPr>
        <w:t>4117</w:t>
      </w:r>
      <w:r>
        <w:rPr>
          <w:rFonts w:hint="eastAsia" w:ascii="Calibri" w:hAnsi="Calibri" w:eastAsia="仿宋_GB2312" w:cs="Times New Roman"/>
          <w:color w:val="auto"/>
          <w:kern w:val="2"/>
          <w:sz w:val="32"/>
          <w:lang w:val="en-US" w:eastAsia="zh-CN" w:bidi="ar-SA"/>
        </w:rPr>
        <w:t>人次</w:t>
      </w:r>
      <w:r>
        <w:rPr>
          <w:rFonts w:hint="eastAsia" w:cs="Times New Roman"/>
          <w:color w:val="auto"/>
          <w:kern w:val="2"/>
          <w:sz w:val="32"/>
          <w:lang w:val="en-US" w:eastAsia="zh-CN" w:bidi="ar-SA"/>
        </w:rPr>
        <w:t>594.16</w:t>
      </w:r>
      <w:r>
        <w:rPr>
          <w:rFonts w:hint="eastAsia" w:ascii="Calibri" w:hAnsi="Calibri" w:eastAsia="仿宋_GB2312" w:cs="Times New Roman"/>
          <w:color w:val="auto"/>
          <w:kern w:val="2"/>
          <w:sz w:val="32"/>
          <w:lang w:val="en-US" w:eastAsia="zh-CN" w:bidi="ar-SA"/>
        </w:rPr>
        <w:t>万元，缴纳医保</w:t>
      </w:r>
      <w:r>
        <w:rPr>
          <w:rFonts w:hint="eastAsia" w:cs="Times New Roman"/>
          <w:color w:val="auto"/>
          <w:kern w:val="2"/>
          <w:sz w:val="32"/>
          <w:lang w:val="en-US" w:eastAsia="zh-CN" w:bidi="ar-SA"/>
        </w:rPr>
        <w:t>115.85</w:t>
      </w:r>
      <w:r>
        <w:rPr>
          <w:rFonts w:hint="eastAsia" w:ascii="Calibri" w:hAnsi="Calibri" w:eastAsia="仿宋_GB2312" w:cs="Times New Roman"/>
          <w:color w:val="auto"/>
          <w:kern w:val="2"/>
          <w:sz w:val="32"/>
          <w:lang w:val="en-US" w:eastAsia="zh-CN" w:bidi="ar-SA"/>
        </w:rPr>
        <w:t>万元，技能提升补贴</w:t>
      </w:r>
      <w:r>
        <w:rPr>
          <w:rFonts w:hint="eastAsia" w:cs="Times New Roman"/>
          <w:color w:val="auto"/>
          <w:kern w:val="2"/>
          <w:sz w:val="32"/>
          <w:lang w:val="en-US" w:eastAsia="zh-CN" w:bidi="ar-SA"/>
        </w:rPr>
        <w:t>4.32</w:t>
      </w:r>
      <w:r>
        <w:rPr>
          <w:rFonts w:hint="eastAsia" w:ascii="Calibri" w:hAnsi="Calibri" w:eastAsia="仿宋_GB2312" w:cs="Times New Roman"/>
          <w:color w:val="auto"/>
          <w:kern w:val="2"/>
          <w:sz w:val="32"/>
          <w:lang w:val="en-US" w:eastAsia="zh-CN" w:bidi="ar-SA"/>
        </w:rPr>
        <w:t>万元，一次性扩岗补助</w:t>
      </w:r>
      <w:r>
        <w:rPr>
          <w:rFonts w:hint="eastAsia" w:cs="Times New Roman"/>
          <w:color w:val="auto"/>
          <w:kern w:val="2"/>
          <w:sz w:val="32"/>
          <w:lang w:val="en-US" w:eastAsia="zh-CN" w:bidi="ar-SA"/>
        </w:rPr>
        <w:t>3</w:t>
      </w:r>
      <w:r>
        <w:rPr>
          <w:rFonts w:hint="eastAsia" w:ascii="Calibri" w:hAnsi="Calibri" w:eastAsia="仿宋_GB2312" w:cs="Times New Roman"/>
          <w:color w:val="auto"/>
          <w:kern w:val="2"/>
          <w:sz w:val="32"/>
          <w:lang w:val="en-US" w:eastAsia="zh-CN" w:bidi="ar-SA"/>
        </w:rPr>
        <w:t>万元。</w:t>
      </w:r>
    </w:p>
    <w:p>
      <w:pPr>
        <w:spacing w:line="600" w:lineRule="exact"/>
        <w:ind w:firstLine="630" w:firstLineChars="196"/>
        <w:jc w:val="left"/>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（三）城乡就业工作全力推进</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1.基层平台建设情况</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大力推进人社业务职能下移，已建成了6个乡镇、2个街道、1个经开区级人社服务中心，36个社区人社服务站，88个村级人社服务站，覆盖率均达到了100%。</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2.稳岗就业工作开展情况</w:t>
      </w:r>
    </w:p>
    <w:p>
      <w:pPr>
        <w:spacing w:line="600" w:lineRule="exact"/>
        <w:ind w:firstLine="640" w:firstLineChars="200"/>
        <w:rPr>
          <w:rFonts w:hint="default"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1、离校未就业高校毕业生：</w:t>
      </w:r>
      <w:r>
        <w:rPr>
          <w:rFonts w:hint="eastAsia" w:cs="Times New Roman"/>
          <w:kern w:val="2"/>
          <w:sz w:val="32"/>
          <w:lang w:val="en-US" w:eastAsia="zh-CN" w:bidi="ar-SA"/>
        </w:rPr>
        <w:t>实名制登记580人，跟踪回访率和就业服务率达100%，其中576人已就业，就业率达97.76%。</w:t>
      </w:r>
    </w:p>
    <w:p>
      <w:pPr>
        <w:spacing w:line="600" w:lineRule="exact"/>
        <w:ind w:firstLine="640" w:firstLineChars="200"/>
        <w:rPr>
          <w:rFonts w:hint="default" w:ascii="Calibri" w:hAnsi="Calibri" w:eastAsia="仿宋_GB2312" w:cs="Times New Roman"/>
          <w:kern w:val="2"/>
          <w:sz w:val="32"/>
          <w:lang w:val="en-US" w:eastAsia="zh-CN" w:bidi="ar-SA"/>
        </w:rPr>
      </w:pPr>
      <w:r>
        <w:rPr>
          <w:rFonts w:hint="eastAsia" w:cs="Times New Roman"/>
          <w:kern w:val="2"/>
          <w:sz w:val="32"/>
          <w:lang w:val="en-US" w:eastAsia="zh-CN" w:bidi="ar-SA"/>
        </w:rPr>
        <w:t>2</w:t>
      </w:r>
      <w:r>
        <w:rPr>
          <w:rFonts w:hint="eastAsia" w:ascii="Calibri" w:hAnsi="Calibri" w:eastAsia="仿宋_GB2312" w:cs="Times New Roman"/>
          <w:kern w:val="2"/>
          <w:sz w:val="32"/>
          <w:lang w:val="en-US" w:eastAsia="zh-CN" w:bidi="ar-SA"/>
        </w:rPr>
        <w:t>、就业见习：</w:t>
      </w:r>
      <w:r>
        <w:rPr>
          <w:rFonts w:hint="eastAsia" w:cs="Times New Roman"/>
          <w:kern w:val="2"/>
          <w:sz w:val="32"/>
          <w:lang w:val="en-US" w:eastAsia="zh-CN" w:bidi="ar-SA"/>
        </w:rPr>
        <w:t>新增就业见习基地1家，新增就业见习人员61人。</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cs="Times New Roman"/>
          <w:kern w:val="2"/>
          <w:sz w:val="32"/>
          <w:lang w:val="en-US" w:eastAsia="zh-CN" w:bidi="ar-SA"/>
        </w:rPr>
        <w:t>3</w:t>
      </w:r>
      <w:r>
        <w:rPr>
          <w:rFonts w:hint="eastAsia" w:ascii="Calibri" w:hAnsi="Calibri" w:eastAsia="仿宋_GB2312" w:cs="Times New Roman"/>
          <w:kern w:val="2"/>
          <w:sz w:val="32"/>
          <w:lang w:val="en-US" w:eastAsia="zh-CN" w:bidi="ar-SA"/>
        </w:rPr>
        <w:t>、退捕渔民就业援助和脱贫劳动力就业帮扶情况：对无就业意愿的退捕渔民每月进行一轮跟踪联系，对已就业的退捕渔民每半年进行一轮跟踪联系，并及时在系统内更新退捕渔民的就失业状态、就业意愿、培训意愿等情况。每出现一人有就业意愿未就业的退捕渔民已按月实现动态清零，以上都已按时按质量完成。</w:t>
      </w:r>
    </w:p>
    <w:p>
      <w:pPr>
        <w:spacing w:line="600" w:lineRule="exact"/>
        <w:ind w:firstLine="640" w:firstLineChars="200"/>
        <w:rPr>
          <w:rFonts w:hint="default"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每季度完成一次脱贫劳动力信息更新，对未就业有就业意愿的脱贫劳动力提供311就业服务</w:t>
      </w:r>
      <w:r>
        <w:rPr>
          <w:rFonts w:hint="eastAsia" w:cs="Times New Roman"/>
          <w:kern w:val="2"/>
          <w:sz w:val="32"/>
          <w:lang w:val="en-US" w:eastAsia="zh-CN" w:bidi="ar-SA"/>
        </w:rPr>
        <w:t>，全区脱贫劳动力8211人，其中7376人已就业，就业率89.83%。</w:t>
      </w:r>
    </w:p>
    <w:p>
      <w:pPr>
        <w:numPr>
          <w:ilvl w:val="0"/>
          <w:numId w:val="0"/>
        </w:numPr>
        <w:spacing w:line="600" w:lineRule="exact"/>
        <w:ind w:firstLine="640" w:firstLineChars="200"/>
        <w:rPr>
          <w:rFonts w:hint="eastAsia" w:cs="Times New Roman"/>
          <w:kern w:val="2"/>
          <w:sz w:val="32"/>
          <w:lang w:val="en-US" w:eastAsia="zh-CN" w:bidi="ar-SA"/>
        </w:rPr>
      </w:pPr>
      <w:r>
        <w:rPr>
          <w:rFonts w:hint="eastAsia" w:cs="Times New Roman"/>
          <w:kern w:val="2"/>
          <w:sz w:val="32"/>
          <w:lang w:val="en-US" w:eastAsia="zh-CN" w:bidi="ar-SA"/>
        </w:rPr>
        <w:t>4、加强就业帮扶，今年新增就业帮扶车间5家，新增吸纳93名脱贫人口就业。</w:t>
      </w:r>
    </w:p>
    <w:p>
      <w:pPr>
        <w:numPr>
          <w:ilvl w:val="0"/>
          <w:numId w:val="5"/>
        </w:numPr>
        <w:spacing w:line="600" w:lineRule="exact"/>
        <w:ind w:firstLine="640" w:firstLineChars="200"/>
        <w:rPr>
          <w:rFonts w:hint="eastAsia" w:ascii="Calibri" w:hAnsi="Calibri" w:eastAsia="仿宋_GB2312" w:cs="Times New Roman"/>
          <w:kern w:val="2"/>
          <w:sz w:val="32"/>
          <w:lang w:val="en-US" w:eastAsia="zh-CN" w:bidi="ar-SA"/>
        </w:rPr>
      </w:pPr>
      <w:r>
        <w:rPr>
          <w:rFonts w:hint="eastAsia" w:ascii="Calibri" w:hAnsi="Calibri" w:eastAsia="仿宋_GB2312" w:cs="Times New Roman"/>
          <w:kern w:val="2"/>
          <w:sz w:val="32"/>
          <w:lang w:val="en-US" w:eastAsia="zh-CN" w:bidi="ar-SA"/>
        </w:rPr>
        <w:t>创业担保贷款：今年发放创业担保贷款</w:t>
      </w:r>
      <w:r>
        <w:rPr>
          <w:rFonts w:hint="eastAsia" w:cs="Times New Roman"/>
          <w:kern w:val="2"/>
          <w:sz w:val="32"/>
          <w:lang w:val="en-US" w:eastAsia="zh-CN" w:bidi="ar-SA"/>
        </w:rPr>
        <w:t>2645</w:t>
      </w:r>
      <w:r>
        <w:rPr>
          <w:rFonts w:hint="eastAsia" w:ascii="Calibri" w:hAnsi="Calibri" w:eastAsia="仿宋_GB2312" w:cs="Times New Roman"/>
          <w:kern w:val="2"/>
          <w:sz w:val="32"/>
          <w:lang w:val="en-US" w:eastAsia="zh-CN" w:bidi="ar-SA"/>
        </w:rPr>
        <w:t>万</w:t>
      </w:r>
      <w:r>
        <w:rPr>
          <w:rFonts w:hint="eastAsia" w:cs="Times New Roman"/>
          <w:kern w:val="2"/>
          <w:sz w:val="32"/>
          <w:lang w:val="en-US" w:eastAsia="zh-CN" w:bidi="ar-SA"/>
        </w:rPr>
        <w:t>，完成年度目标任务2300的115%。</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cs="Times New Roman"/>
          <w:kern w:val="2"/>
          <w:sz w:val="32"/>
          <w:lang w:val="en-US" w:eastAsia="zh-CN" w:bidi="ar-SA"/>
        </w:rPr>
        <w:t>6</w:t>
      </w:r>
      <w:r>
        <w:rPr>
          <w:rFonts w:hint="eastAsia" w:ascii="Calibri" w:hAnsi="Calibri" w:eastAsia="仿宋_GB2312" w:cs="Times New Roman"/>
          <w:kern w:val="2"/>
          <w:sz w:val="32"/>
          <w:lang w:val="en-US" w:eastAsia="zh-CN" w:bidi="ar-SA"/>
        </w:rPr>
        <w:t>、充分就业社区建设成效：全年的平均分除以月份数上90分达标，目前全部社区（村）均达到要求。</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cs="Times New Roman"/>
          <w:kern w:val="2"/>
          <w:sz w:val="32"/>
          <w:lang w:val="en-US" w:eastAsia="zh-CN" w:bidi="ar-SA"/>
        </w:rPr>
        <w:t>7</w:t>
      </w:r>
      <w:r>
        <w:rPr>
          <w:rFonts w:hint="eastAsia" w:ascii="Calibri" w:hAnsi="Calibri" w:eastAsia="仿宋_GB2312" w:cs="Times New Roman"/>
          <w:kern w:val="2"/>
          <w:sz w:val="32"/>
          <w:lang w:val="en-US" w:eastAsia="zh-CN" w:bidi="ar-SA"/>
        </w:rPr>
        <w:t>、农村劳动力转移就业：目标任务2154人，已新增转移</w:t>
      </w:r>
      <w:r>
        <w:rPr>
          <w:rFonts w:hint="eastAsia" w:cs="Times New Roman"/>
          <w:kern w:val="2"/>
          <w:sz w:val="32"/>
          <w:lang w:val="en-US" w:eastAsia="zh-CN" w:bidi="ar-SA"/>
        </w:rPr>
        <w:t>2260</w:t>
      </w:r>
      <w:r>
        <w:rPr>
          <w:rFonts w:hint="eastAsia" w:ascii="Calibri" w:hAnsi="Calibri" w:eastAsia="仿宋_GB2312" w:cs="Times New Roman"/>
          <w:kern w:val="2"/>
          <w:sz w:val="32"/>
          <w:lang w:val="en-US" w:eastAsia="zh-CN" w:bidi="ar-SA"/>
        </w:rPr>
        <w:t>人，完成目标任务。</w:t>
      </w:r>
    </w:p>
    <w:p>
      <w:pPr>
        <w:spacing w:line="600" w:lineRule="exact"/>
        <w:ind w:firstLine="640" w:firstLineChars="200"/>
        <w:rPr>
          <w:rFonts w:hint="eastAsia" w:ascii="Calibri" w:hAnsi="Calibri" w:eastAsia="仿宋_GB2312" w:cs="Times New Roman"/>
          <w:kern w:val="2"/>
          <w:sz w:val="32"/>
          <w:lang w:val="en-US" w:eastAsia="zh-CN" w:bidi="ar-SA"/>
        </w:rPr>
      </w:pPr>
      <w:r>
        <w:rPr>
          <w:rFonts w:hint="eastAsia" w:cs="Times New Roman"/>
          <w:kern w:val="2"/>
          <w:sz w:val="32"/>
          <w:lang w:val="en-US" w:eastAsia="zh-CN" w:bidi="ar-SA"/>
        </w:rPr>
        <w:t>8</w:t>
      </w:r>
      <w:r>
        <w:rPr>
          <w:rFonts w:hint="eastAsia" w:ascii="Calibri" w:hAnsi="Calibri" w:eastAsia="仿宋_GB2312" w:cs="Times New Roman"/>
          <w:kern w:val="2"/>
          <w:sz w:val="32"/>
          <w:lang w:val="en-US" w:eastAsia="zh-CN" w:bidi="ar-SA"/>
        </w:rPr>
        <w:t>、园区和重点企业公共就业服务就业服务联系工作：已按要求每月对重点企业进行监测并报送报表，并要求重点企业更新岗位信息。</w:t>
      </w:r>
    </w:p>
    <w:p>
      <w:pPr>
        <w:spacing w:line="600" w:lineRule="exact"/>
        <w:ind w:firstLine="640" w:firstLineChars="200"/>
        <w:rPr>
          <w:rFonts w:hint="eastAsia"/>
          <w:lang w:val="en-US" w:eastAsia="zh-CN"/>
        </w:rPr>
      </w:pPr>
      <w:r>
        <w:rPr>
          <w:rFonts w:hint="eastAsia" w:cs="Times New Roman"/>
          <w:kern w:val="2"/>
          <w:sz w:val="32"/>
          <w:lang w:val="en-US" w:eastAsia="zh-CN" w:bidi="ar-SA"/>
        </w:rPr>
        <w:t>9</w:t>
      </w:r>
      <w:r>
        <w:rPr>
          <w:rFonts w:hint="eastAsia" w:ascii="Calibri" w:hAnsi="Calibri" w:eastAsia="仿宋_GB2312" w:cs="Times New Roman"/>
          <w:kern w:val="2"/>
          <w:sz w:val="32"/>
          <w:lang w:val="en-US" w:eastAsia="zh-CN" w:bidi="ar-SA"/>
        </w:rPr>
        <w:t>、社区和行政村平台建设比例：目前都已完成建站，上级部门如再有要求我们会按时按质按量完成。</w:t>
      </w:r>
    </w:p>
    <w:p>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pPr>
        <w:spacing w:line="600" w:lineRule="exact"/>
        <w:ind w:firstLine="640" w:firstLineChars="200"/>
        <w:rPr>
          <w:rFonts w:hint="eastAsia"/>
          <w:lang w:val="en-US" w:eastAsia="zh-CN"/>
        </w:rPr>
      </w:pPr>
      <w:r>
        <w:rPr>
          <w:rFonts w:hint="eastAsia" w:ascii="Calibri" w:hAnsi="Calibri" w:eastAsia="仿宋_GB2312" w:cs="Times New Roman"/>
          <w:kern w:val="2"/>
          <w:sz w:val="32"/>
          <w:highlight w:val="none"/>
          <w:lang w:val="en-US" w:eastAsia="zh-CN" w:bidi="ar-SA"/>
        </w:rPr>
        <w:t>我</w:t>
      </w:r>
      <w:r>
        <w:rPr>
          <w:rFonts w:hint="eastAsia" w:cs="Times New Roman"/>
          <w:kern w:val="2"/>
          <w:sz w:val="32"/>
          <w:highlight w:val="none"/>
          <w:lang w:val="en-US" w:eastAsia="zh-CN" w:bidi="ar-SA"/>
        </w:rPr>
        <w:t>中心</w:t>
      </w:r>
      <w:r>
        <w:rPr>
          <w:rFonts w:hint="eastAsia" w:ascii="Calibri" w:hAnsi="Calibri" w:eastAsia="仿宋_GB2312" w:cs="Times New Roman"/>
          <w:kern w:val="2"/>
          <w:sz w:val="32"/>
          <w:highlight w:val="none"/>
          <w:lang w:val="en-US" w:eastAsia="zh-CN" w:bidi="ar-SA"/>
        </w:rPr>
        <w:t>根据财政部门制定的《202</w:t>
      </w:r>
      <w:r>
        <w:rPr>
          <w:rFonts w:hint="eastAsia" w:cs="Times New Roman"/>
          <w:kern w:val="2"/>
          <w:sz w:val="32"/>
          <w:highlight w:val="none"/>
          <w:lang w:val="en-US" w:eastAsia="zh-CN" w:bidi="ar-SA"/>
        </w:rPr>
        <w:t>4</w:t>
      </w:r>
      <w:r>
        <w:rPr>
          <w:rFonts w:hint="eastAsia" w:ascii="Calibri" w:hAnsi="Calibri" w:eastAsia="仿宋_GB2312" w:cs="Times New Roman"/>
          <w:kern w:val="2"/>
          <w:sz w:val="32"/>
          <w:highlight w:val="none"/>
          <w:lang w:val="en-US" w:eastAsia="zh-CN" w:bidi="ar-SA"/>
        </w:rPr>
        <w:t>年度部门整体支出绩效自评表》进行了自评，本次评价分从三个方面评价，按照评价要求，产出指标</w:t>
      </w:r>
      <w:r>
        <w:rPr>
          <w:rFonts w:hint="eastAsia" w:cs="Times New Roman"/>
          <w:kern w:val="2"/>
          <w:sz w:val="32"/>
          <w:highlight w:val="none"/>
          <w:lang w:val="en-US" w:eastAsia="zh-CN" w:bidi="ar-SA"/>
        </w:rPr>
        <w:t>50</w:t>
      </w:r>
      <w:r>
        <w:rPr>
          <w:rFonts w:hint="eastAsia" w:ascii="Calibri" w:hAnsi="Calibri" w:eastAsia="仿宋_GB2312" w:cs="Times New Roman"/>
          <w:kern w:val="2"/>
          <w:sz w:val="32"/>
          <w:highlight w:val="none"/>
          <w:lang w:val="en-US" w:eastAsia="zh-CN" w:bidi="ar-SA"/>
        </w:rPr>
        <w:t>分、效益指标30分、服务对象满意度指标10分。经评价，我</w:t>
      </w:r>
      <w:r>
        <w:rPr>
          <w:rFonts w:hint="eastAsia" w:cs="Times New Roman"/>
          <w:kern w:val="2"/>
          <w:sz w:val="32"/>
          <w:highlight w:val="none"/>
          <w:lang w:val="en-US" w:eastAsia="zh-CN" w:bidi="ar-SA"/>
        </w:rPr>
        <w:t>中心</w:t>
      </w:r>
      <w:r>
        <w:rPr>
          <w:rFonts w:hint="eastAsia" w:ascii="Calibri" w:hAnsi="Calibri" w:eastAsia="仿宋_GB2312" w:cs="Times New Roman"/>
          <w:kern w:val="2"/>
          <w:sz w:val="32"/>
          <w:highlight w:val="none"/>
          <w:lang w:val="en-US" w:eastAsia="zh-CN" w:bidi="ar-SA"/>
        </w:rPr>
        <w:t>部门整体支出绩效自评得分</w:t>
      </w:r>
      <w:r>
        <w:rPr>
          <w:rFonts w:hint="eastAsia" w:cs="Times New Roman"/>
          <w:kern w:val="2"/>
          <w:sz w:val="32"/>
          <w:highlight w:val="none"/>
          <w:lang w:val="en-US" w:eastAsia="zh-CN" w:bidi="ar-SA"/>
        </w:rPr>
        <w:t>98.23</w:t>
      </w:r>
      <w:r>
        <w:rPr>
          <w:rFonts w:hint="eastAsia" w:ascii="Calibri" w:hAnsi="Calibri" w:eastAsia="仿宋_GB2312" w:cs="Times New Roman"/>
          <w:kern w:val="2"/>
          <w:sz w:val="32"/>
          <w:highlight w:val="none"/>
          <w:lang w:val="en-US" w:eastAsia="zh-CN" w:bidi="ar-SA"/>
        </w:rPr>
        <w:t>分，综合评价为优。</w:t>
      </w:r>
    </w:p>
    <w:p>
      <w:pPr>
        <w:pStyle w:val="6"/>
        <w:widowControl/>
        <w:spacing w:line="600" w:lineRule="exact"/>
        <w:ind w:firstLine="640"/>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pPr>
        <w:spacing w:line="600" w:lineRule="exact"/>
        <w:ind w:firstLine="640" w:firstLineChars="200"/>
        <w:rPr>
          <w:rFonts w:hint="eastAsia" w:ascii="Calibri" w:hAnsi="Calibri" w:eastAsia="仿宋_GB2312" w:cs="Times New Roman"/>
          <w:kern w:val="2"/>
          <w:sz w:val="32"/>
          <w:highlight w:val="none"/>
          <w:lang w:val="en-US" w:eastAsia="zh-CN" w:bidi="ar-SA"/>
        </w:rPr>
      </w:pPr>
      <w:r>
        <w:rPr>
          <w:rFonts w:hint="eastAsia" w:ascii="Calibri" w:hAnsi="Calibri" w:eastAsia="仿宋_GB2312" w:cs="Times New Roman"/>
          <w:kern w:val="2"/>
          <w:sz w:val="32"/>
          <w:highlight w:val="none"/>
          <w:lang w:val="en-US" w:eastAsia="zh-CN" w:bidi="ar-SA"/>
        </w:rPr>
        <w:t>一是绩效目标设置有待继续优化。主要是部分业务</w:t>
      </w:r>
      <w:r>
        <w:rPr>
          <w:rFonts w:hint="eastAsia" w:cs="Times New Roman"/>
          <w:kern w:val="2"/>
          <w:sz w:val="32"/>
          <w:highlight w:val="none"/>
          <w:lang w:val="en-US" w:eastAsia="zh-CN" w:bidi="ar-SA"/>
        </w:rPr>
        <w:t>股</w:t>
      </w:r>
      <w:r>
        <w:rPr>
          <w:rFonts w:hint="eastAsia" w:ascii="Calibri" w:hAnsi="Calibri" w:eastAsia="仿宋_GB2312" w:cs="Times New Roman"/>
          <w:kern w:val="2"/>
          <w:sz w:val="32"/>
          <w:highlight w:val="none"/>
          <w:lang w:val="en-US" w:eastAsia="zh-CN" w:bidi="ar-SA"/>
        </w:rPr>
        <w:t>室对预算绩效目标的设定和各项指标的理解不到位，针对一级指标，很难形成行之有效的二级指标和三级指标，以致无法衡量项目。</w:t>
      </w:r>
    </w:p>
    <w:p>
      <w:pPr>
        <w:spacing w:line="600" w:lineRule="exact"/>
        <w:ind w:firstLine="640" w:firstLineChars="200"/>
        <w:rPr>
          <w:rFonts w:hint="eastAsia" w:ascii="Calibri" w:hAnsi="Calibri" w:eastAsia="仿宋_GB2312" w:cs="Times New Roman"/>
          <w:kern w:val="2"/>
          <w:sz w:val="32"/>
          <w:highlight w:val="none"/>
          <w:lang w:val="en-US" w:eastAsia="zh-CN" w:bidi="ar-SA"/>
        </w:rPr>
      </w:pPr>
      <w:r>
        <w:rPr>
          <w:rFonts w:hint="eastAsia" w:ascii="Calibri" w:hAnsi="Calibri" w:eastAsia="仿宋_GB2312" w:cs="Times New Roman"/>
          <w:kern w:val="2"/>
          <w:sz w:val="32"/>
          <w:highlight w:val="none"/>
          <w:lang w:val="en-US" w:eastAsia="zh-CN" w:bidi="ar-SA"/>
        </w:rPr>
        <w:t>二是绩效评价应用有待继续加强。绩效评价通常在项目完成后进行，绩效评价结果很难改变预算使用效果，影响客观评价。</w:t>
      </w:r>
    </w:p>
    <w:p>
      <w:pPr>
        <w:widowControl/>
        <w:numPr>
          <w:ilvl w:val="0"/>
          <w:numId w:val="6"/>
        </w:numPr>
        <w:spacing w:line="600" w:lineRule="exact"/>
        <w:ind w:firstLine="640" w:firstLineChars="200"/>
        <w:jc w:val="left"/>
        <w:rPr>
          <w:rFonts w:hint="eastAsia" w:eastAsia="黑体"/>
          <w:sz w:val="32"/>
          <w:szCs w:val="32"/>
        </w:rPr>
      </w:pPr>
      <w:r>
        <w:rPr>
          <w:rFonts w:hint="eastAsia" w:eastAsia="黑体"/>
          <w:sz w:val="32"/>
          <w:szCs w:val="32"/>
        </w:rPr>
        <w:t>下一步改进措施</w:t>
      </w:r>
    </w:p>
    <w:p>
      <w:pPr>
        <w:pStyle w:val="2"/>
        <w:numPr>
          <w:ilvl w:val="0"/>
          <w:numId w:val="0"/>
        </w:numPr>
        <w:ind w:firstLine="640" w:firstLineChars="200"/>
        <w:rPr>
          <w:rFonts w:hint="eastAsia"/>
        </w:rPr>
      </w:pPr>
      <w:r>
        <w:rPr>
          <w:rFonts w:hint="eastAsia"/>
        </w:rPr>
        <w:t>（1）细化预算编制工作</w:t>
      </w:r>
      <w:r>
        <w:rPr>
          <w:rFonts w:hint="eastAsia"/>
          <w:lang w:eastAsia="zh-CN"/>
        </w:rPr>
        <w:t>，</w:t>
      </w:r>
      <w:r>
        <w:rPr>
          <w:rFonts w:hint="eastAsia"/>
        </w:rPr>
        <w:t>优化预算项目设置。不断完善部门预算编制管理，抓住预算一体化系统平台整合的契机，充分利用云平台数据，加强项目资金执行情况分析，并作为下年预算安排的依据，进一步提高预算编制的精准度和预算标准化水平。</w:t>
      </w:r>
    </w:p>
    <w:p>
      <w:pPr>
        <w:pStyle w:val="2"/>
        <w:numPr>
          <w:ilvl w:val="0"/>
          <w:numId w:val="0"/>
        </w:numPr>
        <w:ind w:firstLine="640" w:firstLineChars="200"/>
        <w:rPr>
          <w:rFonts w:hint="eastAsia"/>
        </w:rPr>
      </w:pPr>
      <w:r>
        <w:rPr>
          <w:rFonts w:hint="eastAsia"/>
        </w:rPr>
        <w:t>（2）加强预算执行管理。遵循预算管理办法</w:t>
      </w:r>
      <w:r>
        <w:rPr>
          <w:rFonts w:hint="eastAsia"/>
          <w:lang w:eastAsia="zh-CN"/>
        </w:rPr>
        <w:t>，</w:t>
      </w:r>
      <w:r>
        <w:rPr>
          <w:rFonts w:hint="eastAsia"/>
        </w:rPr>
        <w:t>按项目工作推进提高资金支出进度，加强和各业务科室的沟通和督促项目资金使用，科学合理使用财政资金，确保财政资金发挥最大效益。</w:t>
      </w:r>
    </w:p>
    <w:p>
      <w:pPr>
        <w:pStyle w:val="2"/>
        <w:numPr>
          <w:ilvl w:val="0"/>
          <w:numId w:val="0"/>
        </w:numPr>
        <w:ind w:firstLine="640" w:firstLineChars="200"/>
        <w:rPr>
          <w:rFonts w:hint="eastAsia"/>
        </w:rPr>
      </w:pPr>
      <w:r>
        <w:rPr>
          <w:rFonts w:hint="eastAsia"/>
        </w:rPr>
        <w:t>（3）加强人员培训。进一步加强管理人员对相关业务的学习，规范部门预算收支核算，切实提高预算收支管理水平。</w:t>
      </w:r>
    </w:p>
    <w:p>
      <w:pPr>
        <w:widowControl/>
        <w:numPr>
          <w:ilvl w:val="0"/>
          <w:numId w:val="6"/>
        </w:numPr>
        <w:spacing w:line="600" w:lineRule="exact"/>
        <w:ind w:firstLine="640" w:firstLineChars="200"/>
        <w:jc w:val="left"/>
        <w:rPr>
          <w:rFonts w:hint="eastAsia" w:eastAsia="黑体"/>
          <w:sz w:val="32"/>
          <w:szCs w:val="32"/>
          <w:lang w:eastAsia="zh-CN"/>
        </w:rPr>
      </w:pPr>
      <w:r>
        <w:rPr>
          <w:rFonts w:hint="eastAsia" w:eastAsia="黑体"/>
          <w:sz w:val="32"/>
          <w:szCs w:val="32"/>
        </w:rPr>
        <w:t>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pStyle w:val="2"/>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（一）绩效自评结果拟应用</w:t>
      </w:r>
    </w:p>
    <w:p>
      <w:pPr>
        <w:pStyle w:val="2"/>
        <w:numPr>
          <w:ilvl w:val="0"/>
          <w:numId w:val="0"/>
        </w:numPr>
        <w:ind w:firstLine="640" w:firstLineChars="200"/>
        <w:rPr>
          <w:rFonts w:hint="eastAsia"/>
          <w:lang w:eastAsia="zh-CN"/>
        </w:rPr>
      </w:pPr>
      <w:r>
        <w:rPr>
          <w:rFonts w:hint="eastAsia"/>
          <w:lang w:eastAsia="zh-CN"/>
        </w:rPr>
        <w:t>通过绩效自评，进一步掌握了资金使用情况和取得的效果，总结了专项资金管理经验，认识到了工作中存在的问题和不足，为今后完善年初预算编制、加强资金使用管理、健全资金支出项目、提高资金绩效管理、加大资金使用效益工作提供了重要的参考依据。</w:t>
      </w:r>
    </w:p>
    <w:p>
      <w:pPr>
        <w:pStyle w:val="2"/>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（二）绩效自评结果公开情况</w:t>
      </w:r>
    </w:p>
    <w:p>
      <w:pPr>
        <w:pStyle w:val="2"/>
        <w:numPr>
          <w:ilvl w:val="0"/>
          <w:numId w:val="0"/>
        </w:numPr>
        <w:ind w:firstLine="640" w:firstLineChars="200"/>
        <w:rPr>
          <w:rFonts w:hint="eastAsia"/>
          <w:lang w:eastAsia="zh-CN"/>
        </w:rPr>
      </w:pPr>
      <w:r>
        <w:rPr>
          <w:rFonts w:hint="eastAsia"/>
          <w:lang w:eastAsia="zh-CN"/>
        </w:rPr>
        <w:t>2024年本部门整体支出绩效自评报告将在益阳市资阳区人民政府门户网站上予以全文公布，向社会公开，广泛接受群众监督。</w:t>
      </w:r>
    </w:p>
    <w:p>
      <w:pPr>
        <w:rPr>
          <w:rFonts w:hint="eastAsia"/>
          <w:lang w:eastAsia="zh-CN"/>
        </w:rPr>
      </w:pPr>
      <w:r>
        <w:rPr>
          <w:rFonts w:hint="eastAsia"/>
          <w:lang w:eastAsia="zh-CN"/>
        </w:rPr>
        <w:br w:type="page"/>
      </w:r>
    </w:p>
    <w:p>
      <w:pPr>
        <w:pStyle w:val="2"/>
        <w:rPr>
          <w:rFonts w:hint="eastAsia"/>
          <w:lang w:eastAsia="zh-CN"/>
        </w:rPr>
      </w:pPr>
    </w:p>
    <w:p>
      <w:pPr>
        <w:widowControl/>
        <w:spacing w:line="600" w:lineRule="exact"/>
        <w:ind w:firstLine="1280" w:firstLineChars="400"/>
        <w:jc w:val="left"/>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部门整体支出绩效评价基础数据表</w:t>
      </w:r>
    </w:p>
    <w:p>
      <w:pPr>
        <w:widowControl/>
        <w:spacing w:line="600" w:lineRule="exact"/>
        <w:ind w:firstLine="1280" w:firstLineChars="400"/>
        <w:jc w:val="left"/>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部门整体支出绩效自评表</w:t>
      </w:r>
    </w:p>
    <w:p>
      <w:pPr>
        <w:widowControl/>
        <w:spacing w:line="600" w:lineRule="exact"/>
        <w:ind w:firstLine="1280" w:firstLineChars="400"/>
        <w:jc w:val="left"/>
        <w:rPr>
          <w:rFonts w:hint="eastAsia" w:ascii="仿宋" w:hAnsi="仿宋" w:eastAsia="仿宋" w:cs="仿宋"/>
          <w:sz w:val="32"/>
          <w:szCs w:val="32"/>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w:t>
      </w:r>
      <w:r>
        <w:rPr>
          <w:rFonts w:hint="eastAsia" w:ascii="仿宋" w:hAnsi="仿宋" w:eastAsia="仿宋" w:cs="仿宋"/>
          <w:sz w:val="32"/>
          <w:szCs w:val="32"/>
        </w:rPr>
        <w:t>项目支出绩效自评表</w:t>
      </w:r>
    </w:p>
    <w:p/>
    <w:p>
      <w:pPr>
        <w:pStyle w:val="2"/>
        <w:jc w:val="right"/>
      </w:pPr>
    </w:p>
    <w:p>
      <w:pPr>
        <w:pStyle w:val="2"/>
        <w:jc w:val="right"/>
        <w:rPr>
          <w:rFonts w:hint="eastAsia"/>
          <w:lang w:eastAsia="zh-CN"/>
        </w:rPr>
      </w:pPr>
      <w:r>
        <w:rPr>
          <w:rFonts w:hint="eastAsia"/>
          <w:lang w:eastAsia="zh-CN"/>
        </w:rPr>
        <w:t>益阳市资阳区就业服务中心</w:t>
      </w:r>
    </w:p>
    <w:p>
      <w:pPr>
        <w:pStyle w:val="2"/>
        <w:jc w:val="center"/>
        <w:rPr>
          <w:rFonts w:hint="default"/>
          <w:lang w:val="en-US" w:eastAsia="zh-CN"/>
        </w:rPr>
      </w:pPr>
      <w:r>
        <w:rPr>
          <w:rFonts w:hint="eastAsia"/>
          <w:lang w:val="en-US" w:eastAsia="zh-CN"/>
        </w:rPr>
        <w:t xml:space="preserve">                    2025年5月28日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ABDB9"/>
    <w:multiLevelType w:val="singleLevel"/>
    <w:tmpl w:val="A57ABDB9"/>
    <w:lvl w:ilvl="0" w:tentative="0">
      <w:start w:val="5"/>
      <w:numFmt w:val="decimal"/>
      <w:suff w:val="nothing"/>
      <w:lvlText w:val="%1、"/>
      <w:lvlJc w:val="left"/>
    </w:lvl>
  </w:abstractNum>
  <w:abstractNum w:abstractNumId="1">
    <w:nsid w:val="D03D944E"/>
    <w:multiLevelType w:val="singleLevel"/>
    <w:tmpl w:val="D03D944E"/>
    <w:lvl w:ilvl="0" w:tentative="0">
      <w:start w:val="1"/>
      <w:numFmt w:val="chineseCounting"/>
      <w:suff w:val="nothing"/>
      <w:lvlText w:val="（%1）"/>
      <w:lvlJc w:val="left"/>
      <w:rPr>
        <w:rFonts w:hint="eastAsia"/>
      </w:rPr>
    </w:lvl>
  </w:abstractNum>
  <w:abstractNum w:abstractNumId="2">
    <w:nsid w:val="DE409E62"/>
    <w:multiLevelType w:val="singleLevel"/>
    <w:tmpl w:val="DE409E62"/>
    <w:lvl w:ilvl="0" w:tentative="0">
      <w:start w:val="6"/>
      <w:numFmt w:val="chineseCounting"/>
      <w:suff w:val="nothing"/>
      <w:lvlText w:val="%1、"/>
      <w:lvlJc w:val="left"/>
      <w:rPr>
        <w:rFonts w:hint="eastAsia"/>
      </w:rPr>
    </w:lvl>
  </w:abstractNum>
  <w:abstractNum w:abstractNumId="3">
    <w:nsid w:val="0DEA7D3C"/>
    <w:multiLevelType w:val="singleLevel"/>
    <w:tmpl w:val="0DEA7D3C"/>
    <w:lvl w:ilvl="0" w:tentative="0">
      <w:start w:val="1"/>
      <w:numFmt w:val="chineseCounting"/>
      <w:suff w:val="nothing"/>
      <w:lvlText w:val="%1、"/>
      <w:lvlJc w:val="left"/>
      <w:rPr>
        <w:rFonts w:hint="eastAsia"/>
      </w:rPr>
    </w:lvl>
  </w:abstractNum>
  <w:abstractNum w:abstractNumId="4">
    <w:nsid w:val="2638FE4A"/>
    <w:multiLevelType w:val="singleLevel"/>
    <w:tmpl w:val="2638FE4A"/>
    <w:lvl w:ilvl="0" w:tentative="0">
      <w:start w:val="1"/>
      <w:numFmt w:val="decimal"/>
      <w:suff w:val="nothing"/>
      <w:lvlText w:val="%1、"/>
      <w:lvlJc w:val="left"/>
      <w:pPr>
        <w:ind w:left="-200"/>
      </w:pPr>
    </w:lvl>
  </w:abstractNum>
  <w:abstractNum w:abstractNumId="5">
    <w:nsid w:val="7BBA7AFB"/>
    <w:multiLevelType w:val="singleLevel"/>
    <w:tmpl w:val="7BBA7AFB"/>
    <w:lvl w:ilvl="0" w:tentative="0">
      <w:start w:val="1"/>
      <w:numFmt w:val="decimal"/>
      <w:suff w:val="nothing"/>
      <w:lvlText w:val="%1、"/>
      <w:lvlJc w:val="left"/>
      <w:pPr>
        <w:ind w:left="-20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NjNmNWE4ZDY1ZWZhMjllMWY5OWIxMTIzYmZlMzAifQ=="/>
  </w:docVars>
  <w:rsids>
    <w:rsidRoot w:val="3FDA7FA1"/>
    <w:rsid w:val="00452CE4"/>
    <w:rsid w:val="0E6550BA"/>
    <w:rsid w:val="14AB7103"/>
    <w:rsid w:val="16702E8A"/>
    <w:rsid w:val="22E64683"/>
    <w:rsid w:val="23553FAB"/>
    <w:rsid w:val="34551853"/>
    <w:rsid w:val="3B796E8B"/>
    <w:rsid w:val="3D8723C1"/>
    <w:rsid w:val="3F6B3DFC"/>
    <w:rsid w:val="3FDA7FA1"/>
    <w:rsid w:val="7A2E0667"/>
    <w:rsid w:val="7AE94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ind w:firstLine="420"/>
    </w:pPr>
  </w:style>
  <w:style w:type="paragraph" w:customStyle="1" w:styleId="3">
    <w:name w:val="BodyTextIndent"/>
    <w:basedOn w:val="1"/>
    <w:qFormat/>
    <w:uiPriority w:val="0"/>
    <w:pPr>
      <w:spacing w:after="120"/>
      <w:ind w:left="420" w:leftChars="200" w:firstLine="200" w:firstLineChars="200"/>
      <w:textAlignment w:val="baseline"/>
    </w:pPr>
  </w:style>
  <w:style w:type="paragraph" w:styleId="6">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2362</Words>
  <Characters>2543</Characters>
  <Lines>0</Lines>
  <Paragraphs>0</Paragraphs>
  <TotalTime>39</TotalTime>
  <ScaleCrop>false</ScaleCrop>
  <LinksUpToDate>false</LinksUpToDate>
  <CharactersWithSpaces>2568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2024-05-14T07:21:00Z</dcterms:created>
  <dc:creator>幼儿园库里</dc:creator>
  <cp:lastModifiedBy>Administrator</cp:lastModifiedBy>
  <dcterms:modified xsi:type="dcterms:W3CDTF">2025-10-17T01:04:07Z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6710EB708F364321BEC347B67754106C</vt:lpwstr>
  </property>
  <property fmtid="{D5CDD505-2E9C-101B-9397-08002B2CF9AE}" pid="4" name="KSOTemplateDocerSaveRecord">
    <vt:lpwstr>eyJoZGlkIjoiYmYzNjNmNWE4ZDY1ZWZhMjllMWY5OWIxMTIzYmZlMzAiLCJ1c2VySWQiOiI0MTUwNTk5MjEifQ==</vt:lpwstr>
  </property>
</Properties>
</file>