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jc w:val="center"/>
        <w:rPr>
          <w:rFonts w:hint="eastAsia" w:ascii="宋体" w:hAnsi="宋体" w:eastAsia="宋体" w:cs="宋体"/>
          <w:b/>
          <w:bCs/>
          <w:spacing w:val="19"/>
          <w:sz w:val="46"/>
          <w:szCs w:val="46"/>
          <w:lang w:eastAsia="zh-CN"/>
        </w:rPr>
      </w:pPr>
    </w:p>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bCs/>
          <w:spacing w:val="19"/>
          <w:sz w:val="46"/>
          <w:szCs w:val="46"/>
        </w:rPr>
      </w:pPr>
    </w:p>
    <w:p>
      <w:pPr>
        <w:pStyle w:val="4"/>
        <w:keepNext/>
        <w:keepLines/>
        <w:pageBreakBefore w:val="0"/>
        <w:widowControl w:val="0"/>
        <w:kinsoku/>
        <w:wordWrap/>
        <w:overflowPunct/>
        <w:topLinePunct w:val="0"/>
        <w:autoSpaceDE/>
        <w:autoSpaceDN/>
        <w:bidi w:val="0"/>
        <w:adjustRightInd/>
        <w:snapToGrid w:val="0"/>
        <w:spacing w:before="0" w:beforeLines="0" w:after="0" w:afterLines="0" w:line="240" w:lineRule="auto"/>
        <w:jc w:val="center"/>
        <w:textAlignment w:val="auto"/>
        <w:rPr>
          <w:rFonts w:hint="eastAsia" w:ascii="方正小标宋简体" w:hAnsi="方正小标宋简体" w:eastAsia="方正小标宋简体" w:cs="方正小标宋简体"/>
          <w:b w:val="0"/>
          <w:bCs w:val="0"/>
          <w:snapToGrid/>
          <w:kern w:val="2"/>
          <w:sz w:val="52"/>
          <w:szCs w:val="52"/>
          <w:lang w:val="en-US" w:eastAsia="zh-CN" w:bidi="ar-SA"/>
        </w:rPr>
      </w:pPr>
      <w:r>
        <w:rPr>
          <w:rFonts w:hint="eastAsia" w:ascii="方正小标宋简体" w:hAnsi="方正小标宋简体" w:eastAsia="方正小标宋简体" w:cs="方正小标宋简体"/>
          <w:b w:val="0"/>
          <w:bCs w:val="0"/>
          <w:snapToGrid/>
          <w:kern w:val="2"/>
          <w:sz w:val="52"/>
          <w:szCs w:val="52"/>
          <w:lang w:val="en-US" w:eastAsia="zh-CN" w:bidi="ar-SA"/>
        </w:rPr>
        <w:t>2024年度益阳市资阳区民政局</w:t>
      </w:r>
    </w:p>
    <w:p>
      <w:pPr>
        <w:pStyle w:val="4"/>
        <w:keepNext/>
        <w:keepLines/>
        <w:pageBreakBefore w:val="0"/>
        <w:widowControl w:val="0"/>
        <w:kinsoku/>
        <w:wordWrap/>
        <w:overflowPunct/>
        <w:topLinePunct w:val="0"/>
        <w:autoSpaceDE/>
        <w:autoSpaceDN/>
        <w:bidi w:val="0"/>
        <w:adjustRightInd/>
        <w:snapToGrid w:val="0"/>
        <w:spacing w:before="0" w:beforeLines="0" w:after="0" w:afterLines="0" w:line="240" w:lineRule="auto"/>
        <w:jc w:val="center"/>
        <w:textAlignment w:val="auto"/>
        <w:rPr>
          <w:rFonts w:hint="eastAsia" w:ascii="方正小标宋简体" w:hAnsi="方正小标宋简体" w:eastAsia="方正小标宋简体" w:cs="方正小标宋简体"/>
          <w:b w:val="0"/>
          <w:bCs w:val="0"/>
          <w:snapToGrid/>
          <w:kern w:val="2"/>
          <w:sz w:val="52"/>
          <w:szCs w:val="52"/>
          <w:lang w:val="en-US" w:eastAsia="zh-CN" w:bidi="ar-SA"/>
        </w:rPr>
      </w:pPr>
      <w:r>
        <w:rPr>
          <w:rFonts w:hint="eastAsia" w:ascii="方正小标宋简体" w:hAnsi="方正小标宋简体" w:eastAsia="方正小标宋简体" w:cs="方正小标宋简体"/>
          <w:b w:val="0"/>
          <w:bCs w:val="0"/>
          <w:snapToGrid/>
          <w:kern w:val="2"/>
          <w:sz w:val="52"/>
          <w:szCs w:val="52"/>
          <w:lang w:val="en-US" w:eastAsia="zh-CN" w:bidi="ar-SA"/>
        </w:rPr>
        <w:t>部门整体支出绩效自评报告</w:t>
      </w: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4"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keepNext w:val="0"/>
        <w:keepLines w:val="0"/>
        <w:pageBreakBefore w:val="0"/>
        <w:kinsoku/>
        <w:wordWrap/>
        <w:overflowPunct/>
        <w:topLinePunct w:val="0"/>
        <w:autoSpaceDE/>
        <w:autoSpaceDN/>
        <w:bidi w:val="0"/>
        <w:adjustRightInd w:val="0"/>
        <w:snapToGrid w:val="0"/>
        <w:spacing w:line="245" w:lineRule="auto"/>
        <w:rPr>
          <w:lang w:eastAsia="zh-CN"/>
        </w:rPr>
      </w:pPr>
    </w:p>
    <w:p>
      <w:pPr>
        <w:pStyle w:val="3"/>
        <w:keepNext w:val="0"/>
        <w:keepLines w:val="0"/>
        <w:pageBreakBefore w:val="0"/>
        <w:kinsoku/>
        <w:wordWrap/>
        <w:overflowPunct/>
        <w:topLinePunct w:val="0"/>
        <w:autoSpaceDE/>
        <w:autoSpaceDN/>
        <w:bidi w:val="0"/>
        <w:adjustRightInd w:val="0"/>
        <w:snapToGrid w:val="0"/>
        <w:jc w:val="center"/>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部门(单位)名称： 益阳市资阳区民政局</w:t>
      </w:r>
    </w:p>
    <w:p>
      <w:pPr>
        <w:keepNext w:val="0"/>
        <w:keepLines w:val="0"/>
        <w:pageBreakBefore w:val="0"/>
        <w:kinsoku/>
        <w:wordWrap/>
        <w:overflowPunct/>
        <w:topLinePunct w:val="0"/>
        <w:autoSpaceDE/>
        <w:autoSpaceDN/>
        <w:bidi w:val="0"/>
        <w:adjustRightInd w:val="0"/>
        <w:snapToGrid w:val="0"/>
        <w:spacing w:line="264" w:lineRule="auto"/>
        <w:rPr>
          <w:rFonts w:hint="eastAsia" w:ascii="仿宋_GB2312" w:hAnsi="仿宋_GB2312" w:eastAsia="仿宋_GB2312" w:cs="仿宋_GB2312"/>
          <w:snapToGrid/>
          <w:kern w:val="2"/>
          <w:sz w:val="32"/>
          <w:szCs w:val="24"/>
          <w:lang w:val="en-US" w:eastAsia="zh-CN" w:bidi="ar-SA"/>
        </w:rPr>
      </w:pPr>
    </w:p>
    <w:p>
      <w:pPr>
        <w:keepNext w:val="0"/>
        <w:keepLines w:val="0"/>
        <w:pageBreakBefore w:val="0"/>
        <w:kinsoku/>
        <w:wordWrap/>
        <w:overflowPunct/>
        <w:topLinePunct w:val="0"/>
        <w:autoSpaceDE/>
        <w:autoSpaceDN/>
        <w:bidi w:val="0"/>
        <w:adjustRightInd w:val="0"/>
        <w:snapToGrid w:val="0"/>
        <w:spacing w:line="265" w:lineRule="auto"/>
        <w:rPr>
          <w:rFonts w:hint="eastAsia" w:ascii="仿宋_GB2312" w:hAnsi="仿宋_GB2312" w:eastAsia="仿宋_GB2312" w:cs="仿宋_GB2312"/>
          <w:snapToGrid/>
          <w:kern w:val="2"/>
          <w:sz w:val="32"/>
          <w:szCs w:val="24"/>
          <w:lang w:val="en-US" w:eastAsia="zh-CN" w:bidi="ar-SA"/>
        </w:rPr>
      </w:pPr>
    </w:p>
    <w:p>
      <w:pPr>
        <w:keepNext w:val="0"/>
        <w:keepLines w:val="0"/>
        <w:pageBreakBefore w:val="0"/>
        <w:kinsoku/>
        <w:wordWrap/>
        <w:overflowPunct/>
        <w:topLinePunct w:val="0"/>
        <w:autoSpaceDE/>
        <w:autoSpaceDN/>
        <w:bidi w:val="0"/>
        <w:adjustRightInd w:val="0"/>
        <w:snapToGrid w:val="0"/>
        <w:spacing w:line="265" w:lineRule="auto"/>
        <w:rPr>
          <w:rFonts w:hint="eastAsia" w:ascii="仿宋_GB2312" w:hAnsi="仿宋_GB2312" w:eastAsia="仿宋_GB2312" w:cs="仿宋_GB2312"/>
          <w:snapToGrid/>
          <w:kern w:val="2"/>
          <w:sz w:val="32"/>
          <w:szCs w:val="24"/>
          <w:lang w:val="en-US" w:eastAsia="zh-CN" w:bidi="ar-SA"/>
        </w:rPr>
      </w:pPr>
    </w:p>
    <w:p>
      <w:pPr>
        <w:pStyle w:val="3"/>
        <w:keepNext w:val="0"/>
        <w:keepLines w:val="0"/>
        <w:pageBreakBefore w:val="0"/>
        <w:kinsoku/>
        <w:wordWrap/>
        <w:overflowPunct/>
        <w:topLinePunct w:val="0"/>
        <w:autoSpaceDE/>
        <w:autoSpaceDN/>
        <w:bidi w:val="0"/>
        <w:adjustRightInd w:val="0"/>
        <w:snapToGrid w:val="0"/>
        <w:spacing w:before="98" w:line="222" w:lineRule="auto"/>
        <w:ind w:left="3265"/>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2025年5月19日</w:t>
      </w:r>
    </w:p>
    <w:p>
      <w:pPr>
        <w:keepNext w:val="0"/>
        <w:keepLines w:val="0"/>
        <w:pageBreakBefore w:val="0"/>
        <w:kinsoku/>
        <w:wordWrap/>
        <w:overflowPunct/>
        <w:topLinePunct w:val="0"/>
        <w:autoSpaceDE/>
        <w:autoSpaceDN/>
        <w:bidi w:val="0"/>
        <w:adjustRightInd w:val="0"/>
        <w:snapToGrid w:val="0"/>
        <w:spacing w:line="269" w:lineRule="auto"/>
        <w:rPr>
          <w:lang w:eastAsia="zh-CN"/>
        </w:rPr>
      </w:pPr>
    </w:p>
    <w:p>
      <w:pPr>
        <w:keepNext w:val="0"/>
        <w:keepLines w:val="0"/>
        <w:pageBreakBefore w:val="0"/>
        <w:kinsoku/>
        <w:wordWrap/>
        <w:overflowPunct/>
        <w:topLinePunct w:val="0"/>
        <w:autoSpaceDE/>
        <w:autoSpaceDN/>
        <w:bidi w:val="0"/>
        <w:adjustRightInd w:val="0"/>
        <w:snapToGrid w:val="0"/>
        <w:spacing w:line="269" w:lineRule="auto"/>
        <w:rPr>
          <w:lang w:eastAsia="zh-CN"/>
        </w:rPr>
      </w:pPr>
    </w:p>
    <w:p>
      <w:pPr>
        <w:keepNext w:val="0"/>
        <w:keepLines w:val="0"/>
        <w:pageBreakBefore w:val="0"/>
        <w:kinsoku/>
        <w:wordWrap/>
        <w:overflowPunct/>
        <w:topLinePunct w:val="0"/>
        <w:autoSpaceDE/>
        <w:autoSpaceDN/>
        <w:bidi w:val="0"/>
        <w:adjustRightInd w:val="0"/>
        <w:snapToGrid w:val="0"/>
        <w:spacing w:line="270" w:lineRule="auto"/>
        <w:rPr>
          <w:lang w:eastAsia="zh-CN"/>
        </w:rPr>
      </w:pPr>
    </w:p>
    <w:p>
      <w:pPr>
        <w:pStyle w:val="3"/>
        <w:keepNext w:val="0"/>
        <w:keepLines w:val="0"/>
        <w:pageBreakBefore w:val="0"/>
        <w:kinsoku/>
        <w:wordWrap/>
        <w:overflowPunct/>
        <w:topLinePunct w:val="0"/>
        <w:autoSpaceDE/>
        <w:autoSpaceDN/>
        <w:bidi w:val="0"/>
        <w:adjustRightInd w:val="0"/>
        <w:snapToGrid w:val="0"/>
        <w:spacing w:before="97" w:line="224" w:lineRule="auto"/>
        <w:ind w:left="3755"/>
        <w:rPr>
          <w:sz w:val="30"/>
          <w:szCs w:val="30"/>
          <w:lang w:eastAsia="zh-CN"/>
        </w:rPr>
        <w:sectPr>
          <w:pgSz w:w="11900" w:h="16820"/>
          <w:pgMar w:top="1429" w:right="1328" w:bottom="1423" w:left="1554" w:header="0" w:footer="1164" w:gutter="0"/>
          <w:cols w:space="720" w:num="1"/>
        </w:sectPr>
      </w:pPr>
    </w:p>
    <w:p>
      <w:pPr>
        <w:pStyle w:val="4"/>
        <w:pageBreakBefore w:val="0"/>
        <w:widowControl w:val="0"/>
        <w:kinsoku/>
        <w:wordWrap/>
        <w:overflowPunct/>
        <w:topLinePunct w:val="0"/>
        <w:autoSpaceDE/>
        <w:autoSpaceDN/>
        <w:bidi w:val="0"/>
        <w:adjustRightInd/>
        <w:snapToGrid w:val="0"/>
        <w:spacing w:before="0" w:beforeLines="0" w:after="0" w:afterLines="0" w:line="600" w:lineRule="exact"/>
        <w:jc w:val="center"/>
        <w:textAlignment w:val="auto"/>
        <w:rPr>
          <w:rFonts w:hint="eastAsia" w:ascii="方正小标宋简体" w:hAnsi="方正小标宋简体" w:eastAsia="方正小标宋简体" w:cs="方正小标宋简体"/>
          <w:b w:val="0"/>
          <w:snapToGrid/>
          <w:kern w:val="2"/>
          <w:sz w:val="44"/>
          <w:szCs w:val="44"/>
          <w:lang w:val="en-US" w:eastAsia="zh-CN" w:bidi="ar-SA"/>
        </w:rPr>
      </w:pPr>
      <w:r>
        <w:rPr>
          <w:rFonts w:hint="eastAsia" w:ascii="方正小标宋简体" w:hAnsi="方正小标宋简体" w:eastAsia="方正小标宋简体" w:cs="方正小标宋简体"/>
          <w:b w:val="0"/>
          <w:snapToGrid/>
          <w:kern w:val="2"/>
          <w:sz w:val="44"/>
          <w:szCs w:val="44"/>
          <w:lang w:val="en-US" w:eastAsia="zh-CN" w:bidi="ar-SA"/>
        </w:rPr>
        <w:t>2024年度益阳市资阳区民政局</w:t>
      </w:r>
    </w:p>
    <w:p>
      <w:pPr>
        <w:pStyle w:val="4"/>
        <w:pageBreakBefore w:val="0"/>
        <w:widowControl w:val="0"/>
        <w:kinsoku/>
        <w:wordWrap/>
        <w:overflowPunct/>
        <w:topLinePunct w:val="0"/>
        <w:autoSpaceDE/>
        <w:autoSpaceDN/>
        <w:bidi w:val="0"/>
        <w:adjustRightInd/>
        <w:snapToGrid w:val="0"/>
        <w:spacing w:before="0" w:beforeLines="0" w:after="0" w:afterLines="0" w:line="600" w:lineRule="exact"/>
        <w:jc w:val="center"/>
        <w:textAlignment w:val="auto"/>
        <w:rPr>
          <w:rFonts w:hint="eastAsia" w:ascii="方正小标宋简体" w:hAnsi="方正小标宋简体" w:eastAsia="方正小标宋简体" w:cs="方正小标宋简体"/>
          <w:b w:val="0"/>
          <w:snapToGrid/>
          <w:kern w:val="2"/>
          <w:sz w:val="44"/>
          <w:szCs w:val="44"/>
          <w:lang w:val="en-US" w:eastAsia="zh-CN" w:bidi="ar-SA"/>
        </w:rPr>
      </w:pPr>
      <w:r>
        <w:rPr>
          <w:rFonts w:hint="eastAsia" w:ascii="方正小标宋简体" w:hAnsi="方正小标宋简体" w:eastAsia="方正小标宋简体" w:cs="方正小标宋简体"/>
          <w:b w:val="0"/>
          <w:snapToGrid/>
          <w:kern w:val="2"/>
          <w:sz w:val="44"/>
          <w:szCs w:val="44"/>
          <w:lang w:val="en-US" w:eastAsia="zh-CN" w:bidi="ar-SA"/>
        </w:rPr>
        <w:t>部门整体支出绩效自评报告</w:t>
      </w:r>
    </w:p>
    <w:p>
      <w:pPr>
        <w:pStyle w:val="4"/>
        <w:pageBreakBefore w:val="0"/>
        <w:widowControl w:val="0"/>
        <w:kinsoku/>
        <w:wordWrap/>
        <w:overflowPunct/>
        <w:topLinePunct w:val="0"/>
        <w:autoSpaceDE/>
        <w:autoSpaceDN/>
        <w:bidi w:val="0"/>
        <w:adjustRightInd/>
        <w:snapToGrid w:val="0"/>
        <w:spacing w:before="0" w:beforeLines="0" w:after="0" w:afterLines="0" w:line="600" w:lineRule="exact"/>
        <w:jc w:val="left"/>
        <w:textAlignment w:val="auto"/>
        <w:rPr>
          <w:rFonts w:hint="eastAsia" w:ascii="方正小标宋简体" w:hAnsi="方正小标宋简体" w:eastAsia="方正小标宋简体" w:cs="方正小标宋简体"/>
          <w:b w:val="0"/>
          <w:snapToGrid/>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600" w:lineRule="exact"/>
        <w:ind w:firstLine="623" w:firstLineChars="200"/>
        <w:jc w:val="left"/>
        <w:textAlignment w:val="center"/>
        <w:outlineLvl w:val="9"/>
        <w:rPr>
          <w:rFonts w:ascii="黑体" w:hAnsi="黑体" w:eastAsia="黑体" w:cs="黑体"/>
          <w:sz w:val="32"/>
          <w:szCs w:val="32"/>
        </w:rPr>
      </w:pPr>
      <w:r>
        <w:rPr>
          <w:rFonts w:ascii="黑体" w:hAnsi="黑体" w:eastAsia="黑体" w:cs="黑体"/>
          <w:b/>
          <w:bCs/>
          <w:spacing w:val="-5"/>
          <w:sz w:val="32"/>
          <w:szCs w:val="32"/>
        </w:rPr>
        <w:t>一</w:t>
      </w:r>
      <w:r>
        <w:rPr>
          <w:rFonts w:ascii="黑体" w:hAnsi="黑体" w:eastAsia="黑体" w:cs="黑体"/>
          <w:spacing w:val="-83"/>
          <w:sz w:val="32"/>
          <w:szCs w:val="32"/>
        </w:rPr>
        <w:t xml:space="preserve"> </w:t>
      </w:r>
      <w:r>
        <w:rPr>
          <w:rFonts w:ascii="黑体" w:hAnsi="黑体" w:eastAsia="黑体" w:cs="黑体"/>
          <w:b/>
          <w:bCs/>
          <w:spacing w:val="-5"/>
          <w:sz w:val="32"/>
          <w:szCs w:val="32"/>
        </w:rPr>
        <w:t>、部门概况</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（一）简要介绍2024年度重点工作计划</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1、兜牢基本民生保障。稳步提高社会救助保障标准，兜牢兜准兜好民生底线。严格落实低保、特困、孤儿和事实无人抚养儿童、残疾人两项补贴精准保障工作，规范流浪乞讨人员救助管理，健全完善“大救助”“大帮扶”社会救助格局。深化社会救助制度改革，完善“精准救助+网上办+掌上办”模式和电子低保凭证运行机制，积极推进低保扩围增效，切实保障困难群众基本生活，切实做到“应扶尽扶、应保尽保、应救尽救”。加强社会救助监督检查，持续推进社会救助领域群众身边腐败和作风问题综合治理，强化社会救助资金监管，坚决纠治各类违法违纪违规行为。</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2、推进基本社会服务。全面落实机构改革任务，完善老龄工作体制，让民政主业更加聚焦、职能更加优化。聚焦老年群体急难愁盼问题，贯彻落实省、市基本养老服务清单内容，继续推进公办养老机构的关停并转与区级统筹统管。持续推进困难老年人居家适老化改造重点民生实事项目建设，全力打造兜底养老有保障、基本养老有供给、专业养老有队伍、孝老敬老有氛围的养老服务体系。持续开展养老服务机构“双随机、一公开”监管，整治养老领域各项风险隐患，坚决防范和打击养老服务领域非法集资等违法问题，牢牢守住老百姓的“养老钱”。健全未成年人关爱保护体系，积极动员社会各界力量，拓展未成年人关爱服务，发挥家庭、学校、社会、网络、政府、司法保护“六位一体”未成年人保护格局最大效力。巩固深化殡葬改革成果，坚决守牢“三条底线”，加强公墓管理，持续推进移风易俗，减轻群众丧葬负担。</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color w:val="000000"/>
          <w:kern w:val="2"/>
          <w:sz w:val="32"/>
          <w:szCs w:val="24"/>
          <w:lang w:val="en-US" w:eastAsia="zh-CN" w:bidi="ar-SA"/>
        </w:rPr>
      </w:pPr>
      <w:r>
        <w:rPr>
          <w:rFonts w:hint="eastAsia" w:ascii="仿宋_GB2312" w:hAnsi="仿宋_GB2312" w:eastAsia="仿宋_GB2312" w:cs="仿宋_GB2312"/>
          <w:snapToGrid/>
          <w:color w:val="000000"/>
          <w:kern w:val="2"/>
          <w:sz w:val="32"/>
          <w:szCs w:val="24"/>
          <w:lang w:val="en-US" w:eastAsia="zh-CN" w:bidi="ar-SA"/>
        </w:rPr>
        <w:t>3、强化基层社会治理。着力提升基层治理效能，健全基层党组织领导的基层群众自治机制，加强村（居）委规范化建设。抓好村（社区）重大事项“四议两公开”制度的落实，规范村（居）务公开和民主评议。强化村规民约约束作用，推广“屋场恳谈会”等民主协商形式，推进全过程人民民主实践。加强地名管理，深化平安边界建设。继续推进社会组织规范化建设，进一步强化对社会组织的监督管理。推进社会组织孵化培育，引导社会组织参与基层治理、服务乡村振兴和未成年人保护。加大慈善宣传，弘扬慈善理念，策划公益项目，打造慈善品牌。加大“慈善+社工”融合发展力度，加强社区志愿服务站点建设。</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4、守住安全生产底线。抓实抓细民政服务机构安全管理，加大各类风险隐患持续排查整治力度，坚决防范重特大安全事故发生。针对冬季呼吸道疾病频发密发的情况，做好辖区内各养老服务机构、民政服务机构等防病防疫工作，最大程度保护机构内人员的生命安全和身体健康。</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（二）部门整体支出规模、使用方向、主要内容和涉及范围</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资阳区民政局贯彻落实党中央和区委关于民政工作的方针政策和决策部署，在履行职责过程中坚持和加强党对民政工作的集中统一领导，主要职责是：拟订全区民政事业发展规划和政策并组织实施和监督检查；拟订对全区社会团体、基金会、社会服务机构等社会组织进行登记管理和执法监督；拟订全区社会救助规划、制度和标准，负责城乡居民最低生活保障、特困人员救助供养、临时救助、生活无着流浪乞讨人员救助工作；拟订全区城乡基层群众自治建设和社区治理政策，指导城乡社区治理体系和治理能力建设，提出加强和改进城乡基层政权建设的建议，推动基层民主政治建设；拟订全区行政区划总体规划，组织行政区域界线的勘定和管理工作，负责地名管理工作；贯彻实施有关婚姻管理法规和政策，推进婚俗改革；拟订全区殡葬管理政策、服务规范并组织实施，推进殡葬改革；统筹推进、督促指导、监督管理养老服务工作，拟订全区养老服务体系建设规划、政策、标准并组织实施；贯彻实施有关残疾人权益保护的法律法规和政策，落实残疾人两项补贴福利待遇；贯彻实施有关儿童福利、孤弃儿童保障、儿童收养、儿童救助保护政策、标准，健全农村留守儿童关爱服务体系和困境儿童保障制度；拟订促进全区慈善事业发展政策，指导社会捐助工作；拟订全区社会工作、志愿服务政策和标准，会同有关部门推进社会工作人才队伍建设和志愿者队伍建设；完成区委区政府交办的其他任务。</w:t>
      </w:r>
    </w:p>
    <w:p>
      <w:pPr>
        <w:keepNext w:val="0"/>
        <w:keepLines w:val="0"/>
        <w:pageBreakBefore w:val="0"/>
        <w:widowControl w:val="0"/>
        <w:kinsoku/>
        <w:wordWrap/>
        <w:overflowPunct/>
        <w:topLinePunct w:val="0"/>
        <w:autoSpaceDE/>
        <w:autoSpaceDN/>
        <w:bidi w:val="0"/>
        <w:adjustRightInd w:val="0"/>
        <w:snapToGrid w:val="0"/>
        <w:spacing w:line="600" w:lineRule="exact"/>
        <w:ind w:firstLine="631" w:firstLineChars="200"/>
        <w:jc w:val="left"/>
        <w:textAlignment w:val="center"/>
        <w:outlineLvl w:val="9"/>
        <w:rPr>
          <w:rFonts w:ascii="黑体" w:hAnsi="黑体" w:eastAsia="黑体" w:cs="黑体"/>
          <w:sz w:val="32"/>
          <w:szCs w:val="32"/>
          <w:lang w:eastAsia="zh-CN"/>
        </w:rPr>
      </w:pPr>
      <w:r>
        <w:rPr>
          <w:rFonts w:ascii="黑体" w:hAnsi="黑体" w:eastAsia="黑体" w:cs="黑体"/>
          <w:b/>
          <w:bCs/>
          <w:spacing w:val="-3"/>
          <w:sz w:val="32"/>
          <w:szCs w:val="32"/>
          <w:lang w:eastAsia="zh-CN"/>
        </w:rPr>
        <w:t>二、</w:t>
      </w:r>
      <w:r>
        <w:rPr>
          <w:rFonts w:ascii="黑体" w:hAnsi="黑体" w:eastAsia="黑体" w:cs="黑体"/>
          <w:spacing w:val="-56"/>
          <w:sz w:val="32"/>
          <w:szCs w:val="32"/>
          <w:lang w:eastAsia="zh-CN"/>
        </w:rPr>
        <w:t xml:space="preserve"> </w:t>
      </w:r>
      <w:r>
        <w:rPr>
          <w:rFonts w:ascii="黑体" w:hAnsi="黑体" w:eastAsia="黑体" w:cs="黑体"/>
          <w:b/>
          <w:bCs/>
          <w:spacing w:val="-3"/>
          <w:sz w:val="32"/>
          <w:szCs w:val="32"/>
          <w:lang w:eastAsia="zh-CN"/>
        </w:rPr>
        <w:t>一般公共预算支出情况</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(一)基本支出情况</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color w:val="auto"/>
          <w:kern w:val="2"/>
          <w:sz w:val="32"/>
          <w:szCs w:val="24"/>
          <w:lang w:val="en-US" w:eastAsia="zh-CN" w:bidi="ar-SA"/>
        </w:rPr>
      </w:pPr>
      <w:r>
        <w:rPr>
          <w:rFonts w:hint="eastAsia" w:ascii="仿宋_GB2312" w:hAnsi="仿宋_GB2312" w:eastAsia="仿宋_GB2312" w:cs="仿宋_GB2312"/>
          <w:snapToGrid/>
          <w:color w:val="auto"/>
          <w:kern w:val="2"/>
          <w:sz w:val="32"/>
          <w:szCs w:val="24"/>
          <w:lang w:val="en-US" w:eastAsia="zh-CN" w:bidi="ar-SA"/>
        </w:rPr>
        <w:t>2024年度财政拨款基本支出506.56万元，其中：人员经费404.31万元，占基本支出的79.81%,主要包括基本工资、津贴补贴、奖金、基本养老保险缴费、职业年金、医疗保险缴费、住房公积金等；公用经费102.25万元，占基本支出的20.19%，主要包括办公费、印刷费、咨询费、手续费、水电费、维修（护）费、物业费、劳务费、公务接待费、培训费、差旅费、工会费、福利费、办公设备购置等。</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(二)项目支出情况</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default"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2024年度资阳区民政局专项资金有19个，分别为城市最低生活保障金支出</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，该项目支出预算金额2622.34万元，主要用于保障城乡居民最低生活水平，保障家庭人均纯收入低于当地城乡低保标准的救助对象基本生活；重度残疾人生活和护理补贴，该项目支出预算金额</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868.38万元，主要用于落实重度残疾人护理补贴制度，保障重度残疾人护理补贴按时足额发放；临时救助，</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该项目支出预算金额1466.44万元，主要用于临时救助困难群众；特困人员救助供养支出</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，该项目支出预算金额2202.35万元，主要用于特困人员生活救助供养金、照料护理费用和医疗救治、丧葬等其他费用；地名普查</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，该项目支出预算金额3.04万元，主要用于规范地名实体名称、设置地名标志；农村最低生活保证金支出，该项目支出预算金额</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 xml:space="preserve"> 2430万元，主要用于保障城乡居民最低生活水平，保障家庭人均纯收入低于当地城乡低保标准的救助对象基本生活；惠民殡葬资金及工作经费</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，该项目支出预算金额354.54万元，主要用于“五免一减”惠民殡葬资金和节地生态安葬奖励等方面；流浪乞讨人员救助支出</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，该项目支出预算金额34.71万元，主要用于流浪乞讨人员生活救助、医疗救治、教育矫治、返乡救助和临时安置等救助保护支出；城市和农村生活救助，</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该项目支出预算金额444.93万元，主要用于帮助困难群众解决基本生活问题；社会福利的彩票公益金支出，该项目支出预算金额</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293.36万元，主要用于补充地方公益项目、资助老年人福利、残疾人福利、儿童福利、社会公益等方面；孤儿基本生活保障</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，该项目支出预算金额165.1万元，主要用于满足孤儿的食物、衣物、居住等基本生活需求；其他社会保障和就业支出</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，该项目支出预算金额289.19万元，主要用于帮助困难群众解决基本生活问题；老年福利（百岁老人生活津贴、高龄津贴、社会福利），该项目支出预算金额</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153.51万元，主要用于保障老年人福利支出；基本养老服务，该项目支出预算金额</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64.68万元，主要用于加快完善养老服务制度体系，不断提高基本养老服务的公平性、可及性；城乡社区支出，该项目支出预算金额</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201.24万元，主要用于保障困难群众救助工作的有效进行，使困难群众的基本生活得到有效保障；巩固脱贫攻坚成果衔接乡村振兴</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，该项目支出预算金额10万元，主要用于过鹿坪村、皇家湖村乡村道路建设；灾害防治及应急管理支出，该项目支出预算金额</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0.5万元，主要用于保障安全生产监督执法、安全生产教育宣传、专家隐患排查治理等，组织召开全县安全生产会议安全生产专题会议及上级安排的其他会议若干次等，进一步加强安全生产监管检查，加大安全生产监管力度和执法力度；其他社会福利支出，</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该项目支出预算金额59.01万元，主要用于对社会福利事业单位进行补助支出，保障困难群体的基本生活支出；其他收入</w:t>
      </w:r>
      <w:r>
        <w:rPr>
          <w:rFonts w:hint="eastAsia" w:ascii="仿宋_GB2312" w:hAnsi="仿宋_GB2312" w:eastAsia="仿宋_GB2312" w:cs="仿宋_GB2312"/>
          <w:snapToGrid/>
          <w:kern w:val="2"/>
          <w:sz w:val="32"/>
          <w:szCs w:val="24"/>
          <w:lang w:val="en-US" w:eastAsia="zh-CN" w:bidi="ar-SA"/>
        </w:rPr>
        <w:tab/>
      </w:r>
      <w:r>
        <w:rPr>
          <w:rFonts w:hint="eastAsia" w:ascii="仿宋_GB2312" w:hAnsi="仿宋_GB2312" w:eastAsia="仿宋_GB2312" w:cs="仿宋_GB2312"/>
          <w:snapToGrid/>
          <w:kern w:val="2"/>
          <w:sz w:val="32"/>
          <w:szCs w:val="24"/>
          <w:lang w:val="en-US" w:eastAsia="zh-CN" w:bidi="ar-SA"/>
        </w:rPr>
        <w:t>，该项目支出预算金额97.17万元，主要用于低保电费退费。</w:t>
      </w:r>
    </w:p>
    <w:p>
      <w:pPr>
        <w:keepNext w:val="0"/>
        <w:keepLines w:val="0"/>
        <w:pageBreakBefore w:val="0"/>
        <w:widowControl w:val="0"/>
        <w:kinsoku/>
        <w:wordWrap/>
        <w:overflowPunct/>
        <w:topLinePunct w:val="0"/>
        <w:autoSpaceDE/>
        <w:autoSpaceDN/>
        <w:bidi w:val="0"/>
        <w:adjustRightInd w:val="0"/>
        <w:snapToGrid w:val="0"/>
        <w:spacing w:line="600" w:lineRule="exact"/>
        <w:ind w:firstLine="663" w:firstLineChars="200"/>
        <w:jc w:val="left"/>
        <w:textAlignment w:val="center"/>
        <w:outlineLvl w:val="9"/>
        <w:rPr>
          <w:rFonts w:ascii="黑体" w:hAnsi="黑体" w:eastAsia="黑体" w:cs="黑体"/>
          <w:sz w:val="32"/>
          <w:szCs w:val="32"/>
          <w:lang w:eastAsia="zh-CN"/>
        </w:rPr>
      </w:pPr>
      <w:r>
        <w:rPr>
          <w:rFonts w:ascii="黑体" w:hAnsi="黑体" w:eastAsia="黑体" w:cs="黑体"/>
          <w:b/>
          <w:bCs/>
          <w:spacing w:val="5"/>
          <w:sz w:val="32"/>
          <w:szCs w:val="32"/>
          <w:lang w:eastAsia="zh-CN"/>
        </w:rPr>
        <w:t>三、部门整体支出绩效情况</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color w:val="auto"/>
          <w:kern w:val="2"/>
          <w:sz w:val="32"/>
          <w:szCs w:val="24"/>
          <w:lang w:val="en-US" w:eastAsia="zh-CN" w:bidi="ar-SA"/>
        </w:rPr>
      </w:pPr>
      <w:r>
        <w:rPr>
          <w:rFonts w:hint="eastAsia" w:ascii="仿宋_GB2312" w:hAnsi="仿宋_GB2312" w:eastAsia="仿宋_GB2312" w:cs="仿宋_GB2312"/>
          <w:snapToGrid/>
          <w:color w:val="auto"/>
          <w:kern w:val="2"/>
          <w:sz w:val="32"/>
          <w:szCs w:val="24"/>
          <w:lang w:val="en-US" w:eastAsia="zh-CN" w:bidi="ar-SA"/>
        </w:rPr>
        <w:t>（一）2024年，全区民政工作稳步发展，亮点纷呈：我区老年人助餐工作在全国居家社区养老暨老年助餐服务工作座谈会上作典型推介；困难群众基本生活救助工作绩效评价获评全省“优秀”等次；被确定为全省防止返贫帮扶政策和农村低收入人口常态化帮扶政策衔接并轨试点工作县市区，为全市唯一。</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color w:val="auto"/>
          <w:kern w:val="2"/>
          <w:sz w:val="32"/>
          <w:szCs w:val="24"/>
          <w:lang w:val="en-US" w:eastAsia="zh-CN" w:bidi="ar-SA"/>
        </w:rPr>
      </w:pPr>
      <w:r>
        <w:rPr>
          <w:rFonts w:hint="eastAsia" w:ascii="仿宋_GB2312" w:hAnsi="仿宋_GB2312" w:eastAsia="仿宋_GB2312" w:cs="仿宋_GB2312"/>
          <w:snapToGrid/>
          <w:color w:val="auto"/>
          <w:kern w:val="2"/>
          <w:sz w:val="32"/>
          <w:szCs w:val="24"/>
          <w:lang w:val="en-US" w:eastAsia="zh-CN" w:bidi="ar-SA"/>
        </w:rPr>
        <w:t>(二)2024年年度主要绩效：一是民生保障底线兜实兜牢。全力推动民生可感行动，按照省、市要求，全面完成社会救助保障提标工作，保障困难对象28.3万人次。强化预警监测和主动救助，大力推进低保扩围增效，持续推进精准救助。加强创新试点，承接全省防止返贫帮扶政策和农村低收入人口常态化帮扶政策衔接并轨工作，坚决守住不发生规模性返贫底线。完善临时救助备用金制度，提高临时救助时效性、可及性。进一步优化特困供养、救助档案管理工作。持续开展好流浪乞讨人员“寒冬送温暖”“夏季送清凉”专项救助行动和常态化救助活动。</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color w:val="auto"/>
          <w:kern w:val="2"/>
          <w:sz w:val="32"/>
          <w:szCs w:val="24"/>
          <w:lang w:val="en-US" w:eastAsia="zh-CN" w:bidi="ar-SA"/>
        </w:rPr>
      </w:pPr>
      <w:r>
        <w:rPr>
          <w:rFonts w:hint="eastAsia" w:ascii="仿宋_GB2312" w:hAnsi="仿宋_GB2312" w:eastAsia="仿宋_GB2312" w:cs="仿宋_GB2312"/>
          <w:snapToGrid/>
          <w:color w:val="auto"/>
          <w:kern w:val="2"/>
          <w:sz w:val="32"/>
          <w:szCs w:val="24"/>
          <w:lang w:val="en-US" w:eastAsia="zh-CN" w:bidi="ar-SA"/>
        </w:rPr>
        <w:t>二是养老服务供给不断强化。完成209户特殊困难老年人家庭适老化改造，适老化改造工作获《湖南省实施民生可感行动工作专报》推介。新建并启动运营老年助餐点4个，全区目前共计建设运营老年助餐点10个。对标省、市出台的《基本养老服务清单》，明确11个部门职责，推动基本养老服务清单落地落实。发布养老服务机构“白名单”，将合规备案养老服务机构在人民政府门户网站上进行公示，接受社会监督。持续推进全国智慧健康养老应用试点示范基地建设，提升居家养老的安全性、便利性。举办第二届“发挥社会组织优势 助力养老服务发展”2024年养老机构开放日活动，推动涉老社会组织助力养老服务发展。支持民办养老机构建设，怡康老年公寓成功获批我省五级养老机构，为全市民办机构唯一。</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color w:val="auto"/>
          <w:kern w:val="2"/>
          <w:sz w:val="32"/>
          <w:szCs w:val="24"/>
          <w:lang w:val="en-US" w:eastAsia="zh-CN" w:bidi="ar-SA"/>
        </w:rPr>
      </w:pPr>
      <w:r>
        <w:rPr>
          <w:rFonts w:hint="eastAsia" w:ascii="仿宋_GB2312" w:hAnsi="仿宋_GB2312" w:eastAsia="仿宋_GB2312" w:cs="仿宋_GB2312"/>
          <w:snapToGrid/>
          <w:color w:val="auto"/>
          <w:kern w:val="2"/>
          <w:sz w:val="32"/>
          <w:szCs w:val="24"/>
          <w:lang w:val="en-US" w:eastAsia="zh-CN" w:bidi="ar-SA"/>
        </w:rPr>
        <w:t>三是社会服务更加便捷高效。深入推进殡葬改革，守牢了“三条底线”，即禁止遗体土葬（国家规定可不执行火化的少数民族地区除外）、禁止骨灰装棺再葬、禁止修建硬化大墓和豪华墓）。持续加强农村公益性公墓管理，推进殡葬领域突出问题专项整治。开展以“绿色殡葬 文明清明”为主题的殡葬改革宣传月活动，倡导文明丧葬新风尚。依法依规开展婚姻登记，持续推进婚姻登记“全省通办”。开展“婚育新风进万家”“浪漫520集体颁证”等活动，推荐党员新人参加“家国同庆 见证幸福”2024年全国万人集体婚礼，培育文明婚俗新风。稳步推进未成年人保护工作，启动农村留守儿童和困境儿童关爱服务质量提升三年行动，对辖区内密切接触未成年人单位的175名工作人员进行从业查询，保障和维护未成年人合法权益。</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color w:val="auto"/>
          <w:kern w:val="2"/>
          <w:sz w:val="32"/>
          <w:szCs w:val="24"/>
          <w:lang w:val="en-US" w:eastAsia="zh-CN" w:bidi="ar-SA"/>
        </w:rPr>
      </w:pPr>
      <w:r>
        <w:rPr>
          <w:rFonts w:hint="eastAsia" w:ascii="仿宋_GB2312" w:hAnsi="仿宋_GB2312" w:eastAsia="仿宋_GB2312" w:cs="仿宋_GB2312"/>
          <w:snapToGrid/>
          <w:color w:val="auto"/>
          <w:kern w:val="2"/>
          <w:sz w:val="32"/>
          <w:szCs w:val="24"/>
          <w:lang w:val="en-US" w:eastAsia="zh-CN" w:bidi="ar-SA"/>
        </w:rPr>
        <w:t>四是基层社会治理不断深化。稳妥推进行政区划调整后续各项工作。深化平安边界建设，完成了2024年行政区域界线联检工作。坚持党建引领，扎实推进社会组织党建工作。加强社会组织管理，依法登记新成立社会组织11家、办理变更事项11家、注销4家，完成148家社会组织年检，对全区社会组织开展督导抽查。持续推进“益行益善 益老益小”慈善项目系列活动，开展“益老益小 守护心灯”心理健康关爱服务，对全区困境儿童、公办养老机构入住老人开展心理健康筛查及干预，为“一老一小”群体提供及时、有效的心理支持和帮助。开展第九个“中华慈善日”宣传、“慈善爱心助学”、春节送温暖慰问等活动，推动新时代慈善事业高质量发展。</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color w:val="auto"/>
          <w:kern w:val="2"/>
          <w:sz w:val="32"/>
          <w:szCs w:val="24"/>
          <w:lang w:val="en-US" w:eastAsia="zh-CN" w:bidi="ar-SA"/>
        </w:rPr>
      </w:pPr>
      <w:r>
        <w:rPr>
          <w:rFonts w:hint="eastAsia" w:ascii="仿宋_GB2312" w:hAnsi="仿宋_GB2312" w:eastAsia="仿宋_GB2312" w:cs="仿宋_GB2312"/>
          <w:snapToGrid/>
          <w:color w:val="auto"/>
          <w:kern w:val="2"/>
          <w:sz w:val="32"/>
          <w:szCs w:val="24"/>
          <w:lang w:val="en-US" w:eastAsia="zh-CN" w:bidi="ar-SA"/>
        </w:rPr>
        <w:t>五是民政基础建设进一步加强。深入开展民政领域群众身边不正之风和腐败问题集中整治工作，重点聚焦社会救助、殡葬、养老服务三个方面，坚持查、改、治一体推进，确保各类民政惠民政策落到实处。扎实开展安全生产治本攻坚三年行动和“安全生产月”活动，组织养老服务机构开展事故应急演练近40场，开展养老非法集资集中宣传4次，切实提高风险隐患排查整改质量。深化资金监管，全面开展民生资金效能监管提升行动，推进“一卡通”阳光审批。</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（三）加强部门整体支出绩效管理的举措</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我局将深入学习2020年10月1日起施行的新预算法，提高预算管理意识，年初编制预算工作要实事求是、全面细致地进行预算编制工作，进一步提高预算编制的全面性、精准性。</w:t>
      </w:r>
    </w:p>
    <w:p>
      <w:pPr>
        <w:keepNext w:val="0"/>
        <w:keepLines w:val="0"/>
        <w:pageBreakBefore w:val="0"/>
        <w:widowControl w:val="0"/>
        <w:kinsoku/>
        <w:wordWrap/>
        <w:overflowPunct/>
        <w:topLinePunct w:val="0"/>
        <w:autoSpaceDE/>
        <w:autoSpaceDN/>
        <w:bidi w:val="0"/>
        <w:adjustRightInd w:val="0"/>
        <w:snapToGrid w:val="0"/>
        <w:spacing w:line="600" w:lineRule="exact"/>
        <w:ind w:firstLine="635" w:firstLineChars="200"/>
        <w:jc w:val="left"/>
        <w:textAlignment w:val="center"/>
        <w:outlineLvl w:val="9"/>
        <w:rPr>
          <w:rFonts w:ascii="黑体" w:hAnsi="黑体" w:eastAsia="黑体" w:cs="黑体"/>
          <w:sz w:val="32"/>
          <w:szCs w:val="32"/>
          <w:lang w:eastAsia="zh-CN"/>
        </w:rPr>
      </w:pPr>
      <w:r>
        <w:rPr>
          <w:rFonts w:ascii="黑体" w:hAnsi="黑体" w:eastAsia="黑体" w:cs="黑体"/>
          <w:b/>
          <w:bCs/>
          <w:spacing w:val="-2"/>
          <w:sz w:val="32"/>
          <w:szCs w:val="32"/>
          <w:lang w:eastAsia="zh-CN"/>
        </w:rPr>
        <w:t>四、</w:t>
      </w:r>
      <w:r>
        <w:rPr>
          <w:rFonts w:ascii="黑体" w:hAnsi="黑体" w:eastAsia="黑体" w:cs="黑体"/>
          <w:spacing w:val="-60"/>
          <w:sz w:val="32"/>
          <w:szCs w:val="32"/>
          <w:lang w:eastAsia="zh-CN"/>
        </w:rPr>
        <w:t xml:space="preserve"> </w:t>
      </w:r>
      <w:r>
        <w:rPr>
          <w:rFonts w:ascii="黑体" w:hAnsi="黑体" w:eastAsia="黑体" w:cs="黑体"/>
          <w:b/>
          <w:bCs/>
          <w:spacing w:val="-2"/>
          <w:sz w:val="32"/>
          <w:szCs w:val="32"/>
          <w:lang w:eastAsia="zh-CN"/>
        </w:rPr>
        <w:t>总体评价和自评得分情况</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color w:val="auto"/>
          <w:lang w:val="en-US" w:eastAsia="zh-CN"/>
        </w:rPr>
      </w:pPr>
      <w:r>
        <w:rPr>
          <w:rFonts w:hint="eastAsia" w:ascii="仿宋_GB2312" w:hAnsi="仿宋_GB2312" w:eastAsia="仿宋_GB2312" w:cs="仿宋_GB2312"/>
          <w:snapToGrid/>
          <w:color w:val="auto"/>
          <w:kern w:val="2"/>
          <w:sz w:val="32"/>
          <w:szCs w:val="24"/>
          <w:lang w:val="en-US" w:eastAsia="zh-CN" w:bidi="ar-SA"/>
        </w:rPr>
        <w:t>经自评，区民政局2024年度部门整体支出绩效评价得分98分（详见附件），部门整体支出绩效为“优”。</w:t>
      </w:r>
    </w:p>
    <w:p>
      <w:pPr>
        <w:keepNext w:val="0"/>
        <w:keepLines w:val="0"/>
        <w:pageBreakBefore w:val="0"/>
        <w:widowControl w:val="0"/>
        <w:kinsoku/>
        <w:wordWrap/>
        <w:overflowPunct/>
        <w:topLinePunct w:val="0"/>
        <w:autoSpaceDE/>
        <w:autoSpaceDN/>
        <w:bidi w:val="0"/>
        <w:adjustRightInd w:val="0"/>
        <w:snapToGrid w:val="0"/>
        <w:spacing w:line="600" w:lineRule="exact"/>
        <w:ind w:firstLine="635" w:firstLineChars="200"/>
        <w:jc w:val="left"/>
        <w:textAlignment w:val="center"/>
        <w:outlineLvl w:val="9"/>
        <w:rPr>
          <w:rFonts w:ascii="黑体" w:hAnsi="黑体" w:eastAsia="黑体" w:cs="黑体"/>
          <w:b/>
          <w:bCs/>
          <w:spacing w:val="-2"/>
          <w:sz w:val="32"/>
          <w:szCs w:val="32"/>
          <w:lang w:eastAsia="zh-CN"/>
        </w:rPr>
      </w:pPr>
      <w:r>
        <w:rPr>
          <w:rFonts w:ascii="黑体" w:hAnsi="黑体" w:eastAsia="黑体" w:cs="黑体"/>
          <w:b/>
          <w:bCs/>
          <w:spacing w:val="-2"/>
          <w:sz w:val="32"/>
          <w:szCs w:val="32"/>
          <w:lang w:eastAsia="zh-CN"/>
        </w:rPr>
        <w:t>五、存在的问题及原因分析</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color w:val="auto"/>
          <w:kern w:val="2"/>
          <w:sz w:val="32"/>
          <w:szCs w:val="24"/>
          <w:lang w:val="en-US" w:eastAsia="zh-CN" w:bidi="ar-SA"/>
        </w:rPr>
        <w:t>1、预算编制的准确性有待提高。年初预算2553.20万元，全年预算12267.05万元，</w:t>
      </w:r>
      <w:r>
        <w:rPr>
          <w:rFonts w:hint="eastAsia" w:ascii="仿宋_GB2312" w:hAnsi="仿宋_GB2312" w:eastAsia="仿宋_GB2312" w:cs="仿宋_GB2312"/>
          <w:snapToGrid/>
          <w:kern w:val="2"/>
          <w:sz w:val="32"/>
          <w:szCs w:val="24"/>
          <w:lang w:val="en-US" w:eastAsia="zh-CN" w:bidi="ar-SA"/>
        </w:rPr>
        <w:t>偏差原因一为年初编制预算后由于重点项目资金的短缺本级财政追加了部分资金；二为年初时为本级专项资金预算，后续有上级资金拨款增加，如农村最低生活保障金、流浪乞讨救助支出、用于社会福利的彩票公益金支出等。</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2、部门预算的人员经费和公用经费严重不足。我局系统除了日常办公支出外,还要承担差额编制和自收自支的人员经费。单位日常运转的刚性支出大，现有的部门预算资金已不能满足日益增长的工作需要。</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napToGrid/>
          <w:color w:val="000000"/>
          <w:kern w:val="2"/>
          <w:sz w:val="32"/>
          <w:szCs w:val="24"/>
          <w:lang w:val="en-US" w:eastAsia="zh-CN" w:bidi="ar-SA"/>
        </w:rPr>
      </w:pPr>
      <w:r>
        <w:rPr>
          <w:rFonts w:hint="eastAsia" w:ascii="仿宋_GB2312" w:hAnsi="仿宋_GB2312" w:eastAsia="仿宋_GB2312" w:cs="仿宋_GB2312"/>
          <w:snapToGrid/>
          <w:color w:val="000000"/>
          <w:kern w:val="2"/>
          <w:sz w:val="32"/>
          <w:szCs w:val="24"/>
          <w:lang w:val="en-US" w:eastAsia="zh-CN" w:bidi="ar-SA"/>
        </w:rPr>
        <w:t>3、预算执行过程中风险点排查不够仔细、全面，单位内部控制制度完善但执行不到位。</w:t>
      </w:r>
    </w:p>
    <w:p>
      <w:pPr>
        <w:keepNext w:val="0"/>
        <w:keepLines w:val="0"/>
        <w:pageBreakBefore w:val="0"/>
        <w:widowControl w:val="0"/>
        <w:kinsoku/>
        <w:wordWrap/>
        <w:overflowPunct/>
        <w:topLinePunct w:val="0"/>
        <w:autoSpaceDE/>
        <w:autoSpaceDN/>
        <w:bidi w:val="0"/>
        <w:adjustRightInd w:val="0"/>
        <w:snapToGrid w:val="0"/>
        <w:spacing w:line="600" w:lineRule="exact"/>
        <w:ind w:firstLine="635" w:firstLineChars="200"/>
        <w:jc w:val="left"/>
        <w:textAlignment w:val="center"/>
        <w:outlineLvl w:val="9"/>
        <w:rPr>
          <w:rFonts w:hint="default" w:ascii="仿宋" w:hAnsi="仿宋" w:eastAsia="仿宋" w:cs="仿宋"/>
          <w:spacing w:val="13"/>
          <w:sz w:val="32"/>
          <w:szCs w:val="32"/>
          <w:lang w:val="en-US" w:eastAsia="zh-CN"/>
        </w:rPr>
      </w:pPr>
      <w:r>
        <w:rPr>
          <w:rFonts w:hint="eastAsia" w:ascii="黑体" w:hAnsi="黑体" w:eastAsia="黑体" w:cs="黑体"/>
          <w:b/>
          <w:bCs/>
          <w:spacing w:val="-2"/>
          <w:sz w:val="32"/>
          <w:szCs w:val="32"/>
          <w:lang w:val="en-US" w:eastAsia="zh-CN"/>
        </w:rPr>
        <w:t>六</w:t>
      </w:r>
      <w:r>
        <w:rPr>
          <w:rFonts w:ascii="黑体" w:hAnsi="黑体" w:eastAsia="黑体" w:cs="黑体"/>
          <w:b/>
          <w:bCs/>
          <w:spacing w:val="-2"/>
          <w:sz w:val="32"/>
          <w:szCs w:val="32"/>
          <w:lang w:eastAsia="zh-CN"/>
        </w:rPr>
        <w:t>、</w:t>
      </w:r>
      <w:r>
        <w:rPr>
          <w:rFonts w:hint="eastAsia" w:ascii="黑体" w:hAnsi="黑体" w:eastAsia="黑体" w:cs="黑体"/>
          <w:b/>
          <w:bCs/>
          <w:spacing w:val="-2"/>
          <w:sz w:val="32"/>
          <w:szCs w:val="32"/>
          <w:lang w:val="en-US" w:eastAsia="zh-CN"/>
        </w:rPr>
        <w:t>下一步改进措施</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1、加强部门预算管理，提高预算编制的精准性。我局将深入学习2020年10月1日起施行的新预算法，提高预算管理意识，年初编制预算工作要实事求是、全面细致地进行预算编制工作，还要进一步提高预算编制的全面性、精准性。</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2、根据我局部门整体支出绩效评价情况，建议区财政根据民政事业发展的要求和实际情况，加大部门预算资金的安排，提高我局公用经费和工作经费预算额度。</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3、在以后的工作中，我局将组织学习财政部门下发的绩效管理有关文件，加深对绩效管理工作的认识，强化全面绩效管理的意识；积极参加有关部门举办的绩效管理工作培训班，提高绩效管理工作水平；明确项目预算绩效管理的主体责任，调动项目实施科室进行项目绩效管理工作的主动性和积极性；组织制定本部门绩效工作实施方案，保障本部门全面预算绩效管理工作顺利开展。</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napToGrid/>
          <w:color w:val="000000"/>
          <w:kern w:val="2"/>
          <w:sz w:val="32"/>
          <w:szCs w:val="24"/>
          <w:lang w:val="en-US" w:eastAsia="zh-CN" w:bidi="ar-SA"/>
        </w:rPr>
      </w:pPr>
      <w:r>
        <w:rPr>
          <w:rFonts w:hint="eastAsia" w:ascii="仿宋_GB2312" w:hAnsi="仿宋_GB2312" w:eastAsia="仿宋_GB2312" w:cs="仿宋_GB2312"/>
          <w:snapToGrid/>
          <w:color w:val="000000"/>
          <w:kern w:val="2"/>
          <w:sz w:val="32"/>
          <w:szCs w:val="24"/>
          <w:lang w:val="en-US" w:eastAsia="zh-CN" w:bidi="ar-SA"/>
        </w:rPr>
        <w:t>4、加强预算绩效管理机制，不断完善内部控制，在努力实现审计监督全覆盖的同时，提高财政资金使用效益。</w:t>
      </w:r>
    </w:p>
    <w:p>
      <w:pPr>
        <w:keepNext w:val="0"/>
        <w:keepLines w:val="0"/>
        <w:pageBreakBefore w:val="0"/>
        <w:widowControl w:val="0"/>
        <w:kinsoku/>
        <w:wordWrap/>
        <w:overflowPunct/>
        <w:topLinePunct w:val="0"/>
        <w:autoSpaceDE/>
        <w:autoSpaceDN/>
        <w:bidi w:val="0"/>
        <w:adjustRightInd w:val="0"/>
        <w:snapToGrid w:val="0"/>
        <w:spacing w:line="600" w:lineRule="exact"/>
        <w:ind w:firstLine="635" w:firstLineChars="200"/>
        <w:jc w:val="left"/>
        <w:textAlignment w:val="center"/>
        <w:outlineLvl w:val="9"/>
        <w:rPr>
          <w:rFonts w:hint="eastAsia" w:ascii="仿宋" w:hAnsi="仿宋" w:eastAsia="仿宋" w:cs="仿宋"/>
          <w:spacing w:val="13"/>
          <w:sz w:val="32"/>
          <w:szCs w:val="32"/>
          <w:lang w:val="en-US" w:eastAsia="zh-CN"/>
        </w:rPr>
      </w:pPr>
      <w:r>
        <w:rPr>
          <w:rFonts w:hint="eastAsia" w:ascii="黑体" w:hAnsi="黑体" w:eastAsia="黑体" w:cs="黑体"/>
          <w:b/>
          <w:bCs/>
          <w:spacing w:val="-2"/>
          <w:sz w:val="32"/>
          <w:szCs w:val="32"/>
          <w:lang w:val="en-US" w:eastAsia="zh-CN"/>
        </w:rPr>
        <w:t>七、整体支出绩效自评结果拟应用和公开情况</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报告需要以下附件：</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1.部门整体支出绩效评价基础数据表</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2.部门整体支出绩效自评表</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3.项目支出绩效自评表</w:t>
      </w:r>
    </w:p>
    <w:p>
      <w:pPr>
        <w:pStyle w:val="3"/>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both"/>
        <w:textAlignment w:val="center"/>
        <w:outlineLvl w:val="9"/>
        <w:rPr>
          <w:rFonts w:hint="eastAsia" w:ascii="仿宋_GB2312" w:hAnsi="仿宋_GB2312" w:eastAsia="仿宋_GB2312" w:cs="仿宋_GB2312"/>
          <w:snapToGrid/>
          <w:kern w:val="2"/>
          <w:sz w:val="32"/>
          <w:szCs w:val="24"/>
          <w:lang w:val="en-US" w:eastAsia="zh-CN" w:bidi="ar-SA"/>
        </w:rPr>
      </w:pPr>
      <w:r>
        <w:rPr>
          <w:rFonts w:hint="eastAsia" w:ascii="仿宋_GB2312" w:hAnsi="仿宋_GB2312" w:eastAsia="仿宋_GB2312" w:cs="仿宋_GB2312"/>
          <w:snapToGrid/>
          <w:kern w:val="2"/>
          <w:sz w:val="32"/>
          <w:szCs w:val="24"/>
          <w:lang w:val="en-US" w:eastAsia="zh-CN" w:bidi="ar-SA"/>
        </w:rPr>
        <w:t>4.其他佐证材料：当年度预算绩效目标申报表、单位年度工作总结、预决算报表、有关表彰奖励复印件及与自评报告、基础表、自评表内容相符的相关佐证材料。</w:t>
      </w:r>
    </w:p>
    <w:p>
      <w:pPr>
        <w:keepNext w:val="0"/>
        <w:keepLines w:val="0"/>
        <w:pageBreakBefore w:val="0"/>
        <w:kinsoku/>
        <w:wordWrap/>
        <w:overflowPunct/>
        <w:topLinePunct w:val="0"/>
        <w:autoSpaceDE/>
        <w:autoSpaceDN/>
        <w:bidi w:val="0"/>
        <w:adjustRightInd w:val="0"/>
        <w:snapToGrid w:val="0"/>
        <w:spacing w:line="220" w:lineRule="auto"/>
        <w:rPr>
          <w:sz w:val="30"/>
          <w:szCs w:val="30"/>
          <w:lang w:eastAsia="zh-CN"/>
        </w:rPr>
      </w:pPr>
    </w:p>
    <w:p>
      <w:pPr>
        <w:keepNext w:val="0"/>
        <w:keepLines w:val="0"/>
        <w:pageBreakBefore w:val="0"/>
        <w:kinsoku/>
        <w:wordWrap/>
        <w:overflowPunct/>
        <w:topLinePunct w:val="0"/>
        <w:autoSpaceDE/>
        <w:autoSpaceDN/>
        <w:bidi w:val="0"/>
        <w:adjustRightInd w:val="0"/>
        <w:snapToGrid w:val="0"/>
        <w:spacing w:line="220" w:lineRule="auto"/>
        <w:rPr>
          <w:sz w:val="30"/>
          <w:szCs w:val="30"/>
          <w:lang w:eastAsia="zh-CN"/>
        </w:rPr>
      </w:pPr>
    </w:p>
    <w:p>
      <w:pPr>
        <w:keepNext w:val="0"/>
        <w:keepLines w:val="0"/>
        <w:pageBreakBefore w:val="0"/>
        <w:kinsoku/>
        <w:wordWrap/>
        <w:overflowPunct/>
        <w:topLinePunct w:val="0"/>
        <w:autoSpaceDE/>
        <w:autoSpaceDN/>
        <w:bidi w:val="0"/>
        <w:adjustRightInd w:val="0"/>
        <w:snapToGrid w:val="0"/>
        <w:spacing w:line="220" w:lineRule="auto"/>
        <w:rPr>
          <w:sz w:val="30"/>
          <w:szCs w:val="30"/>
          <w:lang w:eastAsia="zh-CN"/>
        </w:rPr>
      </w:pPr>
    </w:p>
    <w:p>
      <w:pPr>
        <w:keepNext w:val="0"/>
        <w:keepLines w:val="0"/>
        <w:pageBreakBefore w:val="0"/>
        <w:kinsoku/>
        <w:wordWrap/>
        <w:overflowPunct/>
        <w:topLinePunct w:val="0"/>
        <w:autoSpaceDE/>
        <w:autoSpaceDN/>
        <w:bidi w:val="0"/>
        <w:adjustRightInd w:val="0"/>
        <w:snapToGrid w:val="0"/>
        <w:spacing w:line="220" w:lineRule="auto"/>
        <w:rPr>
          <w:sz w:val="30"/>
          <w:szCs w:val="30"/>
          <w:lang w:eastAsia="zh-CN"/>
        </w:rPr>
      </w:pPr>
    </w:p>
    <w:p>
      <w:pPr>
        <w:keepNext w:val="0"/>
        <w:keepLines w:val="0"/>
        <w:pageBreakBefore w:val="0"/>
        <w:kinsoku/>
        <w:wordWrap/>
        <w:overflowPunct/>
        <w:topLinePunct w:val="0"/>
        <w:autoSpaceDE/>
        <w:autoSpaceDN/>
        <w:bidi w:val="0"/>
        <w:adjustRightInd w:val="0"/>
        <w:snapToGrid w:val="0"/>
        <w:spacing w:before="63" w:line="224" w:lineRule="auto"/>
        <w:ind w:left="249"/>
        <w:rPr>
          <w:rFonts w:ascii="黑体" w:hAnsi="黑体" w:eastAsia="黑体" w:cs="黑体"/>
          <w:sz w:val="31"/>
          <w:szCs w:val="31"/>
          <w:lang w:eastAsia="zh-CN"/>
        </w:rPr>
      </w:pPr>
      <w:r>
        <w:rPr>
          <w:rFonts w:ascii="黑体" w:hAnsi="黑体" w:eastAsia="黑体" w:cs="黑体"/>
          <w:b/>
          <w:bCs/>
          <w:spacing w:val="23"/>
          <w:sz w:val="31"/>
          <w:szCs w:val="31"/>
          <w:lang w:eastAsia="zh-CN"/>
        </w:rPr>
        <w:t>附件</w:t>
      </w:r>
      <w:r>
        <w:rPr>
          <w:rFonts w:hint="eastAsia" w:ascii="黑体" w:hAnsi="黑体" w:eastAsia="黑体" w:cs="黑体"/>
          <w:b/>
          <w:bCs/>
          <w:spacing w:val="23"/>
          <w:sz w:val="31"/>
          <w:szCs w:val="31"/>
          <w:lang w:eastAsia="zh-CN"/>
        </w:rPr>
        <w:t>1</w:t>
      </w:r>
      <w:r>
        <w:rPr>
          <w:rFonts w:ascii="黑体" w:hAnsi="黑体" w:eastAsia="黑体" w:cs="黑体"/>
          <w:b/>
          <w:bCs/>
          <w:spacing w:val="23"/>
          <w:sz w:val="31"/>
          <w:szCs w:val="31"/>
          <w:lang w:eastAsia="zh-CN"/>
        </w:rPr>
        <w:t>:</w:t>
      </w:r>
    </w:p>
    <w:p>
      <w:pPr>
        <w:keepNext w:val="0"/>
        <w:keepLines w:val="0"/>
        <w:pageBreakBefore w:val="0"/>
        <w:kinsoku/>
        <w:wordWrap/>
        <w:overflowPunct/>
        <w:topLinePunct w:val="0"/>
        <w:autoSpaceDE/>
        <w:autoSpaceDN/>
        <w:bidi w:val="0"/>
        <w:adjustRightInd w:val="0"/>
        <w:snapToGrid w:val="0"/>
        <w:spacing w:before="69" w:line="218" w:lineRule="auto"/>
        <w:jc w:val="center"/>
        <w:rPr>
          <w:rFonts w:ascii="宋体" w:hAnsi="宋体" w:eastAsia="宋体" w:cs="宋体"/>
          <w:sz w:val="36"/>
          <w:szCs w:val="36"/>
          <w:lang w:eastAsia="zh-CN"/>
        </w:rPr>
      </w:pPr>
      <w:r>
        <w:rPr>
          <w:rFonts w:hint="eastAsia" w:ascii="宋体" w:hAnsi="宋体" w:eastAsia="宋体" w:cs="宋体"/>
          <w:b/>
          <w:bCs/>
          <w:spacing w:val="6"/>
          <w:sz w:val="36"/>
          <w:szCs w:val="36"/>
          <w:lang w:eastAsia="zh-CN"/>
        </w:rPr>
        <w:t>2024年</w:t>
      </w:r>
      <w:r>
        <w:rPr>
          <w:rFonts w:ascii="宋体" w:hAnsi="宋体" w:eastAsia="宋体" w:cs="宋体"/>
          <w:b/>
          <w:bCs/>
          <w:spacing w:val="6"/>
          <w:sz w:val="36"/>
          <w:szCs w:val="36"/>
          <w:lang w:eastAsia="zh-CN"/>
        </w:rPr>
        <w:t>度部门整体支出绩效评价基础数据表</w:t>
      </w:r>
    </w:p>
    <w:p>
      <w:pPr>
        <w:keepNext w:val="0"/>
        <w:keepLines w:val="0"/>
        <w:pageBreakBefore w:val="0"/>
        <w:kinsoku/>
        <w:wordWrap/>
        <w:overflowPunct/>
        <w:topLinePunct w:val="0"/>
        <w:autoSpaceDE/>
        <w:autoSpaceDN/>
        <w:bidi w:val="0"/>
        <w:adjustRightInd w:val="0"/>
        <w:snapToGrid w:val="0"/>
        <w:spacing w:line="59" w:lineRule="exact"/>
        <w:rPr>
          <w:lang w:eastAsia="zh-CN"/>
        </w:rPr>
      </w:pPr>
    </w:p>
    <w:tbl>
      <w:tblPr>
        <w:tblStyle w:val="9"/>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1134"/>
        <w:gridCol w:w="1134"/>
        <w:gridCol w:w="992"/>
        <w:gridCol w:w="1134"/>
        <w:gridCol w:w="1134"/>
        <w:gridCol w:w="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369" w:type="dxa"/>
            <w:vMerge w:val="restart"/>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cs="宋体"/>
                <w:b/>
                <w:bCs/>
                <w:sz w:val="20"/>
                <w:szCs w:val="20"/>
                <w:lang w:eastAsia="zh-CN"/>
              </w:rPr>
            </w:pPr>
            <w:r>
              <w:rPr>
                <w:rFonts w:hint="eastAsia" w:ascii="仿宋" w:hAnsi="仿宋" w:eastAsia="仿宋" w:cs="宋体"/>
                <w:b/>
                <w:bCs/>
                <w:sz w:val="20"/>
                <w:szCs w:val="20"/>
              </w:rPr>
              <w:t>财政供养人员情况</w:t>
            </w:r>
          </w:p>
        </w:tc>
        <w:tc>
          <w:tcPr>
            <w:tcW w:w="2268"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20"/>
                <w:szCs w:val="20"/>
              </w:rPr>
            </w:pPr>
            <w:r>
              <w:rPr>
                <w:rFonts w:hint="eastAsia" w:ascii="仿宋" w:hAnsi="仿宋" w:eastAsia="仿宋" w:cs="宋体"/>
                <w:b/>
                <w:bCs/>
                <w:sz w:val="20"/>
                <w:szCs w:val="20"/>
              </w:rPr>
              <w:t>编制数</w:t>
            </w:r>
          </w:p>
        </w:tc>
        <w:tc>
          <w:tcPr>
            <w:tcW w:w="2126"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20"/>
                <w:szCs w:val="20"/>
              </w:rPr>
            </w:pPr>
            <w:r>
              <w:rPr>
                <w:rFonts w:hint="eastAsia" w:ascii="仿宋" w:hAnsi="仿宋" w:eastAsia="仿宋"/>
                <w:b/>
                <w:bCs/>
                <w:sz w:val="20"/>
                <w:szCs w:val="20"/>
                <w:lang w:eastAsia="zh-CN"/>
              </w:rPr>
              <w:t>2024年</w:t>
            </w:r>
            <w:r>
              <w:rPr>
                <w:rFonts w:hint="eastAsia" w:ascii="仿宋" w:hAnsi="仿宋" w:eastAsia="仿宋" w:cs="宋体"/>
                <w:b/>
                <w:bCs/>
                <w:sz w:val="20"/>
                <w:szCs w:val="20"/>
              </w:rPr>
              <w:t>实际在职人数</w:t>
            </w:r>
          </w:p>
        </w:tc>
        <w:tc>
          <w:tcPr>
            <w:tcW w:w="2104"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20"/>
                <w:szCs w:val="20"/>
              </w:rPr>
            </w:pPr>
            <w:r>
              <w:rPr>
                <w:rFonts w:hint="eastAsia" w:ascii="仿宋" w:hAnsi="仿宋" w:eastAsia="仿宋" w:cs="宋体"/>
                <w:b/>
                <w:bCs/>
                <w:sz w:val="20"/>
                <w:szCs w:val="20"/>
              </w:rPr>
              <w:t>控制率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3369" w:type="dxa"/>
            <w:vMerge w:val="continue"/>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20"/>
                <w:szCs w:val="20"/>
              </w:rPr>
            </w:pPr>
          </w:p>
        </w:tc>
        <w:tc>
          <w:tcPr>
            <w:tcW w:w="2268"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20"/>
                <w:szCs w:val="20"/>
              </w:rPr>
            </w:pPr>
            <w:r>
              <w:rPr>
                <w:rFonts w:hint="eastAsia" w:ascii="仿宋" w:hAnsi="仿宋" w:eastAsia="仿宋"/>
                <w:sz w:val="20"/>
                <w:szCs w:val="20"/>
              </w:rPr>
              <w:t>102</w:t>
            </w:r>
          </w:p>
        </w:tc>
        <w:tc>
          <w:tcPr>
            <w:tcW w:w="2126"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hint="default" w:ascii="仿宋" w:hAnsi="仿宋" w:eastAsia="仿宋"/>
                <w:sz w:val="20"/>
                <w:szCs w:val="20"/>
                <w:lang w:val="en-US" w:eastAsia="zh-CN"/>
              </w:rPr>
            </w:pPr>
            <w:r>
              <w:rPr>
                <w:rFonts w:hint="eastAsia" w:ascii="仿宋" w:hAnsi="仿宋" w:eastAsia="仿宋"/>
                <w:sz w:val="20"/>
                <w:szCs w:val="20"/>
                <w:lang w:val="en-US" w:eastAsia="zh-CN"/>
              </w:rPr>
              <w:t>80</w:t>
            </w:r>
          </w:p>
        </w:tc>
        <w:tc>
          <w:tcPr>
            <w:tcW w:w="2104"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20"/>
                <w:szCs w:val="20"/>
              </w:rPr>
            </w:pPr>
            <w:r>
              <w:rPr>
                <w:rFonts w:hint="eastAsia" w:ascii="仿宋" w:hAnsi="仿宋" w:eastAsia="仿宋"/>
                <w:sz w:val="20"/>
                <w:szCs w:val="20"/>
                <w:lang w:val="en-US" w:eastAsia="zh-CN"/>
              </w:rPr>
              <w:t>78.43</w:t>
            </w:r>
            <w:r>
              <w:rPr>
                <w:rFonts w:hint="eastAsia" w:ascii="仿宋" w:hAnsi="仿宋" w:eastAsia="仿宋"/>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3369" w:type="dxa"/>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20"/>
                <w:szCs w:val="20"/>
              </w:rPr>
            </w:pPr>
            <w:r>
              <w:rPr>
                <w:rFonts w:hint="eastAsia" w:ascii="仿宋" w:hAnsi="仿宋" w:eastAsia="仿宋" w:cs="宋体"/>
                <w:b/>
                <w:bCs/>
                <w:sz w:val="20"/>
                <w:szCs w:val="20"/>
              </w:rPr>
              <w:t>经费控制情况</w:t>
            </w:r>
            <w:r>
              <w:rPr>
                <w:rFonts w:hint="eastAsia" w:ascii="仿宋" w:hAnsi="仿宋" w:eastAsia="仿宋"/>
                <w:b/>
                <w:bCs/>
                <w:sz w:val="20"/>
                <w:szCs w:val="20"/>
              </w:rPr>
              <w:t>(</w:t>
            </w:r>
            <w:r>
              <w:rPr>
                <w:rFonts w:hint="eastAsia" w:ascii="仿宋" w:hAnsi="仿宋" w:eastAsia="仿宋" w:cs="宋体"/>
                <w:b/>
                <w:bCs/>
                <w:sz w:val="20"/>
                <w:szCs w:val="20"/>
              </w:rPr>
              <w:t>万元</w:t>
            </w:r>
            <w:r>
              <w:rPr>
                <w:rFonts w:hint="eastAsia" w:ascii="仿宋" w:hAnsi="仿宋" w:eastAsia="仿宋"/>
                <w:b/>
                <w:bCs/>
                <w:sz w:val="20"/>
                <w:szCs w:val="20"/>
              </w:rPr>
              <w:t>)</w:t>
            </w:r>
          </w:p>
        </w:tc>
        <w:tc>
          <w:tcPr>
            <w:tcW w:w="2268"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20"/>
                <w:szCs w:val="20"/>
              </w:rPr>
            </w:pPr>
            <w:r>
              <w:rPr>
                <w:rFonts w:hint="eastAsia" w:ascii="仿宋" w:hAnsi="仿宋" w:eastAsia="仿宋"/>
                <w:b/>
                <w:bCs/>
                <w:sz w:val="20"/>
                <w:szCs w:val="20"/>
              </w:rPr>
              <w:t>202</w:t>
            </w:r>
            <w:r>
              <w:rPr>
                <w:rFonts w:hint="eastAsia" w:ascii="仿宋" w:hAnsi="仿宋" w:eastAsia="仿宋"/>
                <w:b/>
                <w:bCs/>
                <w:sz w:val="20"/>
                <w:szCs w:val="20"/>
                <w:lang w:val="en-US" w:eastAsia="zh-CN"/>
              </w:rPr>
              <w:t>3</w:t>
            </w:r>
            <w:r>
              <w:rPr>
                <w:rFonts w:hint="eastAsia" w:ascii="仿宋" w:hAnsi="仿宋" w:eastAsia="仿宋" w:cs="宋体"/>
                <w:b/>
                <w:bCs/>
                <w:sz w:val="20"/>
                <w:szCs w:val="20"/>
              </w:rPr>
              <w:t>年决算数</w:t>
            </w:r>
          </w:p>
        </w:tc>
        <w:tc>
          <w:tcPr>
            <w:tcW w:w="2126"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20"/>
                <w:szCs w:val="20"/>
              </w:rPr>
            </w:pPr>
            <w:r>
              <w:rPr>
                <w:rFonts w:hint="eastAsia" w:ascii="仿宋" w:hAnsi="仿宋" w:eastAsia="仿宋"/>
                <w:b/>
                <w:bCs/>
                <w:sz w:val="20"/>
                <w:szCs w:val="20"/>
                <w:lang w:eastAsia="zh-CN"/>
              </w:rPr>
              <w:t>2024年</w:t>
            </w:r>
            <w:r>
              <w:rPr>
                <w:rFonts w:hint="eastAsia" w:ascii="仿宋" w:hAnsi="仿宋" w:eastAsia="仿宋" w:cs="宋体"/>
                <w:b/>
                <w:bCs/>
                <w:sz w:val="20"/>
                <w:szCs w:val="20"/>
              </w:rPr>
              <w:t>预算数</w:t>
            </w:r>
          </w:p>
        </w:tc>
        <w:tc>
          <w:tcPr>
            <w:tcW w:w="2104"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20"/>
                <w:szCs w:val="20"/>
              </w:rPr>
            </w:pPr>
            <w:r>
              <w:rPr>
                <w:rFonts w:hint="eastAsia" w:ascii="仿宋" w:hAnsi="仿宋" w:eastAsia="仿宋"/>
                <w:b/>
                <w:bCs/>
                <w:sz w:val="20"/>
                <w:szCs w:val="20"/>
                <w:lang w:eastAsia="zh-CN"/>
              </w:rPr>
              <w:t>2024年</w:t>
            </w:r>
            <w:r>
              <w:rPr>
                <w:rFonts w:hint="eastAsia" w:ascii="仿宋" w:hAnsi="仿宋" w:eastAsia="仿宋" w:cs="宋体"/>
                <w:b/>
                <w:bCs/>
                <w:sz w:val="20"/>
                <w:szCs w:val="20"/>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三公经费</w:t>
            </w:r>
          </w:p>
        </w:tc>
        <w:tc>
          <w:tcPr>
            <w:tcW w:w="2268"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sz w:val="20"/>
                <w:szCs w:val="20"/>
              </w:rPr>
              <w:t>3.58</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lang w:eastAsia="zh-CN"/>
              </w:rPr>
            </w:pPr>
            <w:r>
              <w:rPr>
                <w:rFonts w:hint="eastAsia" w:ascii="仿宋" w:hAnsi="仿宋" w:eastAsia="仿宋"/>
                <w:sz w:val="20"/>
                <w:szCs w:val="20"/>
                <w:lang w:eastAsia="zh-CN"/>
              </w:rPr>
              <w:t>1</w:t>
            </w:r>
            <w:r>
              <w:rPr>
                <w:rFonts w:hint="eastAsia" w:ascii="仿宋" w:hAnsi="仿宋" w:eastAsia="仿宋" w:cs="宋体"/>
                <w:sz w:val="20"/>
                <w:szCs w:val="20"/>
                <w:lang w:eastAsia="zh-CN"/>
              </w:rPr>
              <w:t>、公务用车购置和维护经费</w:t>
            </w:r>
          </w:p>
        </w:tc>
        <w:tc>
          <w:tcPr>
            <w:tcW w:w="2268"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sz w:val="20"/>
                <w:szCs w:val="20"/>
              </w:rPr>
              <w:t>2</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0</w:t>
            </w:r>
          </w:p>
        </w:tc>
        <w:tc>
          <w:tcPr>
            <w:tcW w:w="2104" w:type="dxa"/>
            <w:gridSpan w:val="2"/>
            <w:noWrap/>
            <w:vAlign w:val="center"/>
          </w:tcPr>
          <w:p>
            <w:pPr>
              <w:keepNext w:val="0"/>
              <w:keepLines w:val="0"/>
              <w:widowControl/>
              <w:suppressLineNumbers w:val="0"/>
              <w:jc w:val="center"/>
              <w:textAlignment w:val="center"/>
              <w:rPr>
                <w:rFonts w:hint="default" w:ascii="仿宋" w:hAnsi="仿宋" w:eastAsia="仿宋" w:cs="宋体"/>
                <w:sz w:val="20"/>
                <w:szCs w:val="20"/>
                <w:lang w:val="en-US" w:eastAsia="zh-CN"/>
              </w:rPr>
            </w:pPr>
            <w:r>
              <w:rPr>
                <w:rFonts w:hint="eastAsia" w:ascii="宋体" w:hAnsi="宋体" w:eastAsia="宋体" w:cs="宋体"/>
                <w:i w:val="0"/>
                <w:snapToGrid w:val="0"/>
                <w:color w:val="000000"/>
                <w:kern w:val="0"/>
                <w:sz w:val="18"/>
                <w:szCs w:val="18"/>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其中：公车购置</w:t>
            </w:r>
          </w:p>
        </w:tc>
        <w:tc>
          <w:tcPr>
            <w:tcW w:w="2268"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c>
          <w:tcPr>
            <w:tcW w:w="2126"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c>
          <w:tcPr>
            <w:tcW w:w="2104"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公车运行维护</w:t>
            </w:r>
          </w:p>
        </w:tc>
        <w:tc>
          <w:tcPr>
            <w:tcW w:w="2268"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p>
        </w:tc>
        <w:tc>
          <w:tcPr>
            <w:tcW w:w="2126"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p>
        </w:tc>
        <w:tc>
          <w:tcPr>
            <w:tcW w:w="2104"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sz w:val="20"/>
                <w:szCs w:val="20"/>
              </w:rPr>
              <w:t>2</w:t>
            </w:r>
            <w:r>
              <w:rPr>
                <w:rFonts w:hint="eastAsia" w:ascii="仿宋" w:hAnsi="仿宋" w:eastAsia="仿宋" w:cs="宋体"/>
                <w:sz w:val="20"/>
                <w:szCs w:val="20"/>
              </w:rPr>
              <w:t>、出国经费</w:t>
            </w:r>
          </w:p>
        </w:tc>
        <w:tc>
          <w:tcPr>
            <w:tcW w:w="2268"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c>
          <w:tcPr>
            <w:tcW w:w="2126"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c>
          <w:tcPr>
            <w:tcW w:w="2104"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sz w:val="20"/>
                <w:szCs w:val="20"/>
              </w:rPr>
              <w:t>3</w:t>
            </w:r>
            <w:r>
              <w:rPr>
                <w:rFonts w:hint="eastAsia" w:ascii="仿宋" w:hAnsi="仿宋" w:eastAsia="仿宋" w:cs="宋体"/>
                <w:sz w:val="20"/>
                <w:szCs w:val="20"/>
              </w:rPr>
              <w:t>、公务接待</w:t>
            </w:r>
          </w:p>
        </w:tc>
        <w:tc>
          <w:tcPr>
            <w:tcW w:w="2268"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sz w:val="20"/>
                <w:szCs w:val="20"/>
              </w:rPr>
              <w:t>1.58</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w:t>
            </w:r>
          </w:p>
        </w:tc>
        <w:tc>
          <w:tcPr>
            <w:tcW w:w="2104" w:type="dxa"/>
            <w:gridSpan w:val="2"/>
            <w:noWrap/>
            <w:vAlign w:val="center"/>
          </w:tcPr>
          <w:p>
            <w:pPr>
              <w:keepNext w:val="0"/>
              <w:keepLines w:val="0"/>
              <w:widowControl/>
              <w:suppressLineNumbers w:val="0"/>
              <w:jc w:val="center"/>
              <w:textAlignment w:val="center"/>
              <w:rPr>
                <w:rFonts w:hint="default" w:ascii="仿宋" w:hAnsi="仿宋" w:eastAsia="仿宋" w:cs="宋体"/>
                <w:sz w:val="20"/>
                <w:szCs w:val="20"/>
                <w:lang w:val="en-US" w:eastAsia="zh-CN"/>
              </w:rPr>
            </w:pPr>
            <w:r>
              <w:rPr>
                <w:rFonts w:hint="eastAsia" w:ascii="宋体" w:hAnsi="宋体" w:eastAsia="宋体" w:cs="宋体"/>
                <w:i w:val="0"/>
                <w:snapToGrid w:val="0"/>
                <w:color w:val="000000"/>
                <w:kern w:val="0"/>
                <w:sz w:val="18"/>
                <w:szCs w:val="18"/>
                <w:u w:val="none"/>
                <w:lang w:val="en-US" w:eastAsia="zh-CN" w:bidi="ar"/>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项目支出：</w:t>
            </w:r>
          </w:p>
        </w:tc>
        <w:tc>
          <w:tcPr>
            <w:tcW w:w="2268"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sz w:val="20"/>
                <w:szCs w:val="20"/>
              </w:rPr>
              <w:t>10148.48</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2115.39</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11760.49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sz w:val="20"/>
                <w:szCs w:val="20"/>
              </w:rPr>
              <w:t>1</w:t>
            </w:r>
            <w:r>
              <w:rPr>
                <w:rFonts w:hint="eastAsia" w:ascii="仿宋" w:hAnsi="仿宋" w:eastAsia="仿宋" w:cs="宋体"/>
                <w:sz w:val="20"/>
                <w:szCs w:val="20"/>
              </w:rPr>
              <w:t>、业务工作经费</w:t>
            </w:r>
          </w:p>
        </w:tc>
        <w:tc>
          <w:tcPr>
            <w:tcW w:w="2268"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c>
          <w:tcPr>
            <w:tcW w:w="2126"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c>
          <w:tcPr>
            <w:tcW w:w="2104"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sz w:val="20"/>
                <w:szCs w:val="20"/>
              </w:rPr>
              <w:t>2</w:t>
            </w:r>
            <w:r>
              <w:rPr>
                <w:rFonts w:hint="eastAsia" w:ascii="仿宋" w:hAnsi="仿宋" w:eastAsia="仿宋" w:cs="宋体"/>
                <w:sz w:val="20"/>
                <w:szCs w:val="20"/>
              </w:rPr>
              <w:t>、运行维护经费</w:t>
            </w:r>
          </w:p>
        </w:tc>
        <w:tc>
          <w:tcPr>
            <w:tcW w:w="2268"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c>
          <w:tcPr>
            <w:tcW w:w="2126"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c>
          <w:tcPr>
            <w:tcW w:w="2104" w:type="dxa"/>
            <w:gridSpan w:val="2"/>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lang w:eastAsia="zh-CN"/>
              </w:rPr>
            </w:pPr>
            <w:r>
              <w:rPr>
                <w:rFonts w:hint="eastAsia" w:ascii="仿宋" w:hAnsi="仿宋" w:eastAsia="仿宋"/>
                <w:sz w:val="20"/>
                <w:szCs w:val="20"/>
                <w:lang w:eastAsia="zh-CN"/>
              </w:rPr>
              <w:t>3</w:t>
            </w:r>
            <w:r>
              <w:rPr>
                <w:rFonts w:hint="eastAsia" w:ascii="仿宋" w:hAnsi="仿宋" w:eastAsia="仿宋" w:cs="宋体"/>
                <w:sz w:val="20"/>
                <w:szCs w:val="20"/>
                <w:lang w:eastAsia="zh-CN"/>
              </w:rPr>
              <w:t>、本级专项资金（一个专项一行）</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10148.48</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2115.39</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11760.49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城市最低生活保障金支出</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2500</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299.57</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2622.34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重度残疾人生活和护理补贴</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575.21</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255.6</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868.38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lang w:eastAsia="zh-CN"/>
              </w:rPr>
            </w:pPr>
            <w:r>
              <w:rPr>
                <w:rFonts w:hint="eastAsia" w:ascii="宋体" w:hAnsi="宋体" w:eastAsia="宋体" w:cs="宋体"/>
                <w:i w:val="0"/>
                <w:snapToGrid w:val="0"/>
                <w:color w:val="000000"/>
                <w:kern w:val="0"/>
                <w:sz w:val="18"/>
                <w:szCs w:val="18"/>
                <w:u w:val="none"/>
                <w:lang w:val="en-US" w:eastAsia="zh-CN" w:bidi="ar"/>
              </w:rPr>
              <w:t>临时救助</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989.49</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34.4</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1466.44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特困人员救助供养支出</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2060.17</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505.69</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2202.35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lang w:eastAsia="zh-CN"/>
              </w:rPr>
            </w:pPr>
            <w:r>
              <w:rPr>
                <w:rFonts w:hint="eastAsia" w:ascii="宋体" w:hAnsi="宋体" w:eastAsia="宋体" w:cs="宋体"/>
                <w:i w:val="0"/>
                <w:snapToGrid w:val="0"/>
                <w:color w:val="000000"/>
                <w:kern w:val="0"/>
                <w:sz w:val="18"/>
                <w:szCs w:val="18"/>
                <w:u w:val="none"/>
                <w:lang w:val="en-US" w:eastAsia="zh-CN" w:bidi="ar"/>
              </w:rPr>
              <w:t>地名普查</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1.6</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1.44</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农村最低生活保证金支出</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2382.9</w:t>
            </w:r>
          </w:p>
        </w:tc>
        <w:tc>
          <w:tcPr>
            <w:tcW w:w="2126" w:type="dxa"/>
            <w:gridSpan w:val="2"/>
            <w:noWrap/>
            <w:vAlign w:val="center"/>
          </w:tcPr>
          <w:p>
            <w:pPr>
              <w:jc w:val="center"/>
              <w:rPr>
                <w:rFonts w:ascii="仿宋" w:hAnsi="仿宋" w:eastAsia="仿宋" w:cs="宋体"/>
                <w:sz w:val="20"/>
                <w:szCs w:val="20"/>
              </w:rPr>
            </w:pP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lang w:eastAsia="zh-CN"/>
              </w:rPr>
            </w:pPr>
            <w:r>
              <w:rPr>
                <w:rFonts w:hint="eastAsia" w:ascii="宋体" w:hAnsi="宋体" w:eastAsia="宋体" w:cs="宋体"/>
                <w:i w:val="0"/>
                <w:snapToGrid w:val="0"/>
                <w:color w:val="000000"/>
                <w:kern w:val="0"/>
                <w:sz w:val="18"/>
                <w:szCs w:val="18"/>
                <w:u w:val="none"/>
                <w:lang w:val="en-US" w:eastAsia="zh-CN" w:bidi="ar"/>
              </w:rPr>
              <w:t>惠民殡葬资金及工作经费</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113.35</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230</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354.54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流浪乞讨人员救助支出</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39.2</w:t>
            </w:r>
          </w:p>
        </w:tc>
        <w:tc>
          <w:tcPr>
            <w:tcW w:w="2126" w:type="dxa"/>
            <w:gridSpan w:val="2"/>
            <w:noWrap/>
            <w:vAlign w:val="center"/>
          </w:tcPr>
          <w:p>
            <w:pPr>
              <w:jc w:val="center"/>
              <w:rPr>
                <w:rFonts w:ascii="仿宋" w:hAnsi="仿宋" w:eastAsia="仿宋" w:cs="宋体"/>
                <w:sz w:val="20"/>
                <w:szCs w:val="20"/>
              </w:rPr>
            </w:pP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34.71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城市和农村生活救助</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18.55</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444.93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lang w:eastAsia="zh-CN"/>
              </w:rPr>
            </w:pPr>
            <w:r>
              <w:rPr>
                <w:rFonts w:hint="eastAsia" w:ascii="宋体" w:hAnsi="宋体" w:eastAsia="宋体" w:cs="宋体"/>
                <w:i w:val="0"/>
                <w:snapToGrid w:val="0"/>
                <w:color w:val="000000"/>
                <w:kern w:val="0"/>
                <w:sz w:val="18"/>
                <w:szCs w:val="18"/>
                <w:u w:val="none"/>
                <w:lang w:val="en-US" w:eastAsia="zh-CN" w:bidi="ar"/>
              </w:rPr>
              <w:t>用于社会福利的彩票公益金支出</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102.1</w:t>
            </w:r>
          </w:p>
        </w:tc>
        <w:tc>
          <w:tcPr>
            <w:tcW w:w="2126" w:type="dxa"/>
            <w:gridSpan w:val="2"/>
            <w:noWrap/>
            <w:vAlign w:val="center"/>
          </w:tcPr>
          <w:p>
            <w:pPr>
              <w:jc w:val="center"/>
              <w:rPr>
                <w:rFonts w:ascii="仿宋" w:hAnsi="仿宋" w:eastAsia="仿宋" w:cs="宋体"/>
                <w:sz w:val="20"/>
                <w:szCs w:val="20"/>
              </w:rPr>
            </w:pP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293.36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孤儿基本生活保障</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175.15</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47</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其他社会保障和就业支出</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913.14</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380</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289.19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老年福利（百岁老人生活津贴、高龄津贴、社会福利）</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167.30</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267.09</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153.51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lang w:eastAsia="zh-CN"/>
              </w:rPr>
            </w:pPr>
            <w:r>
              <w:rPr>
                <w:rFonts w:hint="eastAsia" w:ascii="宋体" w:hAnsi="宋体" w:eastAsia="宋体" w:cs="宋体"/>
                <w:i w:val="0"/>
                <w:snapToGrid w:val="0"/>
                <w:color w:val="000000"/>
                <w:kern w:val="0"/>
                <w:sz w:val="18"/>
                <w:szCs w:val="18"/>
                <w:u w:val="none"/>
                <w:lang w:val="en-US" w:eastAsia="zh-CN" w:bidi="ar"/>
              </w:rPr>
              <w:t>基本养老服务</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110.32</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93.6</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64.68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lang w:eastAsia="zh-CN"/>
              </w:rPr>
            </w:pPr>
            <w:r>
              <w:rPr>
                <w:rFonts w:hint="eastAsia" w:ascii="宋体" w:hAnsi="宋体" w:eastAsia="宋体" w:cs="宋体"/>
                <w:i w:val="0"/>
                <w:snapToGrid w:val="0"/>
                <w:color w:val="000000"/>
                <w:kern w:val="0"/>
                <w:sz w:val="18"/>
                <w:szCs w:val="18"/>
                <w:u w:val="none"/>
                <w:lang w:val="en-US" w:eastAsia="zh-CN" w:bidi="ar"/>
              </w:rPr>
              <w:t>城乡社区支出</w:t>
            </w:r>
          </w:p>
        </w:tc>
        <w:tc>
          <w:tcPr>
            <w:tcW w:w="2268" w:type="dxa"/>
            <w:gridSpan w:val="2"/>
            <w:noWrap/>
            <w:vAlign w:val="center"/>
          </w:tcPr>
          <w:p>
            <w:pPr>
              <w:jc w:val="center"/>
              <w:rPr>
                <w:rFonts w:ascii="仿宋" w:hAnsi="仿宋" w:eastAsia="仿宋" w:cs="宋体"/>
                <w:sz w:val="20"/>
                <w:szCs w:val="20"/>
              </w:rPr>
            </w:pPr>
          </w:p>
        </w:tc>
        <w:tc>
          <w:tcPr>
            <w:tcW w:w="2126" w:type="dxa"/>
            <w:gridSpan w:val="2"/>
            <w:noWrap/>
            <w:vAlign w:val="center"/>
          </w:tcPr>
          <w:p>
            <w:pPr>
              <w:jc w:val="center"/>
              <w:rPr>
                <w:rFonts w:ascii="仿宋" w:hAnsi="仿宋" w:eastAsia="仿宋" w:cs="宋体"/>
                <w:sz w:val="20"/>
                <w:szCs w:val="20"/>
              </w:rPr>
            </w:pP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201.24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ascii="仿宋" w:hAnsi="仿宋" w:eastAsia="仿宋" w:cs="宋体"/>
                <w:sz w:val="20"/>
                <w:szCs w:val="20"/>
                <w:lang w:eastAsia="zh-CN"/>
              </w:rPr>
            </w:pPr>
            <w:r>
              <w:rPr>
                <w:rFonts w:hint="eastAsia" w:ascii="宋体" w:hAnsi="宋体" w:eastAsia="宋体" w:cs="宋体"/>
                <w:i w:val="0"/>
                <w:snapToGrid w:val="0"/>
                <w:color w:val="000000"/>
                <w:kern w:val="0"/>
                <w:sz w:val="18"/>
                <w:szCs w:val="18"/>
                <w:u w:val="none"/>
                <w:lang w:val="en-US" w:eastAsia="zh-CN" w:bidi="ar"/>
              </w:rPr>
              <w:t>巩固脱贫攻坚成果衔接乡村振兴</w:t>
            </w:r>
          </w:p>
        </w:tc>
        <w:tc>
          <w:tcPr>
            <w:tcW w:w="2268" w:type="dxa"/>
            <w:gridSpan w:val="2"/>
            <w:noWrap/>
            <w:vAlign w:val="center"/>
          </w:tcPr>
          <w:p>
            <w:pPr>
              <w:jc w:val="center"/>
              <w:rPr>
                <w:rFonts w:ascii="仿宋" w:hAnsi="仿宋" w:eastAsia="仿宋" w:cs="宋体"/>
                <w:sz w:val="20"/>
                <w:szCs w:val="20"/>
              </w:rPr>
            </w:pPr>
          </w:p>
        </w:tc>
        <w:tc>
          <w:tcPr>
            <w:tcW w:w="2126" w:type="dxa"/>
            <w:gridSpan w:val="2"/>
            <w:noWrap/>
            <w:vAlign w:val="center"/>
          </w:tcPr>
          <w:p>
            <w:pPr>
              <w:jc w:val="center"/>
              <w:rPr>
                <w:rFonts w:ascii="仿宋" w:hAnsi="仿宋" w:eastAsia="仿宋" w:cs="宋体"/>
                <w:sz w:val="20"/>
                <w:szCs w:val="20"/>
              </w:rPr>
            </w:pP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hint="eastAsia" w:ascii="仿宋" w:hAnsi="仿宋" w:eastAsia="仿宋" w:cs="宋体"/>
                <w:sz w:val="20"/>
                <w:szCs w:val="20"/>
                <w:lang w:eastAsia="zh-CN"/>
              </w:rPr>
            </w:pPr>
            <w:r>
              <w:rPr>
                <w:rFonts w:hint="eastAsia" w:ascii="宋体" w:hAnsi="宋体" w:eastAsia="宋体" w:cs="宋体"/>
                <w:i w:val="0"/>
                <w:snapToGrid w:val="0"/>
                <w:color w:val="000000"/>
                <w:kern w:val="0"/>
                <w:sz w:val="18"/>
                <w:szCs w:val="18"/>
                <w:u w:val="none"/>
                <w:lang w:val="en-US" w:eastAsia="zh-CN" w:bidi="ar"/>
              </w:rPr>
              <w:t>灾害防治及应急管理支出</w:t>
            </w:r>
          </w:p>
        </w:tc>
        <w:tc>
          <w:tcPr>
            <w:tcW w:w="2268" w:type="dxa"/>
            <w:gridSpan w:val="2"/>
            <w:noWrap/>
            <w:vAlign w:val="center"/>
          </w:tcPr>
          <w:p>
            <w:pPr>
              <w:jc w:val="center"/>
              <w:rPr>
                <w:rFonts w:hint="eastAsia" w:ascii="仿宋" w:hAnsi="仿宋" w:eastAsia="仿宋"/>
                <w:sz w:val="20"/>
                <w:szCs w:val="20"/>
              </w:rPr>
            </w:pPr>
          </w:p>
        </w:tc>
        <w:tc>
          <w:tcPr>
            <w:tcW w:w="2126" w:type="dxa"/>
            <w:gridSpan w:val="2"/>
            <w:noWrap/>
            <w:vAlign w:val="center"/>
          </w:tcPr>
          <w:p>
            <w:pPr>
              <w:jc w:val="center"/>
              <w:rPr>
                <w:rFonts w:hint="eastAsia" w:ascii="仿宋" w:hAnsi="仿宋" w:eastAsia="仿宋" w:cs="宋体"/>
                <w:sz w:val="20"/>
                <w:szCs w:val="20"/>
              </w:rPr>
            </w:pPr>
          </w:p>
        </w:tc>
        <w:tc>
          <w:tcPr>
            <w:tcW w:w="2104" w:type="dxa"/>
            <w:gridSpan w:val="2"/>
            <w:noWrap/>
            <w:vAlign w:val="center"/>
          </w:tcPr>
          <w:p>
            <w:pPr>
              <w:keepNext w:val="0"/>
              <w:keepLines w:val="0"/>
              <w:widowControl/>
              <w:suppressLineNumbers w:val="0"/>
              <w:jc w:val="center"/>
              <w:textAlignment w:val="center"/>
              <w:rPr>
                <w:rFonts w:hint="eastAsia" w:ascii="仿宋" w:hAnsi="仿宋" w:eastAsia="仿宋"/>
                <w:sz w:val="20"/>
                <w:szCs w:val="20"/>
              </w:rPr>
            </w:pPr>
            <w:r>
              <w:rPr>
                <w:rFonts w:hint="eastAsia" w:ascii="宋体" w:hAnsi="宋体" w:eastAsia="宋体" w:cs="宋体"/>
                <w:i w:val="0"/>
                <w:snapToGrid w:val="0"/>
                <w:color w:val="000000"/>
                <w:kern w:val="0"/>
                <w:sz w:val="18"/>
                <w:szCs w:val="18"/>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hint="eastAsia" w:ascii="仿宋" w:hAnsi="仿宋" w:eastAsia="仿宋" w:cs="宋体"/>
                <w:sz w:val="20"/>
                <w:szCs w:val="20"/>
                <w:lang w:eastAsia="zh-CN"/>
              </w:rPr>
            </w:pPr>
            <w:r>
              <w:rPr>
                <w:rFonts w:hint="eastAsia" w:ascii="宋体" w:hAnsi="宋体" w:eastAsia="宋体" w:cs="宋体"/>
                <w:i w:val="0"/>
                <w:snapToGrid w:val="0"/>
                <w:color w:val="000000"/>
                <w:kern w:val="0"/>
                <w:sz w:val="18"/>
                <w:szCs w:val="18"/>
                <w:u w:val="none"/>
                <w:lang w:val="en-US" w:eastAsia="zh-CN" w:bidi="ar"/>
              </w:rPr>
              <w:t>其他社会福利支出</w:t>
            </w:r>
          </w:p>
        </w:tc>
        <w:tc>
          <w:tcPr>
            <w:tcW w:w="2268" w:type="dxa"/>
            <w:gridSpan w:val="2"/>
            <w:noWrap/>
            <w:vAlign w:val="center"/>
          </w:tcPr>
          <w:p>
            <w:pPr>
              <w:jc w:val="center"/>
              <w:rPr>
                <w:rFonts w:hint="eastAsia" w:ascii="仿宋" w:hAnsi="仿宋" w:eastAsia="仿宋"/>
                <w:sz w:val="20"/>
                <w:szCs w:val="20"/>
              </w:rPr>
            </w:pPr>
          </w:p>
        </w:tc>
        <w:tc>
          <w:tcPr>
            <w:tcW w:w="2126" w:type="dxa"/>
            <w:gridSpan w:val="2"/>
            <w:noWrap/>
            <w:vAlign w:val="center"/>
          </w:tcPr>
          <w:p>
            <w:pPr>
              <w:jc w:val="center"/>
              <w:rPr>
                <w:rFonts w:hint="eastAsia" w:ascii="仿宋" w:hAnsi="仿宋" w:eastAsia="仿宋" w:cs="宋体"/>
                <w:sz w:val="20"/>
                <w:szCs w:val="20"/>
              </w:rPr>
            </w:pPr>
          </w:p>
        </w:tc>
        <w:tc>
          <w:tcPr>
            <w:tcW w:w="2104" w:type="dxa"/>
            <w:gridSpan w:val="2"/>
            <w:noWrap/>
            <w:vAlign w:val="center"/>
          </w:tcPr>
          <w:p>
            <w:pPr>
              <w:keepNext w:val="0"/>
              <w:keepLines w:val="0"/>
              <w:widowControl/>
              <w:suppressLineNumbers w:val="0"/>
              <w:jc w:val="center"/>
              <w:textAlignment w:val="center"/>
              <w:rPr>
                <w:rFonts w:hint="eastAsia" w:ascii="仿宋" w:hAnsi="仿宋" w:eastAsia="仿宋"/>
                <w:sz w:val="20"/>
                <w:szCs w:val="20"/>
              </w:rPr>
            </w:pPr>
            <w:r>
              <w:rPr>
                <w:rFonts w:hint="eastAsia" w:ascii="宋体" w:hAnsi="宋体" w:eastAsia="宋体" w:cs="宋体"/>
                <w:i w:val="0"/>
                <w:snapToGrid w:val="0"/>
                <w:color w:val="000000"/>
                <w:kern w:val="0"/>
                <w:sz w:val="18"/>
                <w:szCs w:val="18"/>
                <w:u w:val="none"/>
                <w:lang w:val="en-US" w:eastAsia="zh-CN" w:bidi="ar"/>
              </w:rPr>
              <w:t>59.01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widowControl/>
              <w:suppressLineNumbers w:val="0"/>
              <w:jc w:val="center"/>
              <w:textAlignment w:val="center"/>
              <w:rPr>
                <w:rFonts w:hint="eastAsia" w:ascii="仿宋" w:hAnsi="仿宋" w:eastAsia="仿宋" w:cs="宋体"/>
                <w:sz w:val="20"/>
                <w:szCs w:val="20"/>
                <w:lang w:eastAsia="zh-CN"/>
              </w:rPr>
            </w:pPr>
            <w:r>
              <w:rPr>
                <w:rFonts w:hint="eastAsia" w:ascii="宋体" w:hAnsi="宋体" w:eastAsia="宋体" w:cs="宋体"/>
                <w:i w:val="0"/>
                <w:snapToGrid w:val="0"/>
                <w:color w:val="000000"/>
                <w:kern w:val="0"/>
                <w:sz w:val="18"/>
                <w:szCs w:val="18"/>
                <w:u w:val="none"/>
                <w:lang w:val="en-US" w:eastAsia="zh-CN" w:bidi="ar"/>
              </w:rPr>
              <w:t>其他收入</w:t>
            </w:r>
          </w:p>
        </w:tc>
        <w:tc>
          <w:tcPr>
            <w:tcW w:w="2268" w:type="dxa"/>
            <w:gridSpan w:val="2"/>
            <w:noWrap/>
            <w:vAlign w:val="center"/>
          </w:tcPr>
          <w:p>
            <w:pPr>
              <w:jc w:val="center"/>
              <w:rPr>
                <w:rFonts w:hint="eastAsia" w:ascii="仿宋" w:hAnsi="仿宋" w:eastAsia="仿宋"/>
                <w:sz w:val="20"/>
                <w:szCs w:val="20"/>
              </w:rPr>
            </w:pPr>
          </w:p>
        </w:tc>
        <w:tc>
          <w:tcPr>
            <w:tcW w:w="2126" w:type="dxa"/>
            <w:gridSpan w:val="2"/>
            <w:noWrap/>
            <w:vAlign w:val="center"/>
          </w:tcPr>
          <w:p>
            <w:pPr>
              <w:jc w:val="center"/>
              <w:rPr>
                <w:rFonts w:hint="eastAsia" w:ascii="仿宋" w:hAnsi="仿宋" w:eastAsia="仿宋" w:cs="宋体"/>
                <w:sz w:val="20"/>
                <w:szCs w:val="20"/>
              </w:rPr>
            </w:pPr>
          </w:p>
        </w:tc>
        <w:tc>
          <w:tcPr>
            <w:tcW w:w="2104" w:type="dxa"/>
            <w:gridSpan w:val="2"/>
            <w:noWrap/>
            <w:vAlign w:val="center"/>
          </w:tcPr>
          <w:p>
            <w:pPr>
              <w:keepNext w:val="0"/>
              <w:keepLines w:val="0"/>
              <w:widowControl/>
              <w:suppressLineNumbers w:val="0"/>
              <w:jc w:val="center"/>
              <w:textAlignment w:val="center"/>
              <w:rPr>
                <w:rFonts w:hint="eastAsia" w:ascii="仿宋" w:hAnsi="仿宋" w:eastAsia="仿宋"/>
                <w:sz w:val="20"/>
                <w:szCs w:val="20"/>
              </w:rPr>
            </w:pPr>
            <w:r>
              <w:rPr>
                <w:rFonts w:hint="eastAsia" w:ascii="宋体" w:hAnsi="宋体" w:eastAsia="宋体" w:cs="宋体"/>
                <w:i w:val="0"/>
                <w:snapToGrid w:val="0"/>
                <w:color w:val="000000"/>
                <w:kern w:val="0"/>
                <w:sz w:val="18"/>
                <w:szCs w:val="18"/>
                <w:u w:val="none"/>
                <w:lang w:val="en-US" w:eastAsia="zh-CN" w:bidi="ar"/>
              </w:rPr>
              <w:t>97.17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公用经费：</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216.5</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29.44</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102.25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其中：办公经费</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25.33</w:t>
            </w:r>
          </w:p>
        </w:tc>
        <w:tc>
          <w:tcPr>
            <w:tcW w:w="2126" w:type="dxa"/>
            <w:gridSpan w:val="2"/>
            <w:noWrap/>
            <w:vAlign w:val="center"/>
          </w:tcPr>
          <w:p>
            <w:pPr>
              <w:keepNext w:val="0"/>
              <w:keepLines w:val="0"/>
              <w:widowControl/>
              <w:suppressLineNumbers w:val="0"/>
              <w:jc w:val="center"/>
              <w:textAlignment w:val="center"/>
              <w:rPr>
                <w:rFonts w:hint="default" w:ascii="仿宋" w:hAnsi="仿宋" w:eastAsia="仿宋" w:cs="宋体"/>
                <w:sz w:val="20"/>
                <w:szCs w:val="20"/>
                <w:lang w:val="en-US"/>
              </w:rPr>
            </w:pPr>
            <w:r>
              <w:rPr>
                <w:rFonts w:hint="eastAsia" w:ascii="宋体" w:hAnsi="宋体" w:eastAsia="宋体" w:cs="宋体"/>
                <w:i w:val="0"/>
                <w:snapToGrid w:val="0"/>
                <w:color w:val="000000"/>
                <w:kern w:val="0"/>
                <w:sz w:val="18"/>
                <w:szCs w:val="18"/>
                <w:u w:val="none"/>
                <w:lang w:val="en-US" w:eastAsia="zh-CN" w:bidi="ar"/>
              </w:rPr>
              <w:t>7.33</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水费、电费、差旅费</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17.2</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会议费、培训费</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3.85</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0.1</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369" w:type="dxa"/>
            <w:noWrap/>
            <w:vAlign w:val="center"/>
          </w:tcPr>
          <w:p>
            <w:pPr>
              <w:keepNext w:val="0"/>
              <w:keepLines w:val="0"/>
              <w:pageBreakBefore w:val="0"/>
              <w:kinsoku/>
              <w:wordWrap/>
              <w:overflowPunct/>
              <w:topLinePunct w:val="0"/>
              <w:autoSpaceDE/>
              <w:autoSpaceDN/>
              <w:bidi w:val="0"/>
              <w:adjustRightInd w:val="0"/>
              <w:snapToGrid w:val="0"/>
              <w:jc w:val="center"/>
              <w:rPr>
                <w:rFonts w:ascii="仿宋" w:hAnsi="仿宋" w:eastAsia="仿宋" w:cs="宋体"/>
                <w:sz w:val="20"/>
                <w:szCs w:val="20"/>
              </w:rPr>
            </w:pPr>
            <w:r>
              <w:rPr>
                <w:rFonts w:hint="eastAsia" w:ascii="仿宋" w:hAnsi="仿宋" w:eastAsia="仿宋" w:cs="宋体"/>
                <w:sz w:val="20"/>
                <w:szCs w:val="20"/>
              </w:rPr>
              <w:t>政府采购金额</w:t>
            </w:r>
          </w:p>
        </w:tc>
        <w:tc>
          <w:tcPr>
            <w:tcW w:w="2268"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205.59</w:t>
            </w:r>
          </w:p>
        </w:tc>
        <w:tc>
          <w:tcPr>
            <w:tcW w:w="2126"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193.6</w:t>
            </w:r>
          </w:p>
        </w:tc>
        <w:tc>
          <w:tcPr>
            <w:tcW w:w="2104" w:type="dxa"/>
            <w:gridSpan w:val="2"/>
            <w:noWrap/>
            <w:vAlign w:val="center"/>
          </w:tcPr>
          <w:p>
            <w:pPr>
              <w:keepNext w:val="0"/>
              <w:keepLines w:val="0"/>
              <w:widowControl/>
              <w:suppressLineNumbers w:val="0"/>
              <w:jc w:val="center"/>
              <w:textAlignment w:val="center"/>
              <w:rPr>
                <w:rFonts w:ascii="仿宋" w:hAnsi="仿宋" w:eastAsia="仿宋" w:cs="宋体"/>
                <w:sz w:val="20"/>
                <w:szCs w:val="20"/>
              </w:rPr>
            </w:pPr>
            <w:r>
              <w:rPr>
                <w:rFonts w:hint="eastAsia" w:ascii="宋体" w:hAnsi="宋体" w:eastAsia="宋体" w:cs="宋体"/>
                <w:i w:val="0"/>
                <w:snapToGrid w:val="0"/>
                <w:color w:val="000000"/>
                <w:kern w:val="0"/>
                <w:sz w:val="18"/>
                <w:szCs w:val="18"/>
                <w:u w:val="none"/>
                <w:lang w:val="en-US" w:eastAsia="zh-CN" w:bidi="ar"/>
              </w:rPr>
              <w:t>205.11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3369" w:type="dxa"/>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20"/>
                <w:szCs w:val="20"/>
                <w:lang w:eastAsia="zh-CN"/>
              </w:rPr>
            </w:pPr>
            <w:r>
              <w:rPr>
                <w:rFonts w:hint="eastAsia" w:ascii="仿宋" w:hAnsi="仿宋" w:eastAsia="仿宋" w:cs="宋体"/>
                <w:sz w:val="20"/>
                <w:szCs w:val="20"/>
                <w:lang w:eastAsia="zh-CN"/>
              </w:rPr>
              <w:t>部门基本支出预算调整</w:t>
            </w:r>
            <w:r>
              <w:rPr>
                <w:rFonts w:hint="eastAsia" w:ascii="仿宋" w:hAnsi="仿宋" w:eastAsia="仿宋"/>
                <w:sz w:val="20"/>
                <w:szCs w:val="20"/>
                <w:lang w:eastAsia="zh-CN"/>
              </w:rPr>
              <w:t xml:space="preserve"> </w:t>
            </w:r>
          </w:p>
        </w:tc>
        <w:tc>
          <w:tcPr>
            <w:tcW w:w="2268"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cs="宋体"/>
                <w:sz w:val="20"/>
                <w:szCs w:val="20"/>
                <w:lang w:eastAsia="zh-CN"/>
              </w:rPr>
            </w:pPr>
          </w:p>
        </w:tc>
        <w:tc>
          <w:tcPr>
            <w:tcW w:w="2126"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20"/>
                <w:szCs w:val="20"/>
                <w:lang w:eastAsia="zh-CN"/>
              </w:rPr>
            </w:pPr>
            <w:r>
              <w:rPr>
                <w:rFonts w:hint="eastAsia" w:ascii="仿宋" w:hAnsi="仿宋" w:eastAsia="仿宋" w:cs="宋体"/>
                <w:sz w:val="20"/>
                <w:szCs w:val="20"/>
                <w:lang w:eastAsia="zh-CN"/>
              </w:rPr>
              <w:t>　</w:t>
            </w:r>
          </w:p>
        </w:tc>
        <w:tc>
          <w:tcPr>
            <w:tcW w:w="2104" w:type="dxa"/>
            <w:gridSpan w:val="2"/>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20"/>
                <w:szCs w:val="20"/>
                <w:lang w:eastAsia="zh-CN"/>
              </w:rPr>
            </w:pPr>
            <w:r>
              <w:rPr>
                <w:rFonts w:hint="eastAsia" w:ascii="仿宋" w:hAnsi="仿宋" w:eastAsia="仿宋" w:cs="宋体"/>
                <w:sz w:val="20"/>
                <w:szCs w:val="20"/>
                <w:lang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3369" w:type="dxa"/>
            <w:vMerge w:val="restart"/>
          </w:tcPr>
          <w:p>
            <w:pPr>
              <w:keepNext w:val="0"/>
              <w:keepLines w:val="0"/>
              <w:pageBreakBefore w:val="0"/>
              <w:kinsoku/>
              <w:wordWrap/>
              <w:overflowPunct/>
              <w:topLinePunct w:val="0"/>
              <w:autoSpaceDE/>
              <w:autoSpaceDN/>
              <w:bidi w:val="0"/>
              <w:adjustRightInd w:val="0"/>
              <w:snapToGrid w:val="0"/>
              <w:spacing w:line="382" w:lineRule="auto"/>
              <w:rPr>
                <w:rFonts w:hint="eastAsia" w:ascii="仿宋" w:hAnsi="仿宋" w:eastAsia="仿宋"/>
                <w:b/>
                <w:bCs/>
                <w:sz w:val="15"/>
                <w:szCs w:val="15"/>
                <w:lang w:eastAsia="zh-CN"/>
              </w:rPr>
            </w:pPr>
            <w:r>
              <w:rPr>
                <w:rFonts w:hint="eastAsia" w:ascii="仿宋" w:hAnsi="仿宋" w:eastAsia="仿宋" w:cs="宋体"/>
                <w:b/>
                <w:bCs/>
                <w:sz w:val="15"/>
                <w:szCs w:val="15"/>
                <w:lang w:eastAsia="zh-CN"/>
              </w:rPr>
              <w:t>楼堂馆所控制情况</w:t>
            </w:r>
            <w:r>
              <w:rPr>
                <w:rFonts w:hint="eastAsia" w:ascii="仿宋" w:hAnsi="仿宋" w:eastAsia="仿宋"/>
                <w:b/>
                <w:bCs/>
                <w:sz w:val="15"/>
                <w:szCs w:val="15"/>
                <w:lang w:eastAsia="zh-CN"/>
              </w:rPr>
              <w:t xml:space="preserve"> </w:t>
            </w:r>
          </w:p>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15"/>
                <w:szCs w:val="15"/>
                <w:lang w:eastAsia="zh-CN"/>
              </w:rPr>
            </w:pPr>
            <w:r>
              <w:rPr>
                <w:rFonts w:hint="eastAsia" w:ascii="仿宋" w:hAnsi="仿宋" w:eastAsia="仿宋" w:cs="宋体"/>
                <w:b/>
                <w:bCs/>
                <w:sz w:val="15"/>
                <w:szCs w:val="15"/>
                <w:lang w:eastAsia="zh-CN"/>
              </w:rPr>
              <w:t>（</w:t>
            </w:r>
            <w:r>
              <w:rPr>
                <w:rFonts w:hint="eastAsia" w:ascii="仿宋" w:hAnsi="仿宋" w:eastAsia="仿宋"/>
                <w:b/>
                <w:bCs/>
                <w:sz w:val="15"/>
                <w:szCs w:val="15"/>
                <w:lang w:eastAsia="zh-CN"/>
              </w:rPr>
              <w:t>2024年</w:t>
            </w:r>
            <w:r>
              <w:rPr>
                <w:rFonts w:hint="eastAsia" w:ascii="仿宋" w:hAnsi="仿宋" w:eastAsia="仿宋" w:cs="宋体"/>
                <w:b/>
                <w:bCs/>
                <w:sz w:val="15"/>
                <w:szCs w:val="15"/>
                <w:lang w:eastAsia="zh-CN"/>
              </w:rPr>
              <w:t>完工项目）</w:t>
            </w:r>
          </w:p>
        </w:tc>
        <w:tc>
          <w:tcPr>
            <w:tcW w:w="1134" w:type="dxa"/>
          </w:tcPr>
          <w:p>
            <w:pPr>
              <w:keepNext w:val="0"/>
              <w:keepLines w:val="0"/>
              <w:pageBreakBefore w:val="0"/>
              <w:kinsoku/>
              <w:wordWrap/>
              <w:overflowPunct/>
              <w:topLinePunct w:val="0"/>
              <w:autoSpaceDE/>
              <w:autoSpaceDN/>
              <w:bidi w:val="0"/>
              <w:adjustRightInd w:val="0"/>
              <w:snapToGrid w:val="0"/>
              <w:rPr>
                <w:rFonts w:ascii="仿宋" w:hAnsi="仿宋" w:eastAsia="仿宋"/>
                <w:b/>
                <w:bCs/>
                <w:sz w:val="15"/>
                <w:szCs w:val="15"/>
                <w:lang w:eastAsia="zh-CN"/>
              </w:rPr>
            </w:pPr>
            <w:r>
              <w:rPr>
                <w:rFonts w:hint="eastAsia" w:ascii="仿宋" w:hAnsi="仿宋" w:eastAsia="仿宋" w:cs="宋体"/>
                <w:b/>
                <w:bCs/>
                <w:sz w:val="15"/>
                <w:szCs w:val="15"/>
                <w:lang w:eastAsia="zh-CN"/>
              </w:rPr>
              <w:t>批复规模</w:t>
            </w:r>
            <w:r>
              <w:rPr>
                <w:rFonts w:hint="eastAsia" w:ascii="仿宋" w:hAnsi="仿宋" w:eastAsia="仿宋"/>
                <w:b/>
                <w:bCs/>
                <w:sz w:val="15"/>
                <w:szCs w:val="15"/>
                <w:lang w:eastAsia="zh-CN"/>
              </w:rPr>
              <w:t xml:space="preserve"> </w:t>
            </w:r>
            <w:r>
              <w:rPr>
                <w:rFonts w:hint="eastAsia" w:ascii="仿宋" w:hAnsi="仿宋" w:eastAsia="仿宋" w:cs="宋体"/>
                <w:b/>
                <w:bCs/>
                <w:sz w:val="15"/>
                <w:szCs w:val="15"/>
                <w:lang w:eastAsia="zh-CN"/>
              </w:rPr>
              <w:t>（㎡）</w:t>
            </w:r>
          </w:p>
        </w:tc>
        <w:tc>
          <w:tcPr>
            <w:tcW w:w="1134" w:type="dxa"/>
          </w:tcPr>
          <w:p>
            <w:pPr>
              <w:keepNext w:val="0"/>
              <w:keepLines w:val="0"/>
              <w:pageBreakBefore w:val="0"/>
              <w:kinsoku/>
              <w:wordWrap/>
              <w:overflowPunct/>
              <w:topLinePunct w:val="0"/>
              <w:autoSpaceDE/>
              <w:autoSpaceDN/>
              <w:bidi w:val="0"/>
              <w:adjustRightInd w:val="0"/>
              <w:snapToGrid w:val="0"/>
              <w:rPr>
                <w:rFonts w:ascii="仿宋" w:hAnsi="仿宋" w:eastAsia="仿宋"/>
                <w:b/>
                <w:bCs/>
                <w:sz w:val="15"/>
                <w:szCs w:val="15"/>
                <w:lang w:eastAsia="zh-CN"/>
              </w:rPr>
            </w:pPr>
            <w:r>
              <w:rPr>
                <w:rFonts w:hint="eastAsia" w:ascii="仿宋" w:hAnsi="仿宋" w:eastAsia="仿宋" w:cs="宋体"/>
                <w:b/>
                <w:bCs/>
                <w:sz w:val="15"/>
                <w:szCs w:val="15"/>
                <w:lang w:eastAsia="zh-CN"/>
              </w:rPr>
              <w:t>实际规模（㎡）</w:t>
            </w:r>
          </w:p>
        </w:tc>
        <w:tc>
          <w:tcPr>
            <w:tcW w:w="992" w:type="dxa"/>
            <w:noWrap/>
          </w:tcPr>
          <w:p>
            <w:pPr>
              <w:keepNext w:val="0"/>
              <w:keepLines w:val="0"/>
              <w:pageBreakBefore w:val="0"/>
              <w:kinsoku/>
              <w:wordWrap/>
              <w:overflowPunct/>
              <w:topLinePunct w:val="0"/>
              <w:autoSpaceDE/>
              <w:autoSpaceDN/>
              <w:bidi w:val="0"/>
              <w:adjustRightInd w:val="0"/>
              <w:snapToGrid w:val="0"/>
              <w:rPr>
                <w:rFonts w:ascii="仿宋" w:hAnsi="仿宋" w:eastAsia="仿宋"/>
                <w:b/>
                <w:bCs/>
                <w:sz w:val="15"/>
                <w:szCs w:val="15"/>
                <w:lang w:eastAsia="zh-CN"/>
              </w:rPr>
            </w:pPr>
            <w:r>
              <w:rPr>
                <w:rFonts w:hint="eastAsia" w:ascii="仿宋" w:hAnsi="仿宋" w:eastAsia="仿宋" w:cs="宋体"/>
                <w:b/>
                <w:bCs/>
                <w:sz w:val="15"/>
                <w:szCs w:val="15"/>
                <w:lang w:eastAsia="zh-CN"/>
              </w:rPr>
              <w:t>规模控制率</w:t>
            </w:r>
          </w:p>
        </w:tc>
        <w:tc>
          <w:tcPr>
            <w:tcW w:w="1134" w:type="dxa"/>
          </w:tcPr>
          <w:p>
            <w:pPr>
              <w:keepNext w:val="0"/>
              <w:keepLines w:val="0"/>
              <w:pageBreakBefore w:val="0"/>
              <w:kinsoku/>
              <w:wordWrap/>
              <w:overflowPunct/>
              <w:topLinePunct w:val="0"/>
              <w:autoSpaceDE/>
              <w:autoSpaceDN/>
              <w:bidi w:val="0"/>
              <w:adjustRightInd w:val="0"/>
              <w:snapToGrid w:val="0"/>
              <w:rPr>
                <w:rFonts w:ascii="仿宋" w:hAnsi="仿宋" w:eastAsia="仿宋"/>
                <w:b/>
                <w:bCs/>
                <w:sz w:val="15"/>
                <w:szCs w:val="15"/>
                <w:lang w:eastAsia="zh-CN"/>
              </w:rPr>
            </w:pPr>
            <w:r>
              <w:rPr>
                <w:rFonts w:hint="eastAsia" w:ascii="仿宋" w:hAnsi="仿宋" w:eastAsia="仿宋" w:cs="宋体"/>
                <w:b/>
                <w:bCs/>
                <w:sz w:val="15"/>
                <w:szCs w:val="15"/>
                <w:lang w:eastAsia="zh-CN"/>
              </w:rPr>
              <w:t>预算投资（万元）</w:t>
            </w:r>
          </w:p>
        </w:tc>
        <w:tc>
          <w:tcPr>
            <w:tcW w:w="1134" w:type="dxa"/>
          </w:tcPr>
          <w:p>
            <w:pPr>
              <w:keepNext w:val="0"/>
              <w:keepLines w:val="0"/>
              <w:pageBreakBefore w:val="0"/>
              <w:kinsoku/>
              <w:wordWrap/>
              <w:overflowPunct/>
              <w:topLinePunct w:val="0"/>
              <w:autoSpaceDE/>
              <w:autoSpaceDN/>
              <w:bidi w:val="0"/>
              <w:adjustRightInd w:val="0"/>
              <w:snapToGrid w:val="0"/>
              <w:rPr>
                <w:rFonts w:ascii="仿宋" w:hAnsi="仿宋" w:eastAsia="仿宋"/>
                <w:b/>
                <w:bCs/>
                <w:sz w:val="15"/>
                <w:szCs w:val="15"/>
                <w:lang w:eastAsia="zh-CN"/>
              </w:rPr>
            </w:pPr>
            <w:r>
              <w:rPr>
                <w:rFonts w:hint="eastAsia" w:ascii="仿宋" w:hAnsi="仿宋" w:eastAsia="仿宋" w:cs="宋体"/>
                <w:b/>
                <w:bCs/>
                <w:sz w:val="15"/>
                <w:szCs w:val="15"/>
                <w:lang w:eastAsia="zh-CN"/>
              </w:rPr>
              <w:t>实际投资（万元）</w:t>
            </w:r>
          </w:p>
        </w:tc>
        <w:tc>
          <w:tcPr>
            <w:tcW w:w="970" w:type="dxa"/>
            <w:noWrap/>
          </w:tcPr>
          <w:p>
            <w:pPr>
              <w:keepNext w:val="0"/>
              <w:keepLines w:val="0"/>
              <w:pageBreakBefore w:val="0"/>
              <w:kinsoku/>
              <w:wordWrap/>
              <w:overflowPunct/>
              <w:topLinePunct w:val="0"/>
              <w:autoSpaceDE/>
              <w:autoSpaceDN/>
              <w:bidi w:val="0"/>
              <w:adjustRightInd w:val="0"/>
              <w:snapToGrid w:val="0"/>
              <w:rPr>
                <w:rFonts w:ascii="仿宋" w:hAnsi="仿宋" w:eastAsia="仿宋"/>
                <w:b/>
                <w:bCs/>
                <w:sz w:val="15"/>
                <w:szCs w:val="15"/>
                <w:lang w:eastAsia="zh-CN"/>
              </w:rPr>
            </w:pPr>
            <w:r>
              <w:rPr>
                <w:rFonts w:hint="eastAsia" w:ascii="仿宋" w:hAnsi="仿宋" w:eastAsia="仿宋" w:cs="宋体"/>
                <w:b/>
                <w:bCs/>
                <w:sz w:val="15"/>
                <w:szCs w:val="15"/>
                <w:lang w:eastAsia="zh-CN"/>
              </w:rPr>
              <w:t>投资概算控制率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3369" w:type="dxa"/>
            <w:vMerge w:val="continue"/>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15"/>
                <w:szCs w:val="15"/>
                <w:lang w:eastAsia="zh-CN"/>
              </w:rPr>
            </w:pPr>
          </w:p>
        </w:tc>
        <w:tc>
          <w:tcPr>
            <w:tcW w:w="1134" w:type="dxa"/>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15"/>
                <w:szCs w:val="15"/>
                <w:lang w:eastAsia="zh-CN"/>
              </w:rPr>
            </w:pPr>
          </w:p>
        </w:tc>
        <w:tc>
          <w:tcPr>
            <w:tcW w:w="1134" w:type="dxa"/>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15"/>
                <w:szCs w:val="15"/>
                <w:lang w:eastAsia="zh-CN"/>
              </w:rPr>
            </w:pPr>
          </w:p>
        </w:tc>
        <w:tc>
          <w:tcPr>
            <w:tcW w:w="992" w:type="dxa"/>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15"/>
                <w:szCs w:val="15"/>
                <w:lang w:eastAsia="zh-CN"/>
              </w:rPr>
            </w:pPr>
          </w:p>
        </w:tc>
        <w:tc>
          <w:tcPr>
            <w:tcW w:w="1134" w:type="dxa"/>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15"/>
                <w:szCs w:val="15"/>
                <w:lang w:eastAsia="zh-CN"/>
              </w:rPr>
            </w:pPr>
          </w:p>
        </w:tc>
        <w:tc>
          <w:tcPr>
            <w:tcW w:w="1134" w:type="dxa"/>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15"/>
                <w:szCs w:val="15"/>
                <w:lang w:eastAsia="zh-CN"/>
              </w:rPr>
            </w:pPr>
          </w:p>
        </w:tc>
        <w:tc>
          <w:tcPr>
            <w:tcW w:w="970" w:type="dxa"/>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sz w:val="15"/>
                <w:szCs w:val="15"/>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3369" w:type="dxa"/>
            <w:noWrap/>
          </w:tcPr>
          <w:p>
            <w:pPr>
              <w:keepNext w:val="0"/>
              <w:keepLines w:val="0"/>
              <w:pageBreakBefore w:val="0"/>
              <w:kinsoku/>
              <w:wordWrap/>
              <w:overflowPunct/>
              <w:topLinePunct w:val="0"/>
              <w:autoSpaceDE/>
              <w:autoSpaceDN/>
              <w:bidi w:val="0"/>
              <w:adjustRightInd w:val="0"/>
              <w:snapToGrid w:val="0"/>
              <w:spacing w:line="382" w:lineRule="auto"/>
              <w:rPr>
                <w:rFonts w:ascii="仿宋" w:hAnsi="仿宋" w:eastAsia="仿宋"/>
                <w:b/>
                <w:bCs/>
                <w:sz w:val="18"/>
                <w:szCs w:val="18"/>
                <w:lang w:eastAsia="zh-CN"/>
              </w:rPr>
            </w:pPr>
            <w:r>
              <w:rPr>
                <w:rFonts w:hint="eastAsia" w:ascii="仿宋" w:hAnsi="仿宋" w:eastAsia="仿宋" w:cs="宋体"/>
                <w:b/>
                <w:bCs/>
                <w:sz w:val="18"/>
                <w:szCs w:val="18"/>
                <w:lang w:eastAsia="zh-CN"/>
              </w:rPr>
              <w:t>厉行节约保障措施</w:t>
            </w:r>
          </w:p>
        </w:tc>
        <w:tc>
          <w:tcPr>
            <w:tcW w:w="6498" w:type="dxa"/>
            <w:gridSpan w:val="6"/>
            <w:noWrap/>
          </w:tcPr>
          <w:p>
            <w:pPr>
              <w:keepNext w:val="0"/>
              <w:keepLines w:val="0"/>
              <w:pageBreakBefore w:val="0"/>
              <w:kinsoku/>
              <w:wordWrap/>
              <w:overflowPunct/>
              <w:topLinePunct w:val="0"/>
              <w:autoSpaceDE/>
              <w:autoSpaceDN/>
              <w:bidi w:val="0"/>
              <w:adjustRightInd w:val="0"/>
              <w:snapToGrid w:val="0"/>
              <w:rPr>
                <w:rFonts w:ascii="仿宋" w:hAnsi="仿宋" w:eastAsia="仿宋"/>
                <w:sz w:val="18"/>
                <w:szCs w:val="18"/>
                <w:lang w:eastAsia="zh-CN"/>
              </w:rPr>
            </w:pPr>
            <w:r>
              <w:rPr>
                <w:rFonts w:hint="eastAsia" w:ascii="仿宋" w:hAnsi="仿宋" w:eastAsia="仿宋"/>
                <w:sz w:val="18"/>
                <w:szCs w:val="18"/>
                <w:lang w:eastAsia="zh-CN"/>
              </w:rPr>
              <w:t>1</w:t>
            </w:r>
            <w:r>
              <w:rPr>
                <w:rFonts w:hint="eastAsia" w:ascii="仿宋" w:hAnsi="仿宋" w:eastAsia="仿宋" w:cs="宋体"/>
                <w:sz w:val="18"/>
                <w:szCs w:val="18"/>
                <w:lang w:eastAsia="zh-CN"/>
              </w:rPr>
              <w:t>、严格预算支出管理，降低行政运行成本；</w:t>
            </w:r>
            <w:r>
              <w:rPr>
                <w:rFonts w:hint="eastAsia" w:ascii="仿宋" w:hAnsi="仿宋" w:eastAsia="仿宋"/>
                <w:sz w:val="18"/>
                <w:szCs w:val="18"/>
                <w:lang w:eastAsia="zh-CN"/>
              </w:rPr>
              <w:t>2</w:t>
            </w:r>
            <w:r>
              <w:rPr>
                <w:rFonts w:hint="eastAsia" w:ascii="仿宋" w:hAnsi="仿宋" w:eastAsia="仿宋" w:cs="宋体"/>
                <w:sz w:val="18"/>
                <w:szCs w:val="18"/>
                <w:lang w:eastAsia="zh-CN"/>
              </w:rPr>
              <w:t>、加强单位对厉行节俭的督促检查，对浪费现象严重的予以通报批评；</w:t>
            </w:r>
            <w:r>
              <w:rPr>
                <w:rFonts w:hint="eastAsia" w:ascii="仿宋" w:hAnsi="仿宋" w:eastAsia="仿宋"/>
                <w:sz w:val="18"/>
                <w:szCs w:val="18"/>
                <w:lang w:eastAsia="zh-CN"/>
              </w:rPr>
              <w:t>3</w:t>
            </w:r>
            <w:r>
              <w:rPr>
                <w:rFonts w:hint="eastAsia" w:ascii="仿宋" w:hAnsi="仿宋" w:eastAsia="仿宋" w:cs="宋体"/>
                <w:sz w:val="18"/>
                <w:szCs w:val="18"/>
                <w:lang w:eastAsia="zh-CN"/>
              </w:rPr>
              <w:t>、完善单位内部控制制度。</w:t>
            </w:r>
          </w:p>
        </w:tc>
      </w:tr>
    </w:tbl>
    <w:p>
      <w:pPr>
        <w:pStyle w:val="3"/>
        <w:keepNext w:val="0"/>
        <w:keepLines w:val="0"/>
        <w:pageBreakBefore w:val="0"/>
        <w:kinsoku/>
        <w:wordWrap/>
        <w:overflowPunct/>
        <w:topLinePunct w:val="0"/>
        <w:autoSpaceDE/>
        <w:autoSpaceDN/>
        <w:bidi w:val="0"/>
        <w:adjustRightInd w:val="0"/>
        <w:snapToGrid w:val="0"/>
        <w:spacing w:before="68" w:line="269" w:lineRule="auto"/>
        <w:ind w:left="244" w:right="154"/>
        <w:rPr>
          <w:sz w:val="21"/>
          <w:szCs w:val="21"/>
          <w:lang w:eastAsia="zh-CN"/>
        </w:rPr>
      </w:pPr>
      <w:r>
        <w:rPr>
          <w:spacing w:val="7"/>
          <w:sz w:val="21"/>
          <w:szCs w:val="21"/>
          <w:lang w:eastAsia="zh-CN"/>
        </w:rPr>
        <w:t>说明：“项目支出”需要填报基本支出以外的</w:t>
      </w:r>
      <w:r>
        <w:rPr>
          <w:spacing w:val="6"/>
          <w:sz w:val="21"/>
          <w:szCs w:val="21"/>
          <w:lang w:eastAsia="zh-CN"/>
        </w:rPr>
        <w:t>所有项目支出情况，“公用经费”填报基本支出中的一般商品和服务支出。</w:t>
      </w:r>
    </w:p>
    <w:p>
      <w:pPr>
        <w:pStyle w:val="3"/>
        <w:keepNext w:val="0"/>
        <w:keepLines w:val="0"/>
        <w:pageBreakBefore w:val="0"/>
        <w:kinsoku/>
        <w:wordWrap/>
        <w:overflowPunct/>
        <w:topLinePunct w:val="0"/>
        <w:autoSpaceDE/>
        <w:autoSpaceDN/>
        <w:bidi w:val="0"/>
        <w:adjustRightInd w:val="0"/>
        <w:snapToGrid w:val="0"/>
        <w:spacing w:before="47" w:line="232" w:lineRule="auto"/>
        <w:ind w:left="244"/>
        <w:rPr>
          <w:sz w:val="21"/>
          <w:szCs w:val="21"/>
          <w:lang w:eastAsia="zh-CN"/>
        </w:rPr>
      </w:pPr>
      <w:r>
        <w:rPr>
          <w:spacing w:val="-14"/>
          <w:sz w:val="21"/>
          <w:szCs w:val="21"/>
          <w:lang w:eastAsia="zh-CN"/>
        </w:rPr>
        <w:t>填表人：</w:t>
      </w:r>
      <w:r>
        <w:rPr>
          <w:rFonts w:hint="eastAsia"/>
          <w:spacing w:val="-14"/>
          <w:sz w:val="21"/>
          <w:szCs w:val="21"/>
          <w:lang w:eastAsia="zh-CN"/>
        </w:rPr>
        <w:t>何方莉</w:t>
      </w:r>
      <w:r>
        <w:rPr>
          <w:spacing w:val="-14"/>
          <w:sz w:val="21"/>
          <w:szCs w:val="21"/>
          <w:lang w:eastAsia="zh-CN"/>
        </w:rPr>
        <w:t xml:space="preserve">   填表日期：</w:t>
      </w:r>
      <w:r>
        <w:rPr>
          <w:rFonts w:hint="eastAsia"/>
          <w:spacing w:val="-14"/>
          <w:sz w:val="21"/>
          <w:szCs w:val="21"/>
          <w:lang w:eastAsia="zh-CN"/>
        </w:rPr>
        <w:t>2025.5.19</w:t>
      </w:r>
      <w:r>
        <w:rPr>
          <w:spacing w:val="-14"/>
          <w:position w:val="-1"/>
          <w:sz w:val="21"/>
          <w:szCs w:val="21"/>
          <w:lang w:eastAsia="zh-CN"/>
        </w:rPr>
        <w:t>联系电话</w:t>
      </w:r>
      <w:r>
        <w:rPr>
          <w:spacing w:val="-15"/>
          <w:position w:val="-1"/>
          <w:sz w:val="21"/>
          <w:szCs w:val="21"/>
          <w:lang w:eastAsia="zh-CN"/>
        </w:rPr>
        <w:t>：4322806</w:t>
      </w:r>
      <w:r>
        <w:rPr>
          <w:spacing w:val="3"/>
          <w:position w:val="-1"/>
          <w:sz w:val="21"/>
          <w:szCs w:val="21"/>
          <w:lang w:eastAsia="zh-CN"/>
        </w:rPr>
        <w:t xml:space="preserve">   </w:t>
      </w:r>
      <w:r>
        <w:rPr>
          <w:spacing w:val="-15"/>
          <w:sz w:val="21"/>
          <w:szCs w:val="21"/>
          <w:lang w:eastAsia="zh-CN"/>
        </w:rPr>
        <w:t>单位负责人签字：</w:t>
      </w:r>
    </w:p>
    <w:p>
      <w:pPr>
        <w:keepNext w:val="0"/>
        <w:keepLines w:val="0"/>
        <w:pageBreakBefore w:val="0"/>
        <w:kinsoku/>
        <w:wordWrap/>
        <w:overflowPunct/>
        <w:topLinePunct w:val="0"/>
        <w:autoSpaceDE/>
        <w:autoSpaceDN/>
        <w:bidi w:val="0"/>
        <w:adjustRightInd w:val="0"/>
        <w:snapToGrid w:val="0"/>
        <w:spacing w:line="232" w:lineRule="auto"/>
        <w:rPr>
          <w:lang w:eastAsia="zh-CN"/>
        </w:rPr>
        <w:sectPr>
          <w:footerReference r:id="rId3" w:type="default"/>
          <w:pgSz w:w="11900" w:h="16820"/>
          <w:pgMar w:top="1417" w:right="1587" w:bottom="1417" w:left="1587" w:header="0" w:footer="1124" w:gutter="0"/>
          <w:pgNumType w:fmt="decimal" w:start="1"/>
          <w:cols w:space="720" w:num="1"/>
        </w:sectPr>
      </w:pPr>
    </w:p>
    <w:p>
      <w:pPr>
        <w:keepNext w:val="0"/>
        <w:keepLines w:val="0"/>
        <w:pageBreakBefore w:val="0"/>
        <w:kinsoku/>
        <w:wordWrap/>
        <w:overflowPunct/>
        <w:topLinePunct w:val="0"/>
        <w:autoSpaceDE/>
        <w:autoSpaceDN/>
        <w:bidi w:val="0"/>
        <w:adjustRightInd w:val="0"/>
        <w:snapToGrid w:val="0"/>
        <w:spacing w:before="63" w:line="224" w:lineRule="auto"/>
        <w:ind w:left="449"/>
        <w:rPr>
          <w:rFonts w:ascii="黑体" w:hAnsi="黑体" w:eastAsia="黑体" w:cs="黑体"/>
          <w:sz w:val="31"/>
          <w:szCs w:val="31"/>
          <w:lang w:eastAsia="zh-CN"/>
        </w:rPr>
      </w:pPr>
      <w:r>
        <w:rPr>
          <w:rFonts w:ascii="黑体" w:hAnsi="黑体" w:eastAsia="黑体" w:cs="黑体"/>
          <w:b/>
          <w:bCs/>
          <w:spacing w:val="26"/>
          <w:sz w:val="31"/>
          <w:szCs w:val="31"/>
          <w:lang w:eastAsia="zh-CN"/>
        </w:rPr>
        <w:t>附件</w:t>
      </w:r>
      <w:r>
        <w:rPr>
          <w:rFonts w:hint="eastAsia" w:ascii="黑体" w:hAnsi="黑体" w:eastAsia="黑体" w:cs="黑体"/>
          <w:b/>
          <w:bCs/>
          <w:spacing w:val="26"/>
          <w:sz w:val="31"/>
          <w:szCs w:val="31"/>
          <w:lang w:eastAsia="zh-CN"/>
        </w:rPr>
        <w:t>2</w:t>
      </w:r>
      <w:r>
        <w:rPr>
          <w:rFonts w:ascii="黑体" w:hAnsi="黑体" w:eastAsia="黑体" w:cs="黑体"/>
          <w:b/>
          <w:bCs/>
          <w:spacing w:val="26"/>
          <w:sz w:val="31"/>
          <w:szCs w:val="31"/>
          <w:lang w:eastAsia="zh-CN"/>
        </w:rPr>
        <w:t>:</w:t>
      </w:r>
    </w:p>
    <w:p>
      <w:pPr>
        <w:keepNext w:val="0"/>
        <w:keepLines w:val="0"/>
        <w:pageBreakBefore w:val="0"/>
        <w:kinsoku/>
        <w:wordWrap/>
        <w:overflowPunct/>
        <w:topLinePunct w:val="0"/>
        <w:autoSpaceDE/>
        <w:autoSpaceDN/>
        <w:bidi w:val="0"/>
        <w:adjustRightInd w:val="0"/>
        <w:snapToGrid w:val="0"/>
        <w:spacing w:before="192" w:line="199" w:lineRule="auto"/>
        <w:ind w:left="1651"/>
        <w:rPr>
          <w:rFonts w:ascii="宋体" w:hAnsi="宋体" w:eastAsia="宋体" w:cs="宋体"/>
          <w:sz w:val="43"/>
          <w:szCs w:val="43"/>
          <w:lang w:eastAsia="zh-CN"/>
        </w:rPr>
      </w:pPr>
      <w:r>
        <w:rPr>
          <w:rFonts w:hint="eastAsia" w:ascii="宋体" w:hAnsi="宋体" w:eastAsia="宋体" w:cs="宋体"/>
          <w:b/>
          <w:bCs/>
          <w:spacing w:val="-5"/>
          <w:sz w:val="43"/>
          <w:szCs w:val="43"/>
          <w:lang w:eastAsia="zh-CN"/>
        </w:rPr>
        <w:t>2024年</w:t>
      </w:r>
      <w:r>
        <w:rPr>
          <w:rFonts w:ascii="宋体" w:hAnsi="宋体" w:eastAsia="宋体" w:cs="宋体"/>
          <w:b/>
          <w:bCs/>
          <w:spacing w:val="-5"/>
          <w:sz w:val="43"/>
          <w:szCs w:val="43"/>
          <w:lang w:eastAsia="zh-CN"/>
        </w:rPr>
        <w:t>度部门整体支出绩效自评表</w:t>
      </w:r>
    </w:p>
    <w:tbl>
      <w:tblPr>
        <w:tblStyle w:val="11"/>
        <w:tblW w:w="98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4"/>
        <w:gridCol w:w="929"/>
        <w:gridCol w:w="959"/>
        <w:gridCol w:w="1278"/>
        <w:gridCol w:w="1189"/>
        <w:gridCol w:w="1279"/>
        <w:gridCol w:w="809"/>
        <w:gridCol w:w="889"/>
        <w:gridCol w:w="13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1224" w:type="dxa"/>
          </w:tcPr>
          <w:p>
            <w:pPr>
              <w:pStyle w:val="12"/>
              <w:keepNext w:val="0"/>
              <w:keepLines w:val="0"/>
              <w:pageBreakBefore w:val="0"/>
              <w:kinsoku/>
              <w:wordWrap/>
              <w:overflowPunct/>
              <w:topLinePunct w:val="0"/>
              <w:autoSpaceDE/>
              <w:autoSpaceDN/>
              <w:bidi w:val="0"/>
              <w:adjustRightInd w:val="0"/>
              <w:snapToGrid w:val="0"/>
              <w:spacing w:before="32" w:line="199" w:lineRule="auto"/>
              <w:ind w:left="113" w:right="9" w:hanging="9"/>
              <w:rPr>
                <w:rFonts w:asciiTheme="minorEastAsia" w:hAnsiTheme="minorEastAsia" w:eastAsiaTheme="minorEastAsia"/>
                <w:sz w:val="20"/>
                <w:szCs w:val="20"/>
              </w:rPr>
            </w:pPr>
            <w:r>
              <w:rPr>
                <w:rFonts w:asciiTheme="minorEastAsia" w:hAnsiTheme="minorEastAsia" w:eastAsiaTheme="minorEastAsia"/>
                <w:spacing w:val="19"/>
                <w:sz w:val="20"/>
                <w:szCs w:val="20"/>
              </w:rPr>
              <w:t>预算部门、</w:t>
            </w:r>
            <w:r>
              <w:rPr>
                <w:rFonts w:asciiTheme="minorEastAsia" w:hAnsiTheme="minorEastAsia" w:eastAsiaTheme="minorEastAsia"/>
                <w:spacing w:val="3"/>
                <w:sz w:val="20"/>
                <w:szCs w:val="20"/>
              </w:rPr>
              <w:t xml:space="preserve"> </w:t>
            </w:r>
            <w:r>
              <w:rPr>
                <w:rFonts w:asciiTheme="minorEastAsia" w:hAnsiTheme="minorEastAsia" w:eastAsiaTheme="minorEastAsia"/>
                <w:spacing w:val="-2"/>
                <w:sz w:val="20"/>
                <w:szCs w:val="20"/>
              </w:rPr>
              <w:t>单位名称</w:t>
            </w:r>
          </w:p>
        </w:tc>
        <w:tc>
          <w:tcPr>
            <w:tcW w:w="866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22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94"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9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2" w:lineRule="auto"/>
              <w:ind w:left="304"/>
              <w:rPr>
                <w:rFonts w:asciiTheme="minorEastAsia" w:hAnsiTheme="minorEastAsia" w:eastAsiaTheme="minorEastAsia"/>
                <w:sz w:val="20"/>
                <w:szCs w:val="20"/>
              </w:rPr>
            </w:pPr>
            <w:r>
              <w:rPr>
                <w:rFonts w:asciiTheme="minorEastAsia" w:hAnsiTheme="minorEastAsia" w:eastAsiaTheme="minorEastAsia"/>
                <w:spacing w:val="-2"/>
                <w:sz w:val="20"/>
                <w:szCs w:val="20"/>
              </w:rPr>
              <w:t>年度预</w:t>
            </w:r>
          </w:p>
          <w:p>
            <w:pPr>
              <w:pStyle w:val="12"/>
              <w:keepNext w:val="0"/>
              <w:keepLines w:val="0"/>
              <w:pageBreakBefore w:val="0"/>
              <w:kinsoku/>
              <w:wordWrap/>
              <w:overflowPunct/>
              <w:topLinePunct w:val="0"/>
              <w:autoSpaceDE/>
              <w:autoSpaceDN/>
              <w:bidi w:val="0"/>
              <w:adjustRightInd w:val="0"/>
              <w:snapToGrid w:val="0"/>
              <w:spacing w:line="213" w:lineRule="auto"/>
              <w:ind w:left="304"/>
              <w:rPr>
                <w:rFonts w:asciiTheme="minorEastAsia" w:hAnsiTheme="minorEastAsia" w:eastAsiaTheme="minorEastAsia"/>
                <w:sz w:val="20"/>
                <w:szCs w:val="20"/>
              </w:rPr>
            </w:pPr>
            <w:r>
              <w:rPr>
                <w:rFonts w:asciiTheme="minorEastAsia" w:hAnsiTheme="minorEastAsia" w:eastAsiaTheme="minorEastAsia"/>
                <w:spacing w:val="-3"/>
                <w:sz w:val="20"/>
                <w:szCs w:val="20"/>
              </w:rPr>
              <w:t>算申请</w:t>
            </w:r>
          </w:p>
          <w:p>
            <w:pPr>
              <w:pStyle w:val="12"/>
              <w:keepNext w:val="0"/>
              <w:keepLines w:val="0"/>
              <w:pageBreakBefore w:val="0"/>
              <w:kinsoku/>
              <w:wordWrap/>
              <w:overflowPunct/>
              <w:topLinePunct w:val="0"/>
              <w:autoSpaceDE/>
              <w:autoSpaceDN/>
              <w:bidi w:val="0"/>
              <w:adjustRightInd w:val="0"/>
              <w:snapToGrid w:val="0"/>
              <w:spacing w:line="220" w:lineRule="auto"/>
              <w:ind w:left="304"/>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188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78" w:type="dxa"/>
          </w:tcPr>
          <w:p>
            <w:pPr>
              <w:pStyle w:val="12"/>
              <w:keepNext w:val="0"/>
              <w:keepLines w:val="0"/>
              <w:pageBreakBefore w:val="0"/>
              <w:kinsoku/>
              <w:wordWrap/>
              <w:overflowPunct/>
              <w:topLinePunct w:val="0"/>
              <w:autoSpaceDE/>
              <w:autoSpaceDN/>
              <w:bidi w:val="0"/>
              <w:adjustRightInd w:val="0"/>
              <w:snapToGrid w:val="0"/>
              <w:spacing w:before="8" w:line="239" w:lineRule="auto"/>
              <w:ind w:left="423"/>
              <w:rPr>
                <w:rFonts w:asciiTheme="minorEastAsia" w:hAnsiTheme="minorEastAsia" w:eastAsiaTheme="minorEastAsia"/>
                <w:sz w:val="20"/>
                <w:szCs w:val="20"/>
              </w:rPr>
            </w:pPr>
            <w:r>
              <w:rPr>
                <w:rFonts w:asciiTheme="minorEastAsia" w:hAnsiTheme="minorEastAsia" w:eastAsiaTheme="minorEastAsia"/>
                <w:spacing w:val="-3"/>
                <w:sz w:val="20"/>
                <w:szCs w:val="20"/>
              </w:rPr>
              <w:t>年初</w:t>
            </w:r>
          </w:p>
          <w:p>
            <w:pPr>
              <w:pStyle w:val="12"/>
              <w:keepNext w:val="0"/>
              <w:keepLines w:val="0"/>
              <w:pageBreakBefore w:val="0"/>
              <w:kinsoku/>
              <w:wordWrap/>
              <w:overflowPunct/>
              <w:topLinePunct w:val="0"/>
              <w:autoSpaceDE/>
              <w:autoSpaceDN/>
              <w:bidi w:val="0"/>
              <w:adjustRightInd w:val="0"/>
              <w:snapToGrid w:val="0"/>
              <w:spacing w:line="176" w:lineRule="auto"/>
              <w:ind w:left="342"/>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89" w:type="dxa"/>
          </w:tcPr>
          <w:p>
            <w:pPr>
              <w:pStyle w:val="12"/>
              <w:keepNext w:val="0"/>
              <w:keepLines w:val="0"/>
              <w:pageBreakBefore w:val="0"/>
              <w:kinsoku/>
              <w:wordWrap/>
              <w:overflowPunct/>
              <w:topLinePunct w:val="0"/>
              <w:autoSpaceDE/>
              <w:autoSpaceDN/>
              <w:bidi w:val="0"/>
              <w:adjustRightInd w:val="0"/>
              <w:snapToGrid w:val="0"/>
              <w:spacing w:before="139" w:line="219" w:lineRule="auto"/>
              <w:ind w:left="84"/>
              <w:rPr>
                <w:rFonts w:asciiTheme="minorEastAsia" w:hAnsiTheme="minorEastAsia" w:eastAsiaTheme="minorEastAsia"/>
                <w:sz w:val="20"/>
                <w:szCs w:val="20"/>
              </w:rPr>
            </w:pPr>
            <w:r>
              <w:rPr>
                <w:rFonts w:asciiTheme="minorEastAsia" w:hAnsiTheme="minorEastAsia" w:eastAsiaTheme="minorEastAsia"/>
                <w:spacing w:val="-2"/>
                <w:sz w:val="20"/>
                <w:szCs w:val="20"/>
              </w:rPr>
              <w:t>全年预算数</w:t>
            </w:r>
          </w:p>
        </w:tc>
        <w:tc>
          <w:tcPr>
            <w:tcW w:w="1279" w:type="dxa"/>
          </w:tcPr>
          <w:p>
            <w:pPr>
              <w:pStyle w:val="12"/>
              <w:keepNext w:val="0"/>
              <w:keepLines w:val="0"/>
              <w:pageBreakBefore w:val="0"/>
              <w:kinsoku/>
              <w:wordWrap/>
              <w:overflowPunct/>
              <w:topLinePunct w:val="0"/>
              <w:autoSpaceDE/>
              <w:autoSpaceDN/>
              <w:bidi w:val="0"/>
              <w:adjustRightInd w:val="0"/>
              <w:snapToGrid w:val="0"/>
              <w:spacing w:before="139" w:line="219" w:lineRule="auto"/>
              <w:ind w:left="135"/>
              <w:rPr>
                <w:rFonts w:asciiTheme="minorEastAsia" w:hAnsiTheme="minorEastAsia" w:eastAsiaTheme="minorEastAsia"/>
                <w:sz w:val="20"/>
                <w:szCs w:val="20"/>
              </w:rPr>
            </w:pPr>
            <w:r>
              <w:rPr>
                <w:rFonts w:asciiTheme="minorEastAsia" w:hAnsiTheme="minorEastAsia" w:eastAsiaTheme="minorEastAsia"/>
                <w:spacing w:val="-2"/>
                <w:sz w:val="20"/>
                <w:szCs w:val="20"/>
              </w:rPr>
              <w:t>全年执行数</w:t>
            </w:r>
          </w:p>
        </w:tc>
        <w:tc>
          <w:tcPr>
            <w:tcW w:w="809" w:type="dxa"/>
          </w:tcPr>
          <w:p>
            <w:pPr>
              <w:pStyle w:val="12"/>
              <w:keepNext w:val="0"/>
              <w:keepLines w:val="0"/>
              <w:pageBreakBefore w:val="0"/>
              <w:kinsoku/>
              <w:wordWrap/>
              <w:overflowPunct/>
              <w:topLinePunct w:val="0"/>
              <w:autoSpaceDE/>
              <w:autoSpaceDN/>
              <w:bidi w:val="0"/>
              <w:adjustRightInd w:val="0"/>
              <w:snapToGrid w:val="0"/>
              <w:spacing w:before="139" w:line="219" w:lineRule="auto"/>
              <w:ind w:left="19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89" w:type="dxa"/>
          </w:tcPr>
          <w:p>
            <w:pPr>
              <w:pStyle w:val="12"/>
              <w:keepNext w:val="0"/>
              <w:keepLines w:val="0"/>
              <w:pageBreakBefore w:val="0"/>
              <w:kinsoku/>
              <w:wordWrap/>
              <w:overflowPunct/>
              <w:topLinePunct w:val="0"/>
              <w:autoSpaceDE/>
              <w:autoSpaceDN/>
              <w:bidi w:val="0"/>
              <w:adjustRightInd w:val="0"/>
              <w:snapToGrid w:val="0"/>
              <w:spacing w:before="139" w:line="219" w:lineRule="auto"/>
              <w:ind w:left="137"/>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333" w:type="dxa"/>
          </w:tcPr>
          <w:p>
            <w:pPr>
              <w:pStyle w:val="12"/>
              <w:keepNext w:val="0"/>
              <w:keepLines w:val="0"/>
              <w:pageBreakBefore w:val="0"/>
              <w:kinsoku/>
              <w:wordWrap/>
              <w:overflowPunct/>
              <w:topLinePunct w:val="0"/>
              <w:autoSpaceDE/>
              <w:autoSpaceDN/>
              <w:bidi w:val="0"/>
              <w:adjustRightInd w:val="0"/>
              <w:snapToGrid w:val="0"/>
              <w:spacing w:before="139" w:line="219" w:lineRule="auto"/>
              <w:ind w:left="458"/>
              <w:rPr>
                <w:rFonts w:asciiTheme="minorEastAsia" w:hAnsiTheme="minorEastAsia" w:eastAsiaTheme="minorEastAsia"/>
                <w:sz w:val="20"/>
                <w:szCs w:val="20"/>
              </w:rPr>
            </w:pPr>
            <w:r>
              <w:rPr>
                <w:rFonts w:asciiTheme="minorEastAsia" w:hAnsiTheme="minorEastAsia" w:eastAsiaTheme="minorEastAsia"/>
                <w:spacing w:val="-3"/>
                <w:sz w:val="20"/>
                <w:szCs w:val="2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22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888" w:type="dxa"/>
            <w:gridSpan w:val="2"/>
          </w:tcPr>
          <w:p>
            <w:pPr>
              <w:pStyle w:val="12"/>
              <w:keepNext w:val="0"/>
              <w:keepLines w:val="0"/>
              <w:pageBreakBefore w:val="0"/>
              <w:kinsoku/>
              <w:wordWrap/>
              <w:overflowPunct/>
              <w:topLinePunct w:val="0"/>
              <w:autoSpaceDE/>
              <w:autoSpaceDN/>
              <w:bidi w:val="0"/>
              <w:adjustRightInd w:val="0"/>
              <w:snapToGrid w:val="0"/>
              <w:spacing w:before="29" w:line="194" w:lineRule="auto"/>
              <w:ind w:left="33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78" w:type="dxa"/>
          </w:tcPr>
          <w:p>
            <w:pPr>
              <w:keepNext w:val="0"/>
              <w:keepLines w:val="0"/>
              <w:pageBreakBefore w:val="0"/>
              <w:kinsoku/>
              <w:wordWrap/>
              <w:overflowPunct/>
              <w:topLinePunct w:val="0"/>
              <w:autoSpaceDE/>
              <w:autoSpaceDN/>
              <w:bidi w:val="0"/>
              <w:adjustRightInd w:val="0"/>
              <w:snapToGrid w:val="0"/>
              <w:spacing w:line="240" w:lineRule="exact"/>
              <w:rPr>
                <w:rFonts w:hint="default" w:asciiTheme="minorEastAsia" w:hAnsiTheme="minorEastAsia" w:eastAsiaTheme="minorEastAsia"/>
                <w:sz w:val="20"/>
                <w:szCs w:val="20"/>
                <w:lang w:val="en-US" w:eastAsia="zh-CN"/>
              </w:rPr>
            </w:pPr>
            <w:r>
              <w:rPr>
                <w:rFonts w:asciiTheme="minorEastAsia" w:hAnsiTheme="minorEastAsia" w:eastAsiaTheme="minorEastAsia"/>
                <w:sz w:val="20"/>
                <w:szCs w:val="20"/>
              </w:rPr>
              <w:t>2</w:t>
            </w:r>
            <w:r>
              <w:rPr>
                <w:rFonts w:hint="eastAsia" w:asciiTheme="minorEastAsia" w:hAnsiTheme="minorEastAsia" w:eastAsiaTheme="minorEastAsia"/>
                <w:sz w:val="20"/>
                <w:szCs w:val="20"/>
                <w:lang w:val="en-US" w:eastAsia="zh-CN"/>
              </w:rPr>
              <w:t>553.20</w:t>
            </w:r>
          </w:p>
        </w:tc>
        <w:tc>
          <w:tcPr>
            <w:tcW w:w="1189" w:type="dxa"/>
          </w:tcPr>
          <w:p>
            <w:pPr>
              <w:keepNext w:val="0"/>
              <w:keepLines w:val="0"/>
              <w:pageBreakBefore w:val="0"/>
              <w:kinsoku/>
              <w:wordWrap/>
              <w:overflowPunct/>
              <w:topLinePunct w:val="0"/>
              <w:autoSpaceDE/>
              <w:autoSpaceDN/>
              <w:bidi w:val="0"/>
              <w:adjustRightInd w:val="0"/>
              <w:snapToGrid w:val="0"/>
              <w:spacing w:line="240" w:lineRule="exact"/>
              <w:rPr>
                <w:rFonts w:hint="default" w:asciiTheme="minorEastAsia" w:hAnsiTheme="minorEastAsia" w:eastAsiaTheme="minorEastAsia"/>
                <w:sz w:val="20"/>
                <w:szCs w:val="20"/>
                <w:lang w:val="en-US" w:eastAsia="zh-CN"/>
              </w:rPr>
            </w:pPr>
            <w:r>
              <w:rPr>
                <w:rFonts w:asciiTheme="minorEastAsia" w:hAnsiTheme="minorEastAsia" w:eastAsiaTheme="minorEastAsia"/>
                <w:sz w:val="20"/>
                <w:szCs w:val="20"/>
              </w:rPr>
              <w:t>1</w:t>
            </w:r>
            <w:r>
              <w:rPr>
                <w:rFonts w:hint="eastAsia" w:asciiTheme="minorEastAsia" w:hAnsiTheme="minorEastAsia" w:eastAsiaTheme="minorEastAsia"/>
                <w:sz w:val="20"/>
                <w:szCs w:val="20"/>
                <w:lang w:val="en-US" w:eastAsia="zh-CN"/>
              </w:rPr>
              <w:t>4778.12</w:t>
            </w:r>
          </w:p>
        </w:tc>
        <w:tc>
          <w:tcPr>
            <w:tcW w:w="1279" w:type="dxa"/>
          </w:tcPr>
          <w:p>
            <w:pPr>
              <w:keepNext w:val="0"/>
              <w:keepLines w:val="0"/>
              <w:pageBreakBefore w:val="0"/>
              <w:kinsoku/>
              <w:wordWrap/>
              <w:overflowPunct/>
              <w:topLinePunct w:val="0"/>
              <w:autoSpaceDE/>
              <w:autoSpaceDN/>
              <w:bidi w:val="0"/>
              <w:adjustRightInd w:val="0"/>
              <w:snapToGrid w:val="0"/>
              <w:spacing w:line="240" w:lineRule="exact"/>
              <w:rPr>
                <w:rFonts w:hint="default" w:asciiTheme="minorEastAsia" w:hAnsiTheme="minorEastAsia" w:eastAsiaTheme="minorEastAsia"/>
                <w:sz w:val="20"/>
                <w:szCs w:val="20"/>
                <w:lang w:val="en-US" w:eastAsia="zh-CN"/>
              </w:rPr>
            </w:pPr>
            <w:r>
              <w:rPr>
                <w:rFonts w:asciiTheme="minorEastAsia" w:hAnsiTheme="minorEastAsia" w:eastAsiaTheme="minorEastAsia"/>
                <w:sz w:val="20"/>
                <w:szCs w:val="20"/>
              </w:rPr>
              <w:t>1</w:t>
            </w:r>
            <w:r>
              <w:rPr>
                <w:rFonts w:hint="eastAsia" w:asciiTheme="minorEastAsia" w:hAnsiTheme="minorEastAsia" w:eastAsiaTheme="minorEastAsia"/>
                <w:sz w:val="20"/>
                <w:szCs w:val="20"/>
                <w:lang w:val="en-US" w:eastAsia="zh-CN"/>
              </w:rPr>
              <w:t>2267.05</w:t>
            </w:r>
          </w:p>
        </w:tc>
        <w:tc>
          <w:tcPr>
            <w:tcW w:w="809" w:type="dxa"/>
          </w:tcPr>
          <w:p>
            <w:pPr>
              <w:pStyle w:val="12"/>
              <w:keepNext w:val="0"/>
              <w:keepLines w:val="0"/>
              <w:pageBreakBefore w:val="0"/>
              <w:kinsoku/>
              <w:wordWrap/>
              <w:overflowPunct/>
              <w:topLinePunct w:val="0"/>
              <w:autoSpaceDE/>
              <w:autoSpaceDN/>
              <w:bidi w:val="0"/>
              <w:adjustRightInd w:val="0"/>
              <w:snapToGrid w:val="0"/>
              <w:spacing w:before="30" w:line="193" w:lineRule="auto"/>
              <w:ind w:left="19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89" w:type="dxa"/>
          </w:tcPr>
          <w:p>
            <w:pPr>
              <w:keepNext w:val="0"/>
              <w:keepLines w:val="0"/>
              <w:pageBreakBefore w:val="0"/>
              <w:kinsoku/>
              <w:wordWrap/>
              <w:overflowPunct/>
              <w:topLinePunct w:val="0"/>
              <w:autoSpaceDE/>
              <w:autoSpaceDN/>
              <w:bidi w:val="0"/>
              <w:adjustRightInd w:val="0"/>
              <w:snapToGrid w:val="0"/>
              <w:spacing w:line="240" w:lineRule="exact"/>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333" w:type="dxa"/>
          </w:tcPr>
          <w:p>
            <w:pPr>
              <w:keepNext w:val="0"/>
              <w:keepLines w:val="0"/>
              <w:pageBreakBefore w:val="0"/>
              <w:kinsoku/>
              <w:wordWrap/>
              <w:overflowPunct/>
              <w:topLinePunct w:val="0"/>
              <w:autoSpaceDE/>
              <w:autoSpaceDN/>
              <w:bidi w:val="0"/>
              <w:adjustRightInd w:val="0"/>
              <w:snapToGrid w:val="0"/>
              <w:spacing w:line="240" w:lineRule="exact"/>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22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355" w:type="dxa"/>
            <w:gridSpan w:val="4"/>
          </w:tcPr>
          <w:p>
            <w:pPr>
              <w:pStyle w:val="12"/>
              <w:keepNext w:val="0"/>
              <w:keepLines w:val="0"/>
              <w:pageBreakBefore w:val="0"/>
              <w:kinsoku/>
              <w:wordWrap/>
              <w:overflowPunct/>
              <w:topLinePunct w:val="0"/>
              <w:autoSpaceDE/>
              <w:autoSpaceDN/>
              <w:bidi w:val="0"/>
              <w:adjustRightInd w:val="0"/>
              <w:snapToGrid w:val="0"/>
              <w:spacing w:before="19" w:line="193" w:lineRule="auto"/>
              <w:ind w:left="110"/>
              <w:rPr>
                <w:rFonts w:asciiTheme="minorEastAsia" w:hAnsiTheme="minorEastAsia" w:eastAsiaTheme="minorEastAsia"/>
                <w:sz w:val="20"/>
                <w:szCs w:val="20"/>
              </w:rPr>
            </w:pPr>
            <w:r>
              <w:rPr>
                <w:rFonts w:asciiTheme="minorEastAsia" w:hAnsiTheme="minorEastAsia" w:eastAsiaTheme="minorEastAsia"/>
                <w:sz w:val="20"/>
                <w:szCs w:val="20"/>
              </w:rPr>
              <w:t>按收入性质分：</w:t>
            </w:r>
          </w:p>
        </w:tc>
        <w:tc>
          <w:tcPr>
            <w:tcW w:w="4310" w:type="dxa"/>
            <w:gridSpan w:val="4"/>
          </w:tcPr>
          <w:p>
            <w:pPr>
              <w:pStyle w:val="12"/>
              <w:keepNext w:val="0"/>
              <w:keepLines w:val="0"/>
              <w:pageBreakBefore w:val="0"/>
              <w:kinsoku/>
              <w:wordWrap/>
              <w:overflowPunct/>
              <w:topLinePunct w:val="0"/>
              <w:autoSpaceDE/>
              <w:autoSpaceDN/>
              <w:bidi w:val="0"/>
              <w:adjustRightInd w:val="0"/>
              <w:snapToGrid w:val="0"/>
              <w:spacing w:before="19" w:line="193" w:lineRule="auto"/>
              <w:ind w:left="185"/>
              <w:rPr>
                <w:rFonts w:asciiTheme="minorEastAsia" w:hAnsiTheme="minorEastAsia" w:eastAsiaTheme="minorEastAsia"/>
                <w:sz w:val="20"/>
                <w:szCs w:val="20"/>
              </w:rPr>
            </w:pPr>
            <w:r>
              <w:rPr>
                <w:rFonts w:asciiTheme="minorEastAsia" w:hAnsiTheme="minorEastAsia" w:eastAsiaTheme="minorEastAsia"/>
                <w:spacing w:val="-1"/>
                <w:sz w:val="20"/>
                <w:szCs w:val="20"/>
              </w:rPr>
              <w:t>按支出性质分：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2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355" w:type="dxa"/>
            <w:gridSpan w:val="4"/>
          </w:tcPr>
          <w:p>
            <w:pPr>
              <w:pStyle w:val="12"/>
              <w:keepNext w:val="0"/>
              <w:keepLines w:val="0"/>
              <w:pageBreakBefore w:val="0"/>
              <w:kinsoku/>
              <w:wordWrap/>
              <w:overflowPunct/>
              <w:topLinePunct w:val="0"/>
              <w:autoSpaceDE/>
              <w:autoSpaceDN/>
              <w:bidi w:val="0"/>
              <w:adjustRightInd w:val="0"/>
              <w:snapToGrid w:val="0"/>
              <w:spacing w:before="11" w:line="202" w:lineRule="auto"/>
              <w:ind w:left="310"/>
              <w:rPr>
                <w:rFonts w:hint="default" w:asciiTheme="minorEastAsia" w:hAnsiTheme="minorEastAsia" w:eastAsiaTheme="minorEastAsia"/>
                <w:sz w:val="20"/>
                <w:szCs w:val="20"/>
                <w:lang w:val="en-US" w:eastAsia="zh-CN"/>
              </w:rPr>
            </w:pPr>
            <w:r>
              <w:rPr>
                <w:rFonts w:asciiTheme="minorEastAsia" w:hAnsiTheme="minorEastAsia" w:eastAsiaTheme="minorEastAsia"/>
                <w:spacing w:val="-7"/>
                <w:sz w:val="20"/>
                <w:szCs w:val="20"/>
                <w:lang w:eastAsia="zh-CN"/>
              </w:rPr>
              <w:t>其中：一般公共预算：1</w:t>
            </w:r>
            <w:r>
              <w:rPr>
                <w:rFonts w:hint="eastAsia" w:asciiTheme="minorEastAsia" w:hAnsiTheme="minorEastAsia" w:eastAsiaTheme="minorEastAsia"/>
                <w:spacing w:val="-7"/>
                <w:sz w:val="20"/>
                <w:szCs w:val="20"/>
                <w:lang w:val="en-US" w:eastAsia="zh-CN"/>
              </w:rPr>
              <w:t>4266.27</w:t>
            </w:r>
          </w:p>
        </w:tc>
        <w:tc>
          <w:tcPr>
            <w:tcW w:w="4310" w:type="dxa"/>
            <w:gridSpan w:val="4"/>
          </w:tcPr>
          <w:p>
            <w:pPr>
              <w:pStyle w:val="12"/>
              <w:keepNext w:val="0"/>
              <w:keepLines w:val="0"/>
              <w:pageBreakBefore w:val="0"/>
              <w:kinsoku/>
              <w:wordWrap/>
              <w:overflowPunct/>
              <w:topLinePunct w:val="0"/>
              <w:autoSpaceDE/>
              <w:autoSpaceDN/>
              <w:bidi w:val="0"/>
              <w:adjustRightInd w:val="0"/>
              <w:snapToGrid w:val="0"/>
              <w:spacing w:before="19" w:line="194" w:lineRule="auto"/>
              <w:ind w:left="185"/>
              <w:rPr>
                <w:rFonts w:hint="default" w:asciiTheme="minorEastAsia" w:hAnsiTheme="minorEastAsia" w:eastAsiaTheme="minorEastAsia"/>
                <w:sz w:val="20"/>
                <w:szCs w:val="20"/>
                <w:lang w:val="en-US" w:eastAsia="zh-CN"/>
              </w:rPr>
            </w:pPr>
            <w:r>
              <w:rPr>
                <w:rFonts w:asciiTheme="minorEastAsia" w:hAnsiTheme="minorEastAsia" w:eastAsiaTheme="minorEastAsia"/>
                <w:sz w:val="20"/>
                <w:szCs w:val="20"/>
              </w:rPr>
              <w:t>其中：基本支出：</w:t>
            </w:r>
            <w:r>
              <w:rPr>
                <w:rFonts w:hint="eastAsia" w:asciiTheme="minorEastAsia" w:hAnsiTheme="minorEastAsia" w:eastAsiaTheme="minorEastAsia"/>
                <w:sz w:val="20"/>
                <w:szCs w:val="20"/>
                <w:lang w:val="en-US" w:eastAsia="zh-CN"/>
              </w:rPr>
              <w:t>506.56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2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355" w:type="dxa"/>
            <w:gridSpan w:val="4"/>
          </w:tcPr>
          <w:p>
            <w:pPr>
              <w:pStyle w:val="12"/>
              <w:keepNext w:val="0"/>
              <w:keepLines w:val="0"/>
              <w:pageBreakBefore w:val="0"/>
              <w:kinsoku/>
              <w:wordWrap/>
              <w:overflowPunct/>
              <w:topLinePunct w:val="0"/>
              <w:autoSpaceDE/>
              <w:autoSpaceDN/>
              <w:bidi w:val="0"/>
              <w:adjustRightInd w:val="0"/>
              <w:snapToGrid w:val="0"/>
              <w:spacing w:before="20" w:line="193" w:lineRule="auto"/>
              <w:ind w:left="930"/>
              <w:rPr>
                <w:rFonts w:hint="default" w:asciiTheme="minorEastAsia" w:hAnsiTheme="minorEastAsia" w:eastAsiaTheme="minorEastAsia"/>
                <w:sz w:val="20"/>
                <w:szCs w:val="20"/>
                <w:lang w:val="en-US" w:eastAsia="zh-CN"/>
              </w:rPr>
            </w:pPr>
            <w:r>
              <w:rPr>
                <w:rFonts w:asciiTheme="minorEastAsia" w:hAnsiTheme="minorEastAsia" w:eastAsiaTheme="minorEastAsia"/>
                <w:sz w:val="20"/>
                <w:szCs w:val="20"/>
              </w:rPr>
              <w:t>政府性基金拨款：</w:t>
            </w:r>
            <w:r>
              <w:rPr>
                <w:rFonts w:hint="eastAsia" w:asciiTheme="minorEastAsia" w:hAnsiTheme="minorEastAsia" w:eastAsiaTheme="minorEastAsia"/>
                <w:sz w:val="20"/>
                <w:szCs w:val="20"/>
                <w:lang w:val="en-US" w:eastAsia="zh-CN"/>
              </w:rPr>
              <w:t>414.68</w:t>
            </w:r>
          </w:p>
        </w:tc>
        <w:tc>
          <w:tcPr>
            <w:tcW w:w="4310" w:type="dxa"/>
            <w:gridSpan w:val="4"/>
          </w:tcPr>
          <w:p>
            <w:pPr>
              <w:pStyle w:val="12"/>
              <w:keepNext w:val="0"/>
              <w:keepLines w:val="0"/>
              <w:pageBreakBefore w:val="0"/>
              <w:kinsoku/>
              <w:wordWrap/>
              <w:overflowPunct/>
              <w:topLinePunct w:val="0"/>
              <w:autoSpaceDE/>
              <w:autoSpaceDN/>
              <w:bidi w:val="0"/>
              <w:adjustRightInd w:val="0"/>
              <w:snapToGrid w:val="0"/>
              <w:spacing w:before="21" w:line="192" w:lineRule="auto"/>
              <w:ind w:left="745"/>
              <w:rPr>
                <w:rFonts w:hint="default" w:asciiTheme="minorEastAsia" w:hAnsiTheme="minorEastAsia" w:eastAsiaTheme="minorEastAsia"/>
                <w:sz w:val="20"/>
                <w:szCs w:val="20"/>
                <w:lang w:val="en-US" w:eastAsia="zh-CN"/>
              </w:rPr>
            </w:pPr>
            <w:r>
              <w:rPr>
                <w:rFonts w:asciiTheme="minorEastAsia" w:hAnsiTheme="minorEastAsia" w:eastAsiaTheme="minorEastAsia"/>
                <w:spacing w:val="-1"/>
                <w:sz w:val="20"/>
                <w:szCs w:val="20"/>
              </w:rPr>
              <w:t>项目支出：1</w:t>
            </w:r>
            <w:r>
              <w:rPr>
                <w:rFonts w:hint="eastAsia" w:asciiTheme="minorEastAsia" w:hAnsiTheme="minorEastAsia" w:eastAsiaTheme="minorEastAsia"/>
                <w:spacing w:val="-1"/>
                <w:sz w:val="20"/>
                <w:szCs w:val="20"/>
                <w:lang w:val="en-US" w:eastAsia="zh-CN"/>
              </w:rPr>
              <w:t>1760.49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2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355" w:type="dxa"/>
            <w:gridSpan w:val="4"/>
          </w:tcPr>
          <w:p>
            <w:pPr>
              <w:pStyle w:val="12"/>
              <w:keepNext w:val="0"/>
              <w:keepLines w:val="0"/>
              <w:pageBreakBefore w:val="0"/>
              <w:kinsoku/>
              <w:wordWrap/>
              <w:overflowPunct/>
              <w:topLinePunct w:val="0"/>
              <w:autoSpaceDE/>
              <w:autoSpaceDN/>
              <w:bidi w:val="0"/>
              <w:adjustRightInd w:val="0"/>
              <w:snapToGrid w:val="0"/>
              <w:spacing w:before="20" w:line="193" w:lineRule="auto"/>
              <w:ind w:left="100"/>
              <w:rPr>
                <w:rFonts w:asciiTheme="minorEastAsia" w:hAnsiTheme="minorEastAsia" w:eastAsiaTheme="minorEastAsia"/>
                <w:sz w:val="20"/>
                <w:szCs w:val="20"/>
                <w:lang w:eastAsia="zh-CN"/>
              </w:rPr>
            </w:pPr>
            <w:r>
              <w:rPr>
                <w:rFonts w:asciiTheme="minorEastAsia" w:hAnsiTheme="minorEastAsia" w:eastAsiaTheme="minorEastAsia"/>
                <w:spacing w:val="-1"/>
                <w:sz w:val="20"/>
                <w:szCs w:val="20"/>
                <w:lang w:eastAsia="zh-CN"/>
              </w:rPr>
              <w:t>纳入专户管理的非税收入拨款：</w:t>
            </w:r>
          </w:p>
        </w:tc>
        <w:tc>
          <w:tcPr>
            <w:tcW w:w="4310" w:type="dxa"/>
            <w:gridSpan w:val="4"/>
          </w:tcPr>
          <w:p>
            <w:pPr>
              <w:keepNext w:val="0"/>
              <w:keepLines w:val="0"/>
              <w:pageBreakBefore w:val="0"/>
              <w:kinsoku/>
              <w:wordWrap/>
              <w:overflowPunct/>
              <w:topLinePunct w:val="0"/>
              <w:autoSpaceDE/>
              <w:autoSpaceDN/>
              <w:bidi w:val="0"/>
              <w:adjustRightInd w:val="0"/>
              <w:snapToGrid w:val="0"/>
              <w:spacing w:line="230" w:lineRule="exact"/>
              <w:rPr>
                <w:rFonts w:asciiTheme="minorEastAsia" w:hAnsiTheme="minorEastAsia" w:eastAsiaTheme="minorEastAsia"/>
                <w:sz w:val="20"/>
                <w:szCs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2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4355" w:type="dxa"/>
            <w:gridSpan w:val="4"/>
          </w:tcPr>
          <w:p>
            <w:pPr>
              <w:pStyle w:val="12"/>
              <w:keepNext w:val="0"/>
              <w:keepLines w:val="0"/>
              <w:pageBreakBefore w:val="0"/>
              <w:kinsoku/>
              <w:wordWrap/>
              <w:overflowPunct/>
              <w:topLinePunct w:val="0"/>
              <w:autoSpaceDE/>
              <w:autoSpaceDN/>
              <w:bidi w:val="0"/>
              <w:adjustRightInd w:val="0"/>
              <w:snapToGrid w:val="0"/>
              <w:spacing w:before="21" w:line="192" w:lineRule="auto"/>
              <w:ind w:left="1721"/>
              <w:rPr>
                <w:rFonts w:hint="default" w:asciiTheme="minorEastAsia" w:hAnsiTheme="minorEastAsia" w:eastAsiaTheme="minorEastAsia"/>
                <w:sz w:val="20"/>
                <w:szCs w:val="20"/>
                <w:lang w:val="en-US" w:eastAsia="zh-CN"/>
              </w:rPr>
            </w:pPr>
            <w:r>
              <w:rPr>
                <w:rFonts w:asciiTheme="minorEastAsia" w:hAnsiTheme="minorEastAsia" w:eastAsiaTheme="minorEastAsia"/>
                <w:spacing w:val="-1"/>
                <w:sz w:val="20"/>
                <w:szCs w:val="20"/>
              </w:rPr>
              <w:t>其他资金：</w:t>
            </w:r>
            <w:r>
              <w:rPr>
                <w:rFonts w:hint="eastAsia" w:asciiTheme="minorEastAsia" w:hAnsiTheme="minorEastAsia" w:eastAsiaTheme="minorEastAsia"/>
                <w:spacing w:val="-1"/>
                <w:sz w:val="20"/>
                <w:szCs w:val="20"/>
                <w:lang w:val="en-US" w:eastAsia="zh-CN"/>
              </w:rPr>
              <w:t>97.17</w:t>
            </w:r>
          </w:p>
        </w:tc>
        <w:tc>
          <w:tcPr>
            <w:tcW w:w="4310" w:type="dxa"/>
            <w:gridSpan w:val="4"/>
          </w:tcPr>
          <w:p>
            <w:pPr>
              <w:keepNext w:val="0"/>
              <w:keepLines w:val="0"/>
              <w:pageBreakBefore w:val="0"/>
              <w:kinsoku/>
              <w:wordWrap/>
              <w:overflowPunct/>
              <w:topLinePunct w:val="0"/>
              <w:autoSpaceDE/>
              <w:autoSpaceDN/>
              <w:bidi w:val="0"/>
              <w:adjustRightInd w:val="0"/>
              <w:snapToGrid w:val="0"/>
              <w:spacing w:line="230" w:lineRule="exact"/>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2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10" w:line="203" w:lineRule="auto"/>
              <w:ind w:left="414" w:right="217" w:hanging="210"/>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355" w:type="dxa"/>
            <w:gridSpan w:val="4"/>
          </w:tcPr>
          <w:p>
            <w:pPr>
              <w:pStyle w:val="12"/>
              <w:keepNext w:val="0"/>
              <w:keepLines w:val="0"/>
              <w:pageBreakBefore w:val="0"/>
              <w:kinsoku/>
              <w:wordWrap/>
              <w:overflowPunct/>
              <w:topLinePunct w:val="0"/>
              <w:autoSpaceDE/>
              <w:autoSpaceDN/>
              <w:bidi w:val="0"/>
              <w:adjustRightInd w:val="0"/>
              <w:snapToGrid w:val="0"/>
              <w:spacing w:before="21" w:line="192" w:lineRule="auto"/>
              <w:ind w:left="1770"/>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310" w:type="dxa"/>
            <w:gridSpan w:val="4"/>
          </w:tcPr>
          <w:p>
            <w:pPr>
              <w:pStyle w:val="12"/>
              <w:keepNext w:val="0"/>
              <w:keepLines w:val="0"/>
              <w:pageBreakBefore w:val="0"/>
              <w:kinsoku/>
              <w:wordWrap/>
              <w:overflowPunct/>
              <w:topLinePunct w:val="0"/>
              <w:autoSpaceDE/>
              <w:autoSpaceDN/>
              <w:bidi w:val="0"/>
              <w:adjustRightInd w:val="0"/>
              <w:snapToGrid w:val="0"/>
              <w:spacing w:before="20" w:line="193" w:lineRule="auto"/>
              <w:ind w:left="154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2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355" w:type="dxa"/>
            <w:gridSpan w:val="4"/>
          </w:tcPr>
          <w:p>
            <w:pPr>
              <w:keepNext w:val="0"/>
              <w:keepLines w:val="0"/>
              <w:pageBreakBefore w:val="0"/>
              <w:kinsoku/>
              <w:wordWrap/>
              <w:overflowPunct/>
              <w:topLinePunct w:val="0"/>
              <w:autoSpaceDE/>
              <w:autoSpaceDN/>
              <w:bidi w:val="0"/>
              <w:adjustRightInd w:val="0"/>
              <w:snapToGrid w:val="0"/>
              <w:spacing w:line="230" w:lineRule="exact"/>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1</w:t>
            </w:r>
            <w:r>
              <w:rPr>
                <w:rFonts w:hint="eastAsia" w:cs="宋体" w:asciiTheme="minorEastAsia" w:hAnsiTheme="minorEastAsia" w:eastAsiaTheme="minorEastAsia"/>
                <w:sz w:val="20"/>
                <w:szCs w:val="20"/>
                <w:lang w:eastAsia="zh-CN"/>
              </w:rPr>
              <w:t>、精准落实救助政策，抓好基本民生保障。</w:t>
            </w:r>
          </w:p>
          <w:p>
            <w:pPr>
              <w:keepNext w:val="0"/>
              <w:keepLines w:val="0"/>
              <w:pageBreakBefore w:val="0"/>
              <w:kinsoku/>
              <w:wordWrap/>
              <w:overflowPunct/>
              <w:topLinePunct w:val="0"/>
              <w:autoSpaceDE/>
              <w:autoSpaceDN/>
              <w:bidi w:val="0"/>
              <w:adjustRightInd w:val="0"/>
              <w:snapToGrid w:val="0"/>
              <w:spacing w:line="230" w:lineRule="exact"/>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2</w:t>
            </w:r>
            <w:r>
              <w:rPr>
                <w:rFonts w:hint="eastAsia" w:cs="宋体" w:asciiTheme="minorEastAsia" w:hAnsiTheme="minorEastAsia" w:eastAsiaTheme="minorEastAsia"/>
                <w:sz w:val="20"/>
                <w:szCs w:val="20"/>
                <w:lang w:eastAsia="zh-CN"/>
              </w:rPr>
              <w:t>、抓好基层治理创新。</w:t>
            </w:r>
          </w:p>
          <w:p>
            <w:pPr>
              <w:keepNext w:val="0"/>
              <w:keepLines w:val="0"/>
              <w:pageBreakBefore w:val="0"/>
              <w:kinsoku/>
              <w:wordWrap/>
              <w:overflowPunct/>
              <w:topLinePunct w:val="0"/>
              <w:autoSpaceDE/>
              <w:autoSpaceDN/>
              <w:bidi w:val="0"/>
              <w:adjustRightInd w:val="0"/>
              <w:snapToGrid w:val="0"/>
              <w:spacing w:line="230" w:lineRule="exact"/>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3</w:t>
            </w:r>
            <w:r>
              <w:rPr>
                <w:rFonts w:hint="eastAsia" w:cs="宋体" w:asciiTheme="minorEastAsia" w:hAnsiTheme="minorEastAsia" w:eastAsiaTheme="minorEastAsia"/>
                <w:sz w:val="20"/>
                <w:szCs w:val="20"/>
                <w:lang w:eastAsia="zh-CN"/>
              </w:rPr>
              <w:t>、抓好养老服务。</w:t>
            </w:r>
          </w:p>
          <w:p>
            <w:pPr>
              <w:keepNext w:val="0"/>
              <w:keepLines w:val="0"/>
              <w:pageBreakBefore w:val="0"/>
              <w:kinsoku/>
              <w:wordWrap/>
              <w:overflowPunct/>
              <w:topLinePunct w:val="0"/>
              <w:autoSpaceDE/>
              <w:autoSpaceDN/>
              <w:bidi w:val="0"/>
              <w:adjustRightInd w:val="0"/>
              <w:snapToGrid w:val="0"/>
              <w:spacing w:line="230" w:lineRule="exact"/>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4</w:t>
            </w:r>
            <w:r>
              <w:rPr>
                <w:rFonts w:hint="eastAsia" w:cs="宋体" w:asciiTheme="minorEastAsia" w:hAnsiTheme="minorEastAsia" w:eastAsiaTheme="minorEastAsia"/>
                <w:sz w:val="20"/>
                <w:szCs w:val="20"/>
                <w:lang w:eastAsia="zh-CN"/>
              </w:rPr>
              <w:t>、抓好专项社会事物管理。</w:t>
            </w:r>
          </w:p>
        </w:tc>
        <w:tc>
          <w:tcPr>
            <w:tcW w:w="4310" w:type="dxa"/>
            <w:gridSpan w:val="4"/>
          </w:tcPr>
          <w:p>
            <w:pPr>
              <w:keepNext w:val="0"/>
              <w:keepLines w:val="0"/>
              <w:pageBreakBefore w:val="0"/>
              <w:kinsoku/>
              <w:wordWrap/>
              <w:overflowPunct/>
              <w:topLinePunct w:val="0"/>
              <w:autoSpaceDE/>
              <w:autoSpaceDN/>
              <w:bidi w:val="0"/>
              <w:adjustRightInd w:val="0"/>
              <w:snapToGrid w:val="0"/>
              <w:spacing w:line="230" w:lineRule="exact"/>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聚焦脱贫攻坚、特殊群体和群众关切，落实民政部和区委区政府对决策部署，大力推进</w:t>
            </w:r>
            <w:r>
              <w:rPr>
                <w:rFonts w:asciiTheme="minorEastAsia" w:hAnsiTheme="minorEastAsia" w:eastAsiaTheme="minorEastAsia"/>
                <w:sz w:val="20"/>
                <w:szCs w:val="20"/>
                <w:lang w:eastAsia="zh-CN"/>
              </w:rPr>
              <w:t>“</w:t>
            </w:r>
            <w:r>
              <w:rPr>
                <w:rFonts w:hint="eastAsia" w:cs="宋体" w:asciiTheme="minorEastAsia" w:hAnsiTheme="minorEastAsia" w:eastAsiaTheme="minorEastAsia"/>
                <w:sz w:val="20"/>
                <w:szCs w:val="20"/>
                <w:lang w:eastAsia="zh-CN"/>
              </w:rPr>
              <w:t>五化</w:t>
            </w:r>
            <w:r>
              <w:rPr>
                <w:rFonts w:asciiTheme="minorEastAsia" w:hAnsiTheme="minorEastAsia" w:eastAsiaTheme="minorEastAsia"/>
                <w:sz w:val="20"/>
                <w:szCs w:val="20"/>
                <w:lang w:eastAsia="zh-CN"/>
              </w:rPr>
              <w:t>”</w:t>
            </w:r>
            <w:r>
              <w:rPr>
                <w:rFonts w:hint="eastAsia" w:cs="宋体" w:asciiTheme="minorEastAsia" w:hAnsiTheme="minorEastAsia" w:eastAsiaTheme="minorEastAsia"/>
                <w:sz w:val="20"/>
                <w:szCs w:val="20"/>
                <w:lang w:eastAsia="zh-CN"/>
              </w:rPr>
              <w:t>民政建设，各项工作取得新成效，为全区经济社会发展作出了积极贡献。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224" w:type="dxa"/>
            <w:vMerge w:val="restart"/>
            <w:tcBorders>
              <w:bottom w:val="nil"/>
            </w:tcBorders>
            <w:textDirection w:val="tbRlV"/>
          </w:tcPr>
          <w:p>
            <w:pPr>
              <w:keepNext w:val="0"/>
              <w:keepLines w:val="0"/>
              <w:pageBreakBefore w:val="0"/>
              <w:kinsoku/>
              <w:wordWrap/>
              <w:overflowPunct/>
              <w:topLinePunct w:val="0"/>
              <w:autoSpaceDE/>
              <w:autoSpaceDN/>
              <w:bidi w:val="0"/>
              <w:adjustRightInd w:val="0"/>
              <w:snapToGrid w:val="0"/>
              <w:spacing w:line="428" w:lineRule="auto"/>
              <w:jc w:val="center"/>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ind w:left="113"/>
              <w:jc w:val="center"/>
              <w:rPr>
                <w:rFonts w:asciiTheme="minorEastAsia" w:hAnsiTheme="minorEastAsia" w:eastAsiaTheme="minorEastAsia"/>
                <w:sz w:val="20"/>
                <w:szCs w:val="20"/>
              </w:rPr>
            </w:pPr>
            <w:r>
              <w:rPr>
                <w:rFonts w:asciiTheme="minorEastAsia" w:hAnsiTheme="minorEastAsia" w:eastAsiaTheme="minorEastAsia"/>
                <w:sz w:val="20"/>
                <w:szCs w:val="20"/>
              </w:rPr>
              <w:t>绩效指标</w:t>
            </w:r>
          </w:p>
        </w:tc>
        <w:tc>
          <w:tcPr>
            <w:tcW w:w="929" w:type="dxa"/>
          </w:tcPr>
          <w:p>
            <w:pPr>
              <w:pStyle w:val="12"/>
              <w:keepNext w:val="0"/>
              <w:keepLines w:val="0"/>
              <w:pageBreakBefore w:val="0"/>
              <w:kinsoku/>
              <w:wordWrap/>
              <w:overflowPunct/>
              <w:topLinePunct w:val="0"/>
              <w:autoSpaceDE/>
              <w:autoSpaceDN/>
              <w:bidi w:val="0"/>
              <w:adjustRightInd w:val="0"/>
              <w:snapToGrid w:val="0"/>
              <w:spacing w:before="152" w:line="211" w:lineRule="auto"/>
              <w:ind w:left="350" w:right="154" w:hanging="200"/>
              <w:jc w:val="center"/>
              <w:rPr>
                <w:rFonts w:asciiTheme="minorEastAsia" w:hAnsiTheme="minorEastAsia" w:eastAsiaTheme="minorEastAsia"/>
                <w:sz w:val="20"/>
                <w:szCs w:val="20"/>
              </w:rPr>
            </w:pPr>
            <w:r>
              <w:rPr>
                <w:rFonts w:asciiTheme="minorEastAsia" w:hAnsiTheme="minorEastAsia" w:eastAsiaTheme="minorEastAsia"/>
                <w:spacing w:val="4"/>
                <w:sz w:val="20"/>
                <w:szCs w:val="20"/>
              </w:rPr>
              <w:t>一级指</w:t>
            </w:r>
            <w:r>
              <w:rPr>
                <w:rFonts w:asciiTheme="minorEastAsia" w:hAnsiTheme="minorEastAsia" w:eastAsiaTheme="minorEastAsia"/>
                <w:sz w:val="20"/>
                <w:szCs w:val="20"/>
              </w:rPr>
              <w:t xml:space="preserve"> 标</w:t>
            </w:r>
          </w:p>
        </w:tc>
        <w:tc>
          <w:tcPr>
            <w:tcW w:w="959" w:type="dxa"/>
          </w:tcPr>
          <w:p>
            <w:pPr>
              <w:pStyle w:val="12"/>
              <w:keepNext w:val="0"/>
              <w:keepLines w:val="0"/>
              <w:pageBreakBefore w:val="0"/>
              <w:kinsoku/>
              <w:wordWrap/>
              <w:overflowPunct/>
              <w:topLinePunct w:val="0"/>
              <w:autoSpaceDE/>
              <w:autoSpaceDN/>
              <w:bidi w:val="0"/>
              <w:adjustRightInd w:val="0"/>
              <w:snapToGrid w:val="0"/>
              <w:spacing w:before="153" w:line="220" w:lineRule="auto"/>
              <w:ind w:left="371" w:right="163" w:hanging="200"/>
              <w:rPr>
                <w:rFonts w:asciiTheme="minorEastAsia" w:hAnsiTheme="minorEastAsia" w:eastAsiaTheme="minorEastAsia"/>
                <w:sz w:val="20"/>
                <w:szCs w:val="20"/>
              </w:rPr>
            </w:pPr>
            <w:r>
              <w:rPr>
                <w:rFonts w:asciiTheme="minorEastAsia" w:hAnsiTheme="minorEastAsia" w:eastAsiaTheme="minorEastAsia"/>
                <w:spacing w:val="4"/>
                <w:sz w:val="20"/>
                <w:szCs w:val="20"/>
              </w:rPr>
              <w:t>二级指</w:t>
            </w:r>
            <w:r>
              <w:rPr>
                <w:rFonts w:asciiTheme="minorEastAsia" w:hAnsiTheme="minorEastAsia" w:eastAsiaTheme="minorEastAsia"/>
                <w:sz w:val="20"/>
                <w:szCs w:val="20"/>
              </w:rPr>
              <w:t xml:space="preserve"> 标</w:t>
            </w:r>
          </w:p>
        </w:tc>
        <w:tc>
          <w:tcPr>
            <w:tcW w:w="1278" w:type="dxa"/>
          </w:tcPr>
          <w:p>
            <w:pPr>
              <w:pStyle w:val="12"/>
              <w:keepNext w:val="0"/>
              <w:keepLines w:val="0"/>
              <w:pageBreakBefore w:val="0"/>
              <w:kinsoku/>
              <w:wordWrap/>
              <w:overflowPunct/>
              <w:topLinePunct w:val="0"/>
              <w:autoSpaceDE/>
              <w:autoSpaceDN/>
              <w:bidi w:val="0"/>
              <w:adjustRightInd w:val="0"/>
              <w:snapToGrid w:val="0"/>
              <w:spacing w:before="261" w:line="220" w:lineRule="auto"/>
              <w:ind w:left="242"/>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89" w:type="dxa"/>
          </w:tcPr>
          <w:p>
            <w:pPr>
              <w:pStyle w:val="12"/>
              <w:keepNext w:val="0"/>
              <w:keepLines w:val="0"/>
              <w:pageBreakBefore w:val="0"/>
              <w:kinsoku/>
              <w:wordWrap/>
              <w:overflowPunct/>
              <w:topLinePunct w:val="0"/>
              <w:autoSpaceDE/>
              <w:autoSpaceDN/>
              <w:bidi w:val="0"/>
              <w:adjustRightInd w:val="0"/>
              <w:snapToGrid w:val="0"/>
              <w:spacing w:before="140"/>
              <w:ind w:left="38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84"/>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279" w:type="dxa"/>
          </w:tcPr>
          <w:p>
            <w:pPr>
              <w:pStyle w:val="12"/>
              <w:keepNext w:val="0"/>
              <w:keepLines w:val="0"/>
              <w:pageBreakBefore w:val="0"/>
              <w:kinsoku/>
              <w:wordWrap/>
              <w:overflowPunct/>
              <w:topLinePunct w:val="0"/>
              <w:autoSpaceDE/>
              <w:autoSpaceDN/>
              <w:bidi w:val="0"/>
              <w:adjustRightInd w:val="0"/>
              <w:snapToGrid w:val="0"/>
              <w:spacing w:before="261" w:line="219" w:lineRule="auto"/>
              <w:ind w:left="135"/>
              <w:rPr>
                <w:rFonts w:asciiTheme="minorEastAsia" w:hAnsiTheme="minorEastAsia" w:eastAsiaTheme="minorEastAsia"/>
                <w:sz w:val="20"/>
                <w:szCs w:val="20"/>
              </w:rPr>
            </w:pPr>
            <w:r>
              <w:rPr>
                <w:rFonts w:asciiTheme="minorEastAsia" w:hAnsiTheme="minorEastAsia" w:eastAsiaTheme="minorEastAsia"/>
                <w:spacing w:val="1"/>
                <w:sz w:val="20"/>
                <w:szCs w:val="20"/>
              </w:rPr>
              <w:t>实际完成值</w:t>
            </w:r>
          </w:p>
        </w:tc>
        <w:tc>
          <w:tcPr>
            <w:tcW w:w="809" w:type="dxa"/>
          </w:tcPr>
          <w:p>
            <w:pPr>
              <w:pStyle w:val="12"/>
              <w:keepNext w:val="0"/>
              <w:keepLines w:val="0"/>
              <w:pageBreakBefore w:val="0"/>
              <w:kinsoku/>
              <w:wordWrap/>
              <w:overflowPunct/>
              <w:topLinePunct w:val="0"/>
              <w:autoSpaceDE/>
              <w:autoSpaceDN/>
              <w:bidi w:val="0"/>
              <w:adjustRightInd w:val="0"/>
              <w:snapToGrid w:val="0"/>
              <w:spacing w:before="261" w:line="219" w:lineRule="auto"/>
              <w:ind w:left="19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89" w:type="dxa"/>
          </w:tcPr>
          <w:p>
            <w:pPr>
              <w:pStyle w:val="12"/>
              <w:keepNext w:val="0"/>
              <w:keepLines w:val="0"/>
              <w:pageBreakBefore w:val="0"/>
              <w:kinsoku/>
              <w:wordWrap/>
              <w:overflowPunct/>
              <w:topLinePunct w:val="0"/>
              <w:autoSpaceDE/>
              <w:autoSpaceDN/>
              <w:bidi w:val="0"/>
              <w:adjustRightInd w:val="0"/>
              <w:snapToGrid w:val="0"/>
              <w:spacing w:before="261" w:line="219" w:lineRule="auto"/>
              <w:ind w:left="237"/>
              <w:rPr>
                <w:rFonts w:asciiTheme="minorEastAsia" w:hAnsiTheme="minorEastAsia" w:eastAsiaTheme="minorEastAsia"/>
                <w:sz w:val="20"/>
                <w:szCs w:val="20"/>
              </w:rPr>
            </w:pPr>
            <w:r>
              <w:rPr>
                <w:rFonts w:asciiTheme="minorEastAsia" w:hAnsiTheme="minorEastAsia" w:eastAsiaTheme="minorEastAsia"/>
                <w:spacing w:val="-3"/>
                <w:sz w:val="20"/>
                <w:szCs w:val="20"/>
              </w:rPr>
              <w:t>得分</w:t>
            </w:r>
          </w:p>
        </w:tc>
        <w:tc>
          <w:tcPr>
            <w:tcW w:w="1333" w:type="dxa"/>
          </w:tcPr>
          <w:p>
            <w:pPr>
              <w:pStyle w:val="12"/>
              <w:keepNext w:val="0"/>
              <w:keepLines w:val="0"/>
              <w:pageBreakBefore w:val="0"/>
              <w:kinsoku/>
              <w:wordWrap/>
              <w:overflowPunct/>
              <w:topLinePunct w:val="0"/>
              <w:autoSpaceDE/>
              <w:autoSpaceDN/>
              <w:bidi w:val="0"/>
              <w:adjustRightInd w:val="0"/>
              <w:snapToGrid w:val="0"/>
              <w:spacing w:before="31" w:line="219" w:lineRule="auto"/>
              <w:ind w:left="25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3" w:line="202" w:lineRule="auto"/>
              <w:ind w:left="35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line="201" w:lineRule="auto"/>
              <w:ind w:left="25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24" w:type="dxa"/>
            <w:vMerge w:val="continue"/>
            <w:tcBorders>
              <w:top w:val="nil"/>
              <w:bottom w:val="nil"/>
            </w:tcBorders>
            <w:textDirection w:val="tbRlV"/>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tc>
        <w:tc>
          <w:tcPr>
            <w:tcW w:w="929" w:type="dxa"/>
            <w:vMerge w:val="restart"/>
          </w:tcPr>
          <w:p>
            <w:pPr>
              <w:keepNext w:val="0"/>
              <w:keepLines w:val="0"/>
              <w:pageBreakBefore w:val="0"/>
              <w:kinsoku/>
              <w:wordWrap/>
              <w:overflowPunct/>
              <w:topLinePunct w:val="0"/>
              <w:autoSpaceDE/>
              <w:autoSpaceDN/>
              <w:bidi w:val="0"/>
              <w:adjustRightInd w:val="0"/>
              <w:snapToGrid w:val="0"/>
              <w:spacing w:line="287" w:lineRule="auto"/>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87" w:lineRule="auto"/>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88" w:lineRule="auto"/>
              <w:jc w:val="center"/>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pacing w:val="-10"/>
                <w:sz w:val="20"/>
                <w:szCs w:val="20"/>
                <w:lang w:eastAsia="zh-CN"/>
              </w:rPr>
              <w:t>产出指标</w:t>
            </w:r>
            <w:r>
              <w:rPr>
                <w:rFonts w:asciiTheme="minorEastAsia" w:hAnsiTheme="minorEastAsia" w:eastAsiaTheme="minorEastAsia"/>
                <w:spacing w:val="-10"/>
                <w:sz w:val="20"/>
                <w:szCs w:val="20"/>
              </w:rPr>
              <w:t>(50</w:t>
            </w:r>
            <w:r>
              <w:rPr>
                <w:rFonts w:asciiTheme="minorEastAsia" w:hAnsiTheme="minorEastAsia" w:eastAsiaTheme="minorEastAsia"/>
                <w:spacing w:val="-6"/>
                <w:sz w:val="20"/>
                <w:szCs w:val="20"/>
              </w:rPr>
              <w:t>分</w:t>
            </w:r>
            <w:r>
              <w:rPr>
                <w:rFonts w:asciiTheme="minorEastAsia" w:hAnsiTheme="minorEastAsia" w:eastAsiaTheme="minorEastAsia"/>
                <w:spacing w:val="-37"/>
                <w:sz w:val="20"/>
                <w:szCs w:val="20"/>
              </w:rPr>
              <w:t xml:space="preserve"> </w:t>
            </w:r>
            <w:r>
              <w:rPr>
                <w:rFonts w:asciiTheme="minorEastAsia" w:hAnsiTheme="minorEastAsia" w:eastAsiaTheme="minorEastAsia"/>
                <w:spacing w:val="-6"/>
                <w:sz w:val="20"/>
                <w:szCs w:val="20"/>
              </w:rPr>
              <w:t>)</w:t>
            </w:r>
          </w:p>
        </w:tc>
        <w:tc>
          <w:tcPr>
            <w:tcW w:w="959"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161" w:line="212" w:lineRule="auto"/>
              <w:ind w:left="371" w:right="163" w:hanging="200"/>
              <w:rPr>
                <w:rFonts w:asciiTheme="minorEastAsia" w:hAnsiTheme="minorEastAsia" w:eastAsiaTheme="minorEastAsia"/>
                <w:spacing w:val="4"/>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161" w:line="212" w:lineRule="auto"/>
              <w:ind w:left="371" w:right="163" w:hanging="200"/>
              <w:rPr>
                <w:rFonts w:asciiTheme="minorEastAsia" w:hAnsiTheme="minorEastAsia" w:eastAsiaTheme="minorEastAsia"/>
                <w:spacing w:val="4"/>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161" w:line="212" w:lineRule="auto"/>
              <w:ind w:left="371" w:right="163" w:hanging="200"/>
              <w:rPr>
                <w:rFonts w:asciiTheme="minorEastAsia" w:hAnsiTheme="minorEastAsia" w:eastAsiaTheme="minorEastAsia"/>
                <w:sz w:val="20"/>
                <w:szCs w:val="20"/>
              </w:rPr>
            </w:pPr>
            <w:r>
              <w:rPr>
                <w:rFonts w:asciiTheme="minorEastAsia" w:hAnsiTheme="minorEastAsia" w:eastAsiaTheme="minorEastAsia"/>
                <w:spacing w:val="4"/>
                <w:sz w:val="20"/>
                <w:szCs w:val="20"/>
              </w:rPr>
              <w:t>数量指</w:t>
            </w:r>
            <w:r>
              <w:rPr>
                <w:rFonts w:asciiTheme="minorEastAsia" w:hAnsiTheme="minorEastAsia" w:eastAsiaTheme="minorEastAsia"/>
                <w:sz w:val="20"/>
                <w:szCs w:val="20"/>
              </w:rPr>
              <w:t xml:space="preserve"> 标</w:t>
            </w:r>
          </w:p>
        </w:tc>
        <w:tc>
          <w:tcPr>
            <w:tcW w:w="1278" w:type="dxa"/>
          </w:tcPr>
          <w:p>
            <w:pPr>
              <w:pStyle w:val="12"/>
              <w:keepNext w:val="0"/>
              <w:keepLines w:val="0"/>
              <w:pageBreakBefore w:val="0"/>
              <w:kinsoku/>
              <w:wordWrap/>
              <w:overflowPunct/>
              <w:topLinePunct w:val="0"/>
              <w:autoSpaceDE/>
              <w:autoSpaceDN/>
              <w:bidi w:val="0"/>
              <w:adjustRightInd w:val="0"/>
              <w:snapToGrid w:val="0"/>
              <w:spacing w:before="22" w:line="182" w:lineRule="auto"/>
              <w:ind w:left="102"/>
              <w:rPr>
                <w:rFonts w:asciiTheme="minorEastAsia" w:hAnsiTheme="minorEastAsia" w:eastAsiaTheme="minorEastAsia"/>
                <w:sz w:val="20"/>
                <w:szCs w:val="20"/>
                <w:lang w:eastAsia="zh-CN"/>
              </w:rPr>
            </w:pPr>
            <w:r>
              <w:rPr>
                <w:rFonts w:hint="eastAsia" w:asciiTheme="minorEastAsia" w:hAnsiTheme="minorEastAsia" w:eastAsiaTheme="minorEastAsia"/>
                <w:spacing w:val="10"/>
                <w:sz w:val="20"/>
                <w:szCs w:val="20"/>
                <w:lang w:eastAsia="zh-CN"/>
              </w:rPr>
              <w:t>特困人员月均保障人数</w:t>
            </w:r>
            <w:r>
              <w:rPr>
                <w:rFonts w:asciiTheme="minorEastAsia" w:hAnsiTheme="minorEastAsia" w:eastAsiaTheme="minorEastAsia"/>
                <w:spacing w:val="10"/>
                <w:sz w:val="20"/>
                <w:szCs w:val="20"/>
                <w:lang w:eastAsia="zh-CN"/>
              </w:rPr>
              <w:tab/>
            </w:r>
          </w:p>
        </w:tc>
        <w:tc>
          <w:tcPr>
            <w:tcW w:w="11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23</w:t>
            </w:r>
            <w:r>
              <w:rPr>
                <w:rFonts w:hint="eastAsia" w:asciiTheme="minorEastAsia" w:hAnsiTheme="minorEastAsia" w:eastAsiaTheme="minorEastAsia"/>
                <w:sz w:val="20"/>
                <w:szCs w:val="20"/>
                <w:lang w:val="en-US" w:eastAsia="zh-CN"/>
              </w:rPr>
              <w:t>05</w:t>
            </w:r>
            <w:r>
              <w:rPr>
                <w:rFonts w:hint="eastAsia" w:asciiTheme="minorEastAsia" w:hAnsiTheme="minorEastAsia" w:eastAsiaTheme="minorEastAsia"/>
                <w:sz w:val="20"/>
                <w:szCs w:val="20"/>
              </w:rPr>
              <w:t>人</w:t>
            </w:r>
          </w:p>
        </w:tc>
        <w:tc>
          <w:tcPr>
            <w:tcW w:w="12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23</w:t>
            </w:r>
            <w:r>
              <w:rPr>
                <w:rFonts w:hint="eastAsia" w:asciiTheme="minorEastAsia" w:hAnsiTheme="minorEastAsia" w:eastAsiaTheme="minorEastAsia"/>
                <w:sz w:val="20"/>
                <w:szCs w:val="20"/>
                <w:lang w:val="en-US" w:eastAsia="zh-CN"/>
              </w:rPr>
              <w:t>05</w:t>
            </w:r>
            <w:r>
              <w:rPr>
                <w:rFonts w:hint="eastAsia" w:asciiTheme="minorEastAsia" w:hAnsiTheme="minorEastAsia" w:eastAsiaTheme="minorEastAsia"/>
                <w:sz w:val="20"/>
                <w:szCs w:val="20"/>
              </w:rPr>
              <w:t>人</w:t>
            </w:r>
          </w:p>
        </w:tc>
        <w:tc>
          <w:tcPr>
            <w:tcW w:w="809" w:type="dxa"/>
          </w:tcPr>
          <w:p>
            <w:pPr>
              <w:keepNext w:val="0"/>
              <w:keepLines w:val="0"/>
              <w:pageBreakBefore w:val="0"/>
              <w:kinsoku/>
              <w:wordWrap/>
              <w:overflowPunct/>
              <w:topLinePunct w:val="0"/>
              <w:autoSpaceDE/>
              <w:autoSpaceDN/>
              <w:bidi w:val="0"/>
              <w:adjustRightInd w:val="0"/>
              <w:snapToGrid w:val="0"/>
              <w:spacing w:line="22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w:t>
            </w:r>
          </w:p>
        </w:tc>
        <w:tc>
          <w:tcPr>
            <w:tcW w:w="889" w:type="dxa"/>
          </w:tcPr>
          <w:p>
            <w:pPr>
              <w:keepNext w:val="0"/>
              <w:keepLines w:val="0"/>
              <w:pageBreakBefore w:val="0"/>
              <w:kinsoku/>
              <w:wordWrap/>
              <w:overflowPunct/>
              <w:topLinePunct w:val="0"/>
              <w:autoSpaceDE/>
              <w:autoSpaceDN/>
              <w:bidi w:val="0"/>
              <w:adjustRightInd w:val="0"/>
              <w:snapToGrid w:val="0"/>
              <w:spacing w:line="22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w:t>
            </w:r>
          </w:p>
        </w:tc>
        <w:tc>
          <w:tcPr>
            <w:tcW w:w="1333" w:type="dxa"/>
          </w:tcPr>
          <w:p>
            <w:pPr>
              <w:keepNext w:val="0"/>
              <w:keepLines w:val="0"/>
              <w:pageBreakBefore w:val="0"/>
              <w:kinsoku/>
              <w:wordWrap/>
              <w:overflowPunct/>
              <w:topLinePunct w:val="0"/>
              <w:autoSpaceDE/>
              <w:autoSpaceDN/>
              <w:bidi w:val="0"/>
              <w:adjustRightInd w:val="0"/>
              <w:snapToGrid w:val="0"/>
              <w:spacing w:line="220" w:lineRule="exact"/>
              <w:rPr>
                <w:rFonts w:asciiTheme="minorEastAsia" w:hAnsiTheme="minorEastAsia" w:eastAsiaTheme="minorEastAsia"/>
                <w:sz w:val="20"/>
                <w:szCs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224" w:type="dxa"/>
            <w:vMerge w:val="continue"/>
            <w:tcBorders>
              <w:top w:val="nil"/>
              <w:bottom w:val="nil"/>
            </w:tcBorders>
            <w:textDirection w:val="tbRlV"/>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tc>
        <w:tc>
          <w:tcPr>
            <w:tcW w:w="929" w:type="dxa"/>
            <w:vMerge w:val="continue"/>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tc>
        <w:tc>
          <w:tcPr>
            <w:tcW w:w="959"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278" w:type="dxa"/>
          </w:tcPr>
          <w:p>
            <w:pPr>
              <w:pStyle w:val="12"/>
              <w:keepNext w:val="0"/>
              <w:keepLines w:val="0"/>
              <w:pageBreakBefore w:val="0"/>
              <w:kinsoku/>
              <w:wordWrap/>
              <w:overflowPunct/>
              <w:topLinePunct w:val="0"/>
              <w:autoSpaceDE/>
              <w:autoSpaceDN/>
              <w:bidi w:val="0"/>
              <w:adjustRightInd w:val="0"/>
              <w:snapToGrid w:val="0"/>
              <w:spacing w:before="33" w:line="191" w:lineRule="auto"/>
              <w:ind w:left="102"/>
              <w:rPr>
                <w:rFonts w:asciiTheme="minorEastAsia" w:hAnsiTheme="minorEastAsia" w:eastAsiaTheme="minorEastAsia"/>
                <w:sz w:val="20"/>
                <w:szCs w:val="20"/>
                <w:lang w:eastAsia="zh-CN"/>
              </w:rPr>
            </w:pPr>
            <w:r>
              <w:rPr>
                <w:rFonts w:hint="eastAsia" w:asciiTheme="minorEastAsia" w:hAnsiTheme="minorEastAsia" w:eastAsiaTheme="minorEastAsia"/>
                <w:spacing w:val="10"/>
                <w:sz w:val="20"/>
                <w:szCs w:val="20"/>
                <w:lang w:eastAsia="zh-CN"/>
              </w:rPr>
              <w:t>重度残疾人护理补贴月均保障人数</w:t>
            </w:r>
            <w:r>
              <w:rPr>
                <w:rFonts w:asciiTheme="minorEastAsia" w:hAnsiTheme="minorEastAsia" w:eastAsiaTheme="minorEastAsia"/>
                <w:spacing w:val="10"/>
                <w:sz w:val="20"/>
                <w:szCs w:val="20"/>
                <w:lang w:eastAsia="zh-CN"/>
              </w:rPr>
              <w:tab/>
            </w:r>
          </w:p>
        </w:tc>
        <w:tc>
          <w:tcPr>
            <w:tcW w:w="11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eastAsia="zh-CN"/>
              </w:rPr>
              <w:t>4</w:t>
            </w:r>
            <w:r>
              <w:rPr>
                <w:rFonts w:hint="eastAsia" w:asciiTheme="minorEastAsia" w:hAnsiTheme="minorEastAsia" w:eastAsiaTheme="minorEastAsia"/>
                <w:sz w:val="20"/>
                <w:szCs w:val="20"/>
                <w:lang w:val="en-US" w:eastAsia="zh-CN"/>
              </w:rPr>
              <w:t>973</w:t>
            </w:r>
            <w:r>
              <w:rPr>
                <w:rFonts w:hint="eastAsia" w:asciiTheme="minorEastAsia" w:hAnsiTheme="minorEastAsia" w:eastAsiaTheme="minorEastAsia"/>
                <w:sz w:val="20"/>
                <w:szCs w:val="20"/>
              </w:rPr>
              <w:t>人</w:t>
            </w:r>
          </w:p>
        </w:tc>
        <w:tc>
          <w:tcPr>
            <w:tcW w:w="12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eastAsia="zh-CN"/>
              </w:rPr>
              <w:t>4</w:t>
            </w:r>
            <w:r>
              <w:rPr>
                <w:rFonts w:hint="eastAsia" w:asciiTheme="minorEastAsia" w:hAnsiTheme="minorEastAsia" w:eastAsiaTheme="minorEastAsia"/>
                <w:sz w:val="20"/>
                <w:szCs w:val="20"/>
                <w:lang w:val="en-US" w:eastAsia="zh-CN"/>
              </w:rPr>
              <w:t>973</w:t>
            </w:r>
            <w:r>
              <w:rPr>
                <w:rFonts w:hint="eastAsia" w:asciiTheme="minorEastAsia" w:hAnsiTheme="minorEastAsia" w:eastAsiaTheme="minorEastAsia"/>
                <w:sz w:val="20"/>
                <w:szCs w:val="20"/>
              </w:rPr>
              <w:t>人</w:t>
            </w:r>
          </w:p>
        </w:tc>
        <w:tc>
          <w:tcPr>
            <w:tcW w:w="809" w:type="dxa"/>
          </w:tcPr>
          <w:p>
            <w:pPr>
              <w:keepNext w:val="0"/>
              <w:keepLines w:val="0"/>
              <w:pageBreakBefore w:val="0"/>
              <w:kinsoku/>
              <w:wordWrap/>
              <w:overflowPunct/>
              <w:topLinePunct w:val="0"/>
              <w:autoSpaceDE/>
              <w:autoSpaceDN/>
              <w:bidi w:val="0"/>
              <w:adjustRightInd w:val="0"/>
              <w:snapToGrid w:val="0"/>
              <w:spacing w:line="24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w:t>
            </w:r>
          </w:p>
        </w:tc>
        <w:tc>
          <w:tcPr>
            <w:tcW w:w="889" w:type="dxa"/>
          </w:tcPr>
          <w:p>
            <w:pPr>
              <w:keepNext w:val="0"/>
              <w:keepLines w:val="0"/>
              <w:pageBreakBefore w:val="0"/>
              <w:kinsoku/>
              <w:wordWrap/>
              <w:overflowPunct/>
              <w:topLinePunct w:val="0"/>
              <w:autoSpaceDE/>
              <w:autoSpaceDN/>
              <w:bidi w:val="0"/>
              <w:adjustRightInd w:val="0"/>
              <w:snapToGrid w:val="0"/>
              <w:spacing w:line="24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w:t>
            </w:r>
          </w:p>
        </w:tc>
        <w:tc>
          <w:tcPr>
            <w:tcW w:w="1333" w:type="dxa"/>
          </w:tcPr>
          <w:p>
            <w:pPr>
              <w:keepNext w:val="0"/>
              <w:keepLines w:val="0"/>
              <w:pageBreakBefore w:val="0"/>
              <w:kinsoku/>
              <w:wordWrap/>
              <w:overflowPunct/>
              <w:topLinePunct w:val="0"/>
              <w:autoSpaceDE/>
              <w:autoSpaceDN/>
              <w:bidi w:val="0"/>
              <w:adjustRightInd w:val="0"/>
              <w:snapToGrid w:val="0"/>
              <w:spacing w:line="240" w:lineRule="exact"/>
              <w:rPr>
                <w:rFonts w:asciiTheme="minorEastAsia" w:hAnsiTheme="minorEastAsia" w:eastAsiaTheme="minorEastAsia"/>
                <w:sz w:val="20"/>
                <w:szCs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224" w:type="dxa"/>
            <w:vMerge w:val="continue"/>
            <w:tcBorders>
              <w:top w:val="nil"/>
              <w:bottom w:val="nil"/>
            </w:tcBorders>
            <w:textDirection w:val="tbRlV"/>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tc>
        <w:tc>
          <w:tcPr>
            <w:tcW w:w="929" w:type="dxa"/>
            <w:vMerge w:val="continue"/>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tc>
        <w:tc>
          <w:tcPr>
            <w:tcW w:w="959"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278" w:type="dxa"/>
          </w:tcPr>
          <w:p>
            <w:pPr>
              <w:pStyle w:val="12"/>
              <w:keepNext w:val="0"/>
              <w:keepLines w:val="0"/>
              <w:pageBreakBefore w:val="0"/>
              <w:kinsoku/>
              <w:wordWrap/>
              <w:overflowPunct/>
              <w:topLinePunct w:val="0"/>
              <w:autoSpaceDE/>
              <w:autoSpaceDN/>
              <w:bidi w:val="0"/>
              <w:adjustRightInd w:val="0"/>
              <w:snapToGrid w:val="0"/>
              <w:spacing w:before="33" w:line="191" w:lineRule="auto"/>
              <w:ind w:left="102"/>
              <w:rPr>
                <w:rFonts w:asciiTheme="minorEastAsia" w:hAnsiTheme="minorEastAsia" w:eastAsiaTheme="minorEastAsia"/>
                <w:spacing w:val="10"/>
                <w:sz w:val="20"/>
                <w:szCs w:val="20"/>
                <w:lang w:eastAsia="zh-CN"/>
              </w:rPr>
            </w:pPr>
            <w:r>
              <w:rPr>
                <w:rFonts w:hint="eastAsia" w:asciiTheme="minorEastAsia" w:hAnsiTheme="minorEastAsia" w:eastAsiaTheme="minorEastAsia"/>
                <w:spacing w:val="10"/>
                <w:sz w:val="20"/>
                <w:szCs w:val="20"/>
                <w:lang w:eastAsia="zh-CN"/>
              </w:rPr>
              <w:t>孤儿月均保障人数</w:t>
            </w:r>
          </w:p>
        </w:tc>
        <w:tc>
          <w:tcPr>
            <w:tcW w:w="11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w:t>
            </w:r>
            <w:r>
              <w:rPr>
                <w:rFonts w:hint="eastAsia" w:asciiTheme="minorEastAsia" w:hAnsiTheme="minorEastAsia" w:eastAsiaTheme="minorEastAsia"/>
                <w:sz w:val="20"/>
                <w:szCs w:val="20"/>
                <w:lang w:val="en-US" w:eastAsia="zh-CN"/>
              </w:rPr>
              <w:t>70</w:t>
            </w:r>
            <w:r>
              <w:rPr>
                <w:rFonts w:hint="eastAsia" w:asciiTheme="minorEastAsia" w:hAnsiTheme="minorEastAsia" w:eastAsiaTheme="minorEastAsia"/>
                <w:sz w:val="20"/>
                <w:szCs w:val="20"/>
              </w:rPr>
              <w:t>人</w:t>
            </w:r>
          </w:p>
        </w:tc>
        <w:tc>
          <w:tcPr>
            <w:tcW w:w="12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w:t>
            </w:r>
            <w:r>
              <w:rPr>
                <w:rFonts w:hint="eastAsia" w:asciiTheme="minorEastAsia" w:hAnsiTheme="minorEastAsia" w:eastAsiaTheme="minorEastAsia"/>
                <w:sz w:val="20"/>
                <w:szCs w:val="20"/>
                <w:lang w:val="en-US" w:eastAsia="zh-CN"/>
              </w:rPr>
              <w:t>70</w:t>
            </w:r>
            <w:r>
              <w:rPr>
                <w:rFonts w:hint="eastAsia" w:asciiTheme="minorEastAsia" w:hAnsiTheme="minorEastAsia" w:eastAsiaTheme="minorEastAsia"/>
                <w:sz w:val="20"/>
                <w:szCs w:val="20"/>
              </w:rPr>
              <w:t>人</w:t>
            </w:r>
          </w:p>
        </w:tc>
        <w:tc>
          <w:tcPr>
            <w:tcW w:w="809" w:type="dxa"/>
          </w:tcPr>
          <w:p>
            <w:pPr>
              <w:keepNext w:val="0"/>
              <w:keepLines w:val="0"/>
              <w:pageBreakBefore w:val="0"/>
              <w:kinsoku/>
              <w:wordWrap/>
              <w:overflowPunct/>
              <w:topLinePunct w:val="0"/>
              <w:autoSpaceDE/>
              <w:autoSpaceDN/>
              <w:bidi w:val="0"/>
              <w:adjustRightInd w:val="0"/>
              <w:snapToGrid w:val="0"/>
              <w:spacing w:line="24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w:t>
            </w:r>
          </w:p>
        </w:tc>
        <w:tc>
          <w:tcPr>
            <w:tcW w:w="889" w:type="dxa"/>
          </w:tcPr>
          <w:p>
            <w:pPr>
              <w:keepNext w:val="0"/>
              <w:keepLines w:val="0"/>
              <w:pageBreakBefore w:val="0"/>
              <w:kinsoku/>
              <w:wordWrap/>
              <w:overflowPunct/>
              <w:topLinePunct w:val="0"/>
              <w:autoSpaceDE/>
              <w:autoSpaceDN/>
              <w:bidi w:val="0"/>
              <w:adjustRightInd w:val="0"/>
              <w:snapToGrid w:val="0"/>
              <w:spacing w:line="24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w:t>
            </w:r>
          </w:p>
        </w:tc>
        <w:tc>
          <w:tcPr>
            <w:tcW w:w="1333" w:type="dxa"/>
          </w:tcPr>
          <w:p>
            <w:pPr>
              <w:keepNext w:val="0"/>
              <w:keepLines w:val="0"/>
              <w:pageBreakBefore w:val="0"/>
              <w:kinsoku/>
              <w:wordWrap/>
              <w:overflowPunct/>
              <w:topLinePunct w:val="0"/>
              <w:autoSpaceDE/>
              <w:autoSpaceDN/>
              <w:bidi w:val="0"/>
              <w:adjustRightInd w:val="0"/>
              <w:snapToGrid w:val="0"/>
              <w:spacing w:line="240" w:lineRule="exact"/>
              <w:rPr>
                <w:rFonts w:asciiTheme="minorEastAsia" w:hAnsiTheme="minorEastAsia" w:eastAsiaTheme="minorEastAsia"/>
                <w:sz w:val="20"/>
                <w:szCs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24" w:type="dxa"/>
            <w:vMerge w:val="continue"/>
            <w:tcBorders>
              <w:top w:val="nil"/>
              <w:bottom w:val="nil"/>
            </w:tcBorders>
            <w:textDirection w:val="tbRlV"/>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tc>
        <w:tc>
          <w:tcPr>
            <w:tcW w:w="929" w:type="dxa"/>
            <w:vMerge w:val="continue"/>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tc>
        <w:tc>
          <w:tcPr>
            <w:tcW w:w="959"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278" w:type="dxa"/>
          </w:tcPr>
          <w:p>
            <w:pPr>
              <w:pStyle w:val="12"/>
              <w:keepNext w:val="0"/>
              <w:keepLines w:val="0"/>
              <w:pageBreakBefore w:val="0"/>
              <w:kinsoku/>
              <w:wordWrap/>
              <w:overflowPunct/>
              <w:topLinePunct w:val="0"/>
              <w:autoSpaceDE/>
              <w:autoSpaceDN/>
              <w:bidi w:val="0"/>
              <w:adjustRightInd w:val="0"/>
              <w:snapToGrid w:val="0"/>
              <w:spacing w:before="33" w:line="191" w:lineRule="auto"/>
              <w:ind w:left="102"/>
              <w:rPr>
                <w:rFonts w:asciiTheme="minorEastAsia" w:hAnsiTheme="minorEastAsia" w:eastAsiaTheme="minorEastAsia"/>
                <w:spacing w:val="10"/>
                <w:sz w:val="20"/>
                <w:szCs w:val="20"/>
                <w:lang w:eastAsia="zh-CN"/>
              </w:rPr>
            </w:pPr>
            <w:r>
              <w:rPr>
                <w:rFonts w:hint="eastAsia" w:asciiTheme="minorEastAsia" w:hAnsiTheme="minorEastAsia" w:eastAsiaTheme="minorEastAsia"/>
                <w:spacing w:val="10"/>
                <w:sz w:val="20"/>
                <w:szCs w:val="20"/>
                <w:lang w:eastAsia="zh-CN"/>
              </w:rPr>
              <w:t>重度残疾人生活补贴月均保障人数</w:t>
            </w:r>
            <w:r>
              <w:rPr>
                <w:rFonts w:asciiTheme="minorEastAsia" w:hAnsiTheme="minorEastAsia" w:eastAsiaTheme="minorEastAsia"/>
                <w:spacing w:val="10"/>
                <w:sz w:val="20"/>
                <w:szCs w:val="20"/>
                <w:lang w:eastAsia="zh-CN"/>
              </w:rPr>
              <w:tab/>
            </w:r>
          </w:p>
        </w:tc>
        <w:tc>
          <w:tcPr>
            <w:tcW w:w="11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3320</w:t>
            </w:r>
            <w:r>
              <w:rPr>
                <w:rFonts w:hint="eastAsia" w:asciiTheme="minorEastAsia" w:hAnsiTheme="minorEastAsia" w:eastAsiaTheme="minorEastAsia"/>
                <w:sz w:val="20"/>
                <w:szCs w:val="20"/>
              </w:rPr>
              <w:t>人</w:t>
            </w:r>
          </w:p>
        </w:tc>
        <w:tc>
          <w:tcPr>
            <w:tcW w:w="12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3320</w:t>
            </w:r>
            <w:r>
              <w:rPr>
                <w:rFonts w:hint="eastAsia" w:asciiTheme="minorEastAsia" w:hAnsiTheme="minorEastAsia" w:eastAsiaTheme="minorEastAsia"/>
                <w:sz w:val="20"/>
                <w:szCs w:val="20"/>
              </w:rPr>
              <w:t>人</w:t>
            </w:r>
          </w:p>
        </w:tc>
        <w:tc>
          <w:tcPr>
            <w:tcW w:w="809" w:type="dxa"/>
          </w:tcPr>
          <w:p>
            <w:pPr>
              <w:keepNext w:val="0"/>
              <w:keepLines w:val="0"/>
              <w:pageBreakBefore w:val="0"/>
              <w:kinsoku/>
              <w:wordWrap/>
              <w:overflowPunct/>
              <w:topLinePunct w:val="0"/>
              <w:autoSpaceDE/>
              <w:autoSpaceDN/>
              <w:bidi w:val="0"/>
              <w:adjustRightInd w:val="0"/>
              <w:snapToGrid w:val="0"/>
              <w:spacing w:line="22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889" w:type="dxa"/>
          </w:tcPr>
          <w:p>
            <w:pPr>
              <w:keepNext w:val="0"/>
              <w:keepLines w:val="0"/>
              <w:pageBreakBefore w:val="0"/>
              <w:kinsoku/>
              <w:wordWrap/>
              <w:overflowPunct/>
              <w:topLinePunct w:val="0"/>
              <w:autoSpaceDE/>
              <w:autoSpaceDN/>
              <w:bidi w:val="0"/>
              <w:adjustRightInd w:val="0"/>
              <w:snapToGrid w:val="0"/>
              <w:spacing w:line="22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1333" w:type="dxa"/>
          </w:tcPr>
          <w:p>
            <w:pPr>
              <w:keepNext w:val="0"/>
              <w:keepLines w:val="0"/>
              <w:pageBreakBefore w:val="0"/>
              <w:kinsoku/>
              <w:wordWrap/>
              <w:overflowPunct/>
              <w:topLinePunct w:val="0"/>
              <w:autoSpaceDE/>
              <w:autoSpaceDN/>
              <w:bidi w:val="0"/>
              <w:adjustRightInd w:val="0"/>
              <w:snapToGrid w:val="0"/>
              <w:spacing w:line="220" w:lineRule="exact"/>
              <w:rPr>
                <w:rFonts w:asciiTheme="minorEastAsia" w:hAnsiTheme="minorEastAsia" w:eastAsiaTheme="minorEastAsia"/>
                <w:sz w:val="20"/>
                <w:szCs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224" w:type="dxa"/>
            <w:vMerge w:val="continue"/>
            <w:tcBorders>
              <w:top w:val="nil"/>
              <w:bottom w:val="nil"/>
            </w:tcBorders>
            <w:textDirection w:val="tbRlV"/>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tc>
        <w:tc>
          <w:tcPr>
            <w:tcW w:w="929" w:type="dxa"/>
            <w:vMerge w:val="continue"/>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tc>
        <w:tc>
          <w:tcPr>
            <w:tcW w:w="9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162" w:line="207" w:lineRule="auto"/>
              <w:ind w:left="371" w:right="163" w:hanging="200"/>
              <w:rPr>
                <w:rFonts w:asciiTheme="minorEastAsia" w:hAnsiTheme="minorEastAsia" w:eastAsiaTheme="minorEastAsia"/>
                <w:sz w:val="20"/>
                <w:szCs w:val="20"/>
              </w:rPr>
            </w:pPr>
            <w:r>
              <w:rPr>
                <w:rFonts w:asciiTheme="minorEastAsia" w:hAnsiTheme="minorEastAsia" w:eastAsiaTheme="minorEastAsia"/>
                <w:spacing w:val="4"/>
                <w:sz w:val="20"/>
                <w:szCs w:val="20"/>
              </w:rPr>
              <w:t>质量指</w:t>
            </w:r>
            <w:r>
              <w:rPr>
                <w:rFonts w:asciiTheme="minorEastAsia" w:hAnsiTheme="minorEastAsia" w:eastAsiaTheme="minorEastAsia"/>
                <w:sz w:val="20"/>
                <w:szCs w:val="20"/>
              </w:rPr>
              <w:t xml:space="preserve"> 标</w:t>
            </w:r>
          </w:p>
        </w:tc>
        <w:tc>
          <w:tcPr>
            <w:tcW w:w="1278" w:type="dxa"/>
          </w:tcPr>
          <w:p>
            <w:pPr>
              <w:pStyle w:val="12"/>
              <w:keepNext w:val="0"/>
              <w:keepLines w:val="0"/>
              <w:pageBreakBefore w:val="0"/>
              <w:kinsoku/>
              <w:wordWrap/>
              <w:overflowPunct/>
              <w:topLinePunct w:val="0"/>
              <w:autoSpaceDE/>
              <w:autoSpaceDN/>
              <w:bidi w:val="0"/>
              <w:adjustRightInd w:val="0"/>
              <w:snapToGrid w:val="0"/>
              <w:spacing w:before="23" w:line="190" w:lineRule="auto"/>
              <w:ind w:left="102"/>
              <w:rPr>
                <w:rFonts w:asciiTheme="minorEastAsia" w:hAnsiTheme="minorEastAsia" w:eastAsiaTheme="minorEastAsia"/>
                <w:sz w:val="20"/>
                <w:szCs w:val="20"/>
                <w:lang w:eastAsia="zh-CN"/>
              </w:rPr>
            </w:pPr>
            <w:r>
              <w:rPr>
                <w:rFonts w:hint="eastAsia" w:asciiTheme="minorEastAsia" w:hAnsiTheme="minorEastAsia" w:eastAsiaTheme="minorEastAsia"/>
                <w:spacing w:val="10"/>
                <w:sz w:val="20"/>
                <w:szCs w:val="20"/>
                <w:lang w:eastAsia="zh-CN"/>
              </w:rPr>
              <w:t>城乡低保标准和救助水平</w:t>
            </w:r>
            <w:r>
              <w:rPr>
                <w:rFonts w:asciiTheme="minorEastAsia" w:hAnsiTheme="minorEastAsia" w:eastAsiaTheme="minorEastAsia"/>
                <w:spacing w:val="10"/>
                <w:sz w:val="20"/>
                <w:szCs w:val="20"/>
                <w:lang w:eastAsia="zh-CN"/>
              </w:rPr>
              <w:tab/>
            </w:r>
          </w:p>
        </w:tc>
        <w:tc>
          <w:tcPr>
            <w:tcW w:w="11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不低于省级指导标准</w:t>
            </w:r>
          </w:p>
        </w:tc>
        <w:tc>
          <w:tcPr>
            <w:tcW w:w="12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不低于省级指导标准</w:t>
            </w:r>
          </w:p>
        </w:tc>
        <w:tc>
          <w:tcPr>
            <w:tcW w:w="809" w:type="dxa"/>
          </w:tcPr>
          <w:p>
            <w:pPr>
              <w:keepNext w:val="0"/>
              <w:keepLines w:val="0"/>
              <w:pageBreakBefore w:val="0"/>
              <w:kinsoku/>
              <w:wordWrap/>
              <w:overflowPunct/>
              <w:topLinePunct w:val="0"/>
              <w:autoSpaceDE/>
              <w:autoSpaceDN/>
              <w:bidi w:val="0"/>
              <w:adjustRightInd w:val="0"/>
              <w:snapToGrid w:val="0"/>
              <w:spacing w:line="229"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5</w:t>
            </w:r>
          </w:p>
        </w:tc>
        <w:tc>
          <w:tcPr>
            <w:tcW w:w="889" w:type="dxa"/>
          </w:tcPr>
          <w:p>
            <w:pPr>
              <w:keepNext w:val="0"/>
              <w:keepLines w:val="0"/>
              <w:pageBreakBefore w:val="0"/>
              <w:kinsoku/>
              <w:wordWrap/>
              <w:overflowPunct/>
              <w:topLinePunct w:val="0"/>
              <w:autoSpaceDE/>
              <w:autoSpaceDN/>
              <w:bidi w:val="0"/>
              <w:adjustRightInd w:val="0"/>
              <w:snapToGrid w:val="0"/>
              <w:spacing w:line="229"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5</w:t>
            </w:r>
          </w:p>
        </w:tc>
        <w:tc>
          <w:tcPr>
            <w:tcW w:w="1333" w:type="dxa"/>
          </w:tcPr>
          <w:p>
            <w:pPr>
              <w:keepNext w:val="0"/>
              <w:keepLines w:val="0"/>
              <w:pageBreakBefore w:val="0"/>
              <w:kinsoku/>
              <w:wordWrap/>
              <w:overflowPunct/>
              <w:topLinePunct w:val="0"/>
              <w:autoSpaceDE/>
              <w:autoSpaceDN/>
              <w:bidi w:val="0"/>
              <w:adjustRightInd w:val="0"/>
              <w:snapToGrid w:val="0"/>
              <w:spacing w:line="229" w:lineRule="exact"/>
              <w:rPr>
                <w:rFonts w:asciiTheme="minorEastAsia" w:hAnsiTheme="minorEastAsia" w:eastAsiaTheme="minorEastAsia"/>
                <w:sz w:val="20"/>
                <w:szCs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24" w:type="dxa"/>
            <w:vMerge w:val="continue"/>
            <w:tcBorders>
              <w:top w:val="nil"/>
              <w:bottom w:val="nil"/>
            </w:tcBorders>
            <w:textDirection w:val="tbRlV"/>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929" w:type="dxa"/>
            <w:vMerge w:val="continue"/>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9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163" w:line="207" w:lineRule="auto"/>
              <w:ind w:left="371" w:right="163" w:hanging="200"/>
              <w:rPr>
                <w:rFonts w:asciiTheme="minorEastAsia" w:hAnsiTheme="minorEastAsia" w:eastAsiaTheme="minorEastAsia"/>
                <w:sz w:val="20"/>
                <w:szCs w:val="20"/>
              </w:rPr>
            </w:pPr>
            <w:r>
              <w:rPr>
                <w:rFonts w:asciiTheme="minorEastAsia" w:hAnsiTheme="minorEastAsia" w:eastAsiaTheme="minorEastAsia"/>
                <w:spacing w:val="4"/>
                <w:sz w:val="20"/>
                <w:szCs w:val="20"/>
              </w:rPr>
              <w:t>时效指</w:t>
            </w:r>
            <w:r>
              <w:rPr>
                <w:rFonts w:asciiTheme="minorEastAsia" w:hAnsiTheme="minorEastAsia" w:eastAsiaTheme="minorEastAsia"/>
                <w:sz w:val="20"/>
                <w:szCs w:val="20"/>
              </w:rPr>
              <w:t xml:space="preserve"> 标</w:t>
            </w:r>
          </w:p>
        </w:tc>
        <w:tc>
          <w:tcPr>
            <w:tcW w:w="1278" w:type="dxa"/>
          </w:tcPr>
          <w:p>
            <w:pPr>
              <w:pStyle w:val="12"/>
              <w:keepNext w:val="0"/>
              <w:keepLines w:val="0"/>
              <w:pageBreakBefore w:val="0"/>
              <w:kinsoku/>
              <w:wordWrap/>
              <w:overflowPunct/>
              <w:topLinePunct w:val="0"/>
              <w:autoSpaceDE/>
              <w:autoSpaceDN/>
              <w:bidi w:val="0"/>
              <w:adjustRightInd w:val="0"/>
              <w:snapToGrid w:val="0"/>
              <w:spacing w:before="24" w:line="190" w:lineRule="auto"/>
              <w:ind w:left="102"/>
              <w:rPr>
                <w:rFonts w:asciiTheme="minorEastAsia" w:hAnsiTheme="minorEastAsia" w:eastAsiaTheme="minorEastAsia"/>
                <w:sz w:val="20"/>
                <w:szCs w:val="20"/>
              </w:rPr>
            </w:pPr>
            <w:r>
              <w:rPr>
                <w:rFonts w:hint="eastAsia" w:asciiTheme="minorEastAsia" w:hAnsiTheme="minorEastAsia" w:eastAsiaTheme="minorEastAsia"/>
                <w:spacing w:val="10"/>
                <w:sz w:val="20"/>
                <w:szCs w:val="20"/>
              </w:rPr>
              <w:t>资金按时发放时限</w:t>
            </w:r>
            <w:r>
              <w:rPr>
                <w:rFonts w:asciiTheme="minorEastAsia" w:hAnsiTheme="minorEastAsia" w:eastAsiaTheme="minorEastAsia"/>
                <w:spacing w:val="10"/>
                <w:sz w:val="20"/>
                <w:szCs w:val="20"/>
              </w:rPr>
              <w:tab/>
            </w:r>
          </w:p>
        </w:tc>
        <w:tc>
          <w:tcPr>
            <w:tcW w:w="11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按时发放</w:t>
            </w:r>
          </w:p>
        </w:tc>
        <w:tc>
          <w:tcPr>
            <w:tcW w:w="12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按时发放</w:t>
            </w:r>
          </w:p>
        </w:tc>
        <w:tc>
          <w:tcPr>
            <w:tcW w:w="809" w:type="dxa"/>
          </w:tcPr>
          <w:p>
            <w:pPr>
              <w:keepNext w:val="0"/>
              <w:keepLines w:val="0"/>
              <w:pageBreakBefore w:val="0"/>
              <w:kinsoku/>
              <w:wordWrap/>
              <w:overflowPunct/>
              <w:topLinePunct w:val="0"/>
              <w:autoSpaceDE/>
              <w:autoSpaceDN/>
              <w:bidi w:val="0"/>
              <w:adjustRightInd w:val="0"/>
              <w:snapToGrid w:val="0"/>
              <w:spacing w:line="23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5</w:t>
            </w:r>
          </w:p>
        </w:tc>
        <w:tc>
          <w:tcPr>
            <w:tcW w:w="889" w:type="dxa"/>
          </w:tcPr>
          <w:p>
            <w:pPr>
              <w:keepNext w:val="0"/>
              <w:keepLines w:val="0"/>
              <w:pageBreakBefore w:val="0"/>
              <w:kinsoku/>
              <w:wordWrap/>
              <w:overflowPunct/>
              <w:topLinePunct w:val="0"/>
              <w:autoSpaceDE/>
              <w:autoSpaceDN/>
              <w:bidi w:val="0"/>
              <w:adjustRightInd w:val="0"/>
              <w:snapToGrid w:val="0"/>
              <w:spacing w:line="23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5</w:t>
            </w:r>
          </w:p>
        </w:tc>
        <w:tc>
          <w:tcPr>
            <w:tcW w:w="1333" w:type="dxa"/>
          </w:tcPr>
          <w:p>
            <w:pPr>
              <w:keepNext w:val="0"/>
              <w:keepLines w:val="0"/>
              <w:pageBreakBefore w:val="0"/>
              <w:kinsoku/>
              <w:wordWrap/>
              <w:overflowPunct/>
              <w:topLinePunct w:val="0"/>
              <w:autoSpaceDE/>
              <w:autoSpaceDN/>
              <w:bidi w:val="0"/>
              <w:adjustRightInd w:val="0"/>
              <w:snapToGrid w:val="0"/>
              <w:spacing w:line="230" w:lineRule="exact"/>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24" w:type="dxa"/>
            <w:vMerge w:val="continue"/>
            <w:tcBorders>
              <w:top w:val="nil"/>
              <w:bottom w:val="nil"/>
            </w:tcBorders>
            <w:textDirection w:val="tbRlV"/>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92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9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4"/>
                <w:sz w:val="20"/>
                <w:szCs w:val="20"/>
              </w:rPr>
            </w:pPr>
            <w:r>
              <w:rPr>
                <w:rFonts w:hint="eastAsia" w:asciiTheme="minorEastAsia" w:hAnsiTheme="minorEastAsia" w:eastAsiaTheme="minorEastAsia"/>
                <w:spacing w:val="1"/>
                <w:sz w:val="20"/>
                <w:szCs w:val="20"/>
                <w:lang w:val="en-US" w:eastAsia="zh-CN"/>
              </w:rPr>
              <w:t>成本指标</w:t>
            </w:r>
          </w:p>
        </w:tc>
        <w:tc>
          <w:tcPr>
            <w:tcW w:w="127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pacing w:val="10"/>
                <w:sz w:val="20"/>
                <w:szCs w:val="20"/>
              </w:rPr>
            </w:pPr>
            <w:r>
              <w:rPr>
                <w:rFonts w:hint="eastAsia" w:ascii="宋体" w:hAnsi="宋体" w:eastAsia="宋体" w:cs="宋体"/>
                <w:sz w:val="20"/>
                <w:szCs w:val="20"/>
              </w:rPr>
              <w:t>成本控制率</w:t>
            </w:r>
          </w:p>
        </w:tc>
        <w:tc>
          <w:tcPr>
            <w:tcW w:w="118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2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0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88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1333" w:type="dxa"/>
          </w:tcPr>
          <w:p>
            <w:pPr>
              <w:keepNext w:val="0"/>
              <w:keepLines w:val="0"/>
              <w:pageBreakBefore w:val="0"/>
              <w:kinsoku/>
              <w:wordWrap/>
              <w:overflowPunct/>
              <w:topLinePunct w:val="0"/>
              <w:autoSpaceDE/>
              <w:autoSpaceDN/>
              <w:bidi w:val="0"/>
              <w:adjustRightInd w:val="0"/>
              <w:snapToGrid w:val="0"/>
              <w:spacing w:line="230" w:lineRule="exact"/>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24" w:type="dxa"/>
            <w:vMerge w:val="continue"/>
            <w:tcBorders>
              <w:top w:val="nil"/>
              <w:bottom w:val="nil"/>
            </w:tcBorders>
            <w:textDirection w:val="tbRlV"/>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92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pacing w:val="-10"/>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pacing w:val="-10"/>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pacing w:val="-10"/>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pacing w:val="-10"/>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pacing w:val="-10"/>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pacing w:val="-10"/>
                <w:sz w:val="20"/>
                <w:szCs w:val="20"/>
                <w:lang w:eastAsia="zh-CN"/>
              </w:rPr>
            </w:pPr>
            <w:bookmarkStart w:id="0" w:name="_GoBack"/>
            <w:bookmarkEnd w:id="0"/>
            <w:r>
              <w:rPr>
                <w:rFonts w:hint="eastAsia" w:cs="宋体" w:asciiTheme="minorEastAsia" w:hAnsiTheme="minorEastAsia" w:eastAsiaTheme="minorEastAsia"/>
                <w:spacing w:val="-10"/>
                <w:sz w:val="20"/>
                <w:szCs w:val="20"/>
                <w:lang w:eastAsia="zh-CN"/>
              </w:rPr>
              <w:t>效益指标</w:t>
            </w:r>
            <w:r>
              <w:rPr>
                <w:rFonts w:asciiTheme="minorEastAsia" w:hAnsiTheme="minorEastAsia" w:eastAsiaTheme="minorEastAsia"/>
                <w:spacing w:val="-10"/>
                <w:sz w:val="20"/>
                <w:szCs w:val="20"/>
              </w:rPr>
              <w:t>(</w:t>
            </w:r>
            <w:r>
              <w:rPr>
                <w:rFonts w:hint="eastAsia" w:asciiTheme="minorEastAsia" w:hAnsiTheme="minorEastAsia" w:eastAsiaTheme="minorEastAsia"/>
                <w:spacing w:val="-10"/>
                <w:sz w:val="20"/>
                <w:szCs w:val="20"/>
                <w:lang w:val="en-US" w:eastAsia="zh-CN"/>
              </w:rPr>
              <w:t>4</w:t>
            </w:r>
            <w:r>
              <w:rPr>
                <w:rFonts w:hint="eastAsia" w:asciiTheme="minorEastAsia" w:hAnsiTheme="minorEastAsia" w:eastAsiaTheme="minorEastAsia"/>
                <w:spacing w:val="-10"/>
                <w:sz w:val="20"/>
                <w:szCs w:val="20"/>
                <w:lang w:eastAsia="zh-CN"/>
              </w:rPr>
              <w:t>0</w:t>
            </w:r>
            <w:r>
              <w:rPr>
                <w:rFonts w:hint="eastAsia" w:cs="宋体" w:asciiTheme="minorEastAsia" w:hAnsiTheme="minorEastAsia" w:eastAsiaTheme="minorEastAsia"/>
                <w:spacing w:val="-6"/>
                <w:sz w:val="20"/>
                <w:szCs w:val="20"/>
              </w:rPr>
              <w:t>分</w:t>
            </w:r>
            <w:r>
              <w:rPr>
                <w:rFonts w:asciiTheme="minorEastAsia" w:hAnsiTheme="minorEastAsia" w:eastAsiaTheme="minorEastAsia"/>
                <w:spacing w:val="-37"/>
                <w:sz w:val="20"/>
                <w:szCs w:val="20"/>
              </w:rPr>
              <w:t xml:space="preserve"> </w:t>
            </w:r>
            <w:r>
              <w:rPr>
                <w:rFonts w:asciiTheme="minorEastAsia" w:hAnsiTheme="minorEastAsia" w:eastAsiaTheme="minorEastAsia"/>
                <w:spacing w:val="-6"/>
                <w:sz w:val="20"/>
                <w:szCs w:val="20"/>
              </w:rPr>
              <w:t>)</w:t>
            </w:r>
          </w:p>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pacing w:val="-10"/>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9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163" w:line="208" w:lineRule="auto"/>
              <w:ind w:left="141" w:right="186" w:firstLine="29"/>
              <w:rPr>
                <w:rFonts w:asciiTheme="minorEastAsia" w:hAnsiTheme="minorEastAsia" w:eastAsiaTheme="minorEastAsia"/>
                <w:sz w:val="20"/>
                <w:szCs w:val="20"/>
              </w:rPr>
            </w:pPr>
            <w:r>
              <w:rPr>
                <w:rFonts w:asciiTheme="minorEastAsia" w:hAnsiTheme="minorEastAsia" w:eastAsiaTheme="minorEastAsia"/>
                <w:spacing w:val="-4"/>
                <w:sz w:val="20"/>
                <w:szCs w:val="20"/>
              </w:rPr>
              <w:t>社会效</w:t>
            </w:r>
            <w:r>
              <w:rPr>
                <w:rFonts w:asciiTheme="minorEastAsia" w:hAnsiTheme="minorEastAsia" w:eastAsiaTheme="minorEastAsia"/>
                <w:spacing w:val="1"/>
                <w:sz w:val="20"/>
                <w:szCs w:val="20"/>
              </w:rPr>
              <w:t xml:space="preserve"> </w:t>
            </w:r>
            <w:r>
              <w:rPr>
                <w:rFonts w:asciiTheme="minorEastAsia" w:hAnsiTheme="minorEastAsia" w:eastAsiaTheme="minorEastAsia"/>
                <w:spacing w:val="-3"/>
                <w:sz w:val="20"/>
                <w:szCs w:val="20"/>
              </w:rPr>
              <w:t>益指标</w:t>
            </w:r>
          </w:p>
        </w:tc>
        <w:tc>
          <w:tcPr>
            <w:tcW w:w="1278"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困难群众生活保障</w:t>
            </w:r>
          </w:p>
        </w:tc>
        <w:tc>
          <w:tcPr>
            <w:tcW w:w="11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困难群众基本生活得到保障</w:t>
            </w:r>
          </w:p>
        </w:tc>
        <w:tc>
          <w:tcPr>
            <w:tcW w:w="12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困难群众基本生活得到保障</w:t>
            </w:r>
          </w:p>
        </w:tc>
        <w:tc>
          <w:tcPr>
            <w:tcW w:w="80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eastAsia="zh-CN"/>
              </w:rPr>
              <w:t>30</w:t>
            </w:r>
          </w:p>
        </w:tc>
        <w:tc>
          <w:tcPr>
            <w:tcW w:w="889" w:type="dxa"/>
          </w:tcPr>
          <w:p>
            <w:pPr>
              <w:keepNext w:val="0"/>
              <w:keepLines w:val="0"/>
              <w:pageBreakBefore w:val="0"/>
              <w:kinsoku/>
              <w:wordWrap/>
              <w:overflowPunct/>
              <w:topLinePunct w:val="0"/>
              <w:autoSpaceDE/>
              <w:autoSpaceDN/>
              <w:bidi w:val="0"/>
              <w:adjustRightInd w:val="0"/>
              <w:snapToGrid w:val="0"/>
              <w:spacing w:line="220" w:lineRule="exact"/>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20" w:lineRule="exact"/>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30</w:t>
            </w:r>
          </w:p>
        </w:tc>
        <w:tc>
          <w:tcPr>
            <w:tcW w:w="1333" w:type="dxa"/>
          </w:tcPr>
          <w:p>
            <w:pPr>
              <w:keepNext w:val="0"/>
              <w:keepLines w:val="0"/>
              <w:pageBreakBefore w:val="0"/>
              <w:kinsoku/>
              <w:wordWrap/>
              <w:overflowPunct/>
              <w:topLinePunct w:val="0"/>
              <w:autoSpaceDE/>
              <w:autoSpaceDN/>
              <w:bidi w:val="0"/>
              <w:adjustRightInd w:val="0"/>
              <w:snapToGrid w:val="0"/>
              <w:spacing w:line="220" w:lineRule="exact"/>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224" w:type="dxa"/>
            <w:vMerge w:val="continue"/>
            <w:tcBorders>
              <w:top w:val="nil"/>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929" w:type="dxa"/>
            <w:vMerge w:val="continue"/>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959"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207" w:line="215" w:lineRule="auto"/>
              <w:ind w:left="171" w:right="163"/>
              <w:jc w:val="both"/>
              <w:rPr>
                <w:rFonts w:asciiTheme="minorEastAsia" w:hAnsiTheme="minorEastAsia" w:eastAsiaTheme="minorEastAsia"/>
                <w:spacing w:val="-3"/>
                <w:sz w:val="20"/>
                <w:szCs w:val="20"/>
              </w:rPr>
            </w:pPr>
          </w:p>
          <w:p>
            <w:pPr>
              <w:pStyle w:val="12"/>
              <w:keepNext w:val="0"/>
              <w:keepLines w:val="0"/>
              <w:pageBreakBefore w:val="0"/>
              <w:kinsoku/>
              <w:wordWrap/>
              <w:overflowPunct/>
              <w:topLinePunct w:val="0"/>
              <w:autoSpaceDE/>
              <w:autoSpaceDN/>
              <w:bidi w:val="0"/>
              <w:adjustRightInd w:val="0"/>
              <w:snapToGrid w:val="0"/>
              <w:spacing w:before="207" w:line="215" w:lineRule="auto"/>
              <w:ind w:left="171" w:right="163"/>
              <w:jc w:val="both"/>
              <w:rPr>
                <w:rFonts w:asciiTheme="minorEastAsia" w:hAnsiTheme="minorEastAsia" w:eastAsiaTheme="minorEastAsia"/>
                <w:sz w:val="20"/>
                <w:szCs w:val="20"/>
              </w:rPr>
            </w:pPr>
            <w:r>
              <w:rPr>
                <w:rFonts w:asciiTheme="minorEastAsia" w:hAnsiTheme="minorEastAsia" w:eastAsiaTheme="minorEastAsia"/>
                <w:spacing w:val="-3"/>
                <w:sz w:val="20"/>
                <w:szCs w:val="20"/>
              </w:rPr>
              <w:t>服务对</w:t>
            </w:r>
            <w:r>
              <w:rPr>
                <w:rFonts w:asciiTheme="minorEastAsia" w:hAnsiTheme="minorEastAsia" w:eastAsiaTheme="minorEastAsia"/>
                <w:sz w:val="20"/>
                <w:szCs w:val="20"/>
              </w:rPr>
              <w:t xml:space="preserve"> </w:t>
            </w:r>
            <w:r>
              <w:rPr>
                <w:rFonts w:asciiTheme="minorEastAsia" w:hAnsiTheme="minorEastAsia" w:eastAsiaTheme="minorEastAsia"/>
                <w:spacing w:val="4"/>
                <w:sz w:val="20"/>
                <w:szCs w:val="20"/>
              </w:rPr>
              <w:t>象满意</w:t>
            </w:r>
            <w:r>
              <w:rPr>
                <w:rFonts w:asciiTheme="minorEastAsia" w:hAnsiTheme="minorEastAsia" w:eastAsiaTheme="minorEastAsia"/>
                <w:sz w:val="20"/>
                <w:szCs w:val="20"/>
              </w:rPr>
              <w:t xml:space="preserve"> </w:t>
            </w:r>
            <w:r>
              <w:rPr>
                <w:rFonts w:asciiTheme="minorEastAsia" w:hAnsiTheme="minorEastAsia" w:eastAsiaTheme="minorEastAsia"/>
                <w:spacing w:val="-2"/>
                <w:sz w:val="20"/>
                <w:szCs w:val="20"/>
              </w:rPr>
              <w:t>度指标</w:t>
            </w:r>
          </w:p>
        </w:tc>
        <w:tc>
          <w:tcPr>
            <w:tcW w:w="1278"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2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0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8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4</w:t>
            </w:r>
          </w:p>
        </w:tc>
        <w:tc>
          <w:tcPr>
            <w:tcW w:w="133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24" w:type="dxa"/>
            <w:vMerge w:val="continue"/>
            <w:tcBorders>
              <w:top w:val="nil"/>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92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959"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278"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1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2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0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88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4</w:t>
            </w:r>
          </w:p>
        </w:tc>
        <w:tc>
          <w:tcPr>
            <w:tcW w:w="133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6858" w:type="dxa"/>
            <w:gridSpan w:val="6"/>
          </w:tcPr>
          <w:p>
            <w:pPr>
              <w:pStyle w:val="12"/>
              <w:keepNext w:val="0"/>
              <w:keepLines w:val="0"/>
              <w:pageBreakBefore w:val="0"/>
              <w:kinsoku/>
              <w:wordWrap/>
              <w:overflowPunct/>
              <w:topLinePunct w:val="0"/>
              <w:autoSpaceDE/>
              <w:autoSpaceDN/>
              <w:bidi w:val="0"/>
              <w:adjustRightInd w:val="0"/>
              <w:snapToGrid w:val="0"/>
              <w:spacing w:before="49" w:line="199" w:lineRule="auto"/>
              <w:ind w:left="322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09" w:type="dxa"/>
          </w:tcPr>
          <w:p>
            <w:pPr>
              <w:pStyle w:val="12"/>
              <w:keepNext w:val="0"/>
              <w:keepLines w:val="0"/>
              <w:pageBreakBefore w:val="0"/>
              <w:kinsoku/>
              <w:wordWrap/>
              <w:overflowPunct/>
              <w:topLinePunct w:val="0"/>
              <w:autoSpaceDE/>
              <w:autoSpaceDN/>
              <w:bidi w:val="0"/>
              <w:adjustRightInd w:val="0"/>
              <w:snapToGrid w:val="0"/>
              <w:spacing w:before="49" w:line="199" w:lineRule="auto"/>
              <w:ind w:left="14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8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6.3</w:t>
            </w:r>
            <w:r>
              <w:rPr>
                <w:rFonts w:hint="eastAsia" w:asciiTheme="minorEastAsia" w:hAnsiTheme="minorEastAsia" w:eastAsiaTheme="minorEastAsia"/>
                <w:sz w:val="20"/>
                <w:szCs w:val="20"/>
                <w:lang w:eastAsia="zh-CN"/>
              </w:rPr>
              <w:t>分</w:t>
            </w:r>
          </w:p>
        </w:tc>
        <w:tc>
          <w:tcPr>
            <w:tcW w:w="133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9" w:line="234" w:lineRule="auto"/>
        <w:ind w:left="484"/>
        <w:rPr>
          <w:sz w:val="20"/>
          <w:szCs w:val="20"/>
          <w:lang w:eastAsia="zh-CN"/>
        </w:rPr>
      </w:pPr>
      <w:r>
        <w:rPr>
          <w:spacing w:val="-12"/>
          <w:position w:val="-1"/>
          <w:sz w:val="20"/>
          <w:szCs w:val="20"/>
          <w:lang w:eastAsia="zh-CN"/>
        </w:rPr>
        <w:t>填表人：</w:t>
      </w:r>
      <w:r>
        <w:rPr>
          <w:rFonts w:hint="eastAsia"/>
          <w:spacing w:val="-12"/>
          <w:position w:val="-1"/>
          <w:sz w:val="20"/>
          <w:szCs w:val="20"/>
          <w:lang w:eastAsia="zh-CN"/>
        </w:rPr>
        <w:t>何方莉</w:t>
      </w:r>
      <w:r>
        <w:rPr>
          <w:spacing w:val="8"/>
          <w:position w:val="-1"/>
          <w:sz w:val="20"/>
          <w:szCs w:val="20"/>
          <w:lang w:eastAsia="zh-CN"/>
        </w:rPr>
        <w:t xml:space="preserve">      </w:t>
      </w:r>
      <w:r>
        <w:rPr>
          <w:spacing w:val="-12"/>
          <w:position w:val="-1"/>
          <w:sz w:val="20"/>
          <w:szCs w:val="20"/>
          <w:lang w:eastAsia="zh-CN"/>
        </w:rPr>
        <w:t>填报日期：</w:t>
      </w:r>
      <w:r>
        <w:rPr>
          <w:rFonts w:hint="eastAsia"/>
          <w:spacing w:val="-12"/>
          <w:position w:val="-1"/>
          <w:sz w:val="20"/>
          <w:szCs w:val="20"/>
          <w:lang w:eastAsia="zh-CN"/>
        </w:rPr>
        <w:t>2025.5.19</w:t>
      </w:r>
      <w:r>
        <w:rPr>
          <w:spacing w:val="-12"/>
          <w:position w:val="-1"/>
          <w:sz w:val="20"/>
          <w:szCs w:val="20"/>
          <w:lang w:eastAsia="zh-CN"/>
        </w:rPr>
        <w:t xml:space="preserve">  </w:t>
      </w:r>
      <w:r>
        <w:rPr>
          <w:spacing w:val="-12"/>
          <w:sz w:val="20"/>
          <w:szCs w:val="20"/>
          <w:lang w:eastAsia="zh-CN"/>
        </w:rPr>
        <w:t>联系电话</w:t>
      </w:r>
      <w:r>
        <w:rPr>
          <w:spacing w:val="-13"/>
          <w:sz w:val="20"/>
          <w:szCs w:val="20"/>
          <w:lang w:eastAsia="zh-CN"/>
        </w:rPr>
        <w:t>：</w:t>
      </w:r>
      <w:r>
        <w:rPr>
          <w:spacing w:val="3"/>
          <w:sz w:val="20"/>
          <w:szCs w:val="20"/>
          <w:lang w:eastAsia="zh-CN"/>
        </w:rPr>
        <w:t xml:space="preserve"> 4322806   </w:t>
      </w:r>
      <w:r>
        <w:rPr>
          <w:spacing w:val="-13"/>
          <w:sz w:val="20"/>
          <w:szCs w:val="20"/>
          <w:lang w:eastAsia="zh-CN"/>
        </w:rPr>
        <w:t>单位负责人签字：</w:t>
      </w:r>
    </w:p>
    <w:p>
      <w:pPr>
        <w:keepNext w:val="0"/>
        <w:keepLines w:val="0"/>
        <w:pageBreakBefore w:val="0"/>
        <w:kinsoku/>
        <w:wordWrap/>
        <w:overflowPunct/>
        <w:topLinePunct w:val="0"/>
        <w:autoSpaceDE/>
        <w:autoSpaceDN/>
        <w:bidi w:val="0"/>
        <w:adjustRightInd w:val="0"/>
        <w:snapToGrid w:val="0"/>
        <w:spacing w:line="234" w:lineRule="auto"/>
        <w:rPr>
          <w:sz w:val="20"/>
          <w:szCs w:val="20"/>
          <w:lang w:eastAsia="zh-CN"/>
        </w:rPr>
        <w:sectPr>
          <w:footerReference r:id="rId4" w:type="default"/>
          <w:pgSz w:w="11900" w:h="16820"/>
          <w:pgMar w:top="1428" w:right="914" w:bottom="1433" w:left="1085" w:header="0" w:footer="1174" w:gutter="0"/>
          <w:pgNumType w:fmt="decimal"/>
          <w:cols w:space="720" w:num="1"/>
        </w:sectPr>
      </w:pPr>
    </w:p>
    <w:p>
      <w:pPr>
        <w:keepNext w:val="0"/>
        <w:keepLines w:val="0"/>
        <w:pageBreakBefore w:val="0"/>
        <w:kinsoku/>
        <w:wordWrap/>
        <w:overflowPunct/>
        <w:topLinePunct w:val="0"/>
        <w:autoSpaceDE/>
        <w:autoSpaceDN/>
        <w:bidi w:val="0"/>
        <w:adjustRightInd w:val="0"/>
        <w:snapToGrid w:val="0"/>
        <w:spacing w:before="92" w:line="224" w:lineRule="auto"/>
        <w:ind w:left="409"/>
        <w:rPr>
          <w:rFonts w:ascii="黑体" w:hAnsi="黑体" w:eastAsia="黑体" w:cs="黑体"/>
          <w:sz w:val="30"/>
          <w:szCs w:val="30"/>
          <w:lang w:eastAsia="zh-CN"/>
        </w:rPr>
      </w:pPr>
      <w:r>
        <w:rPr>
          <w:rFonts w:ascii="黑体" w:hAnsi="黑体" w:eastAsia="黑体" w:cs="黑体"/>
          <w:b/>
          <w:bCs/>
          <w:spacing w:val="33"/>
          <w:sz w:val="30"/>
          <w:szCs w:val="30"/>
          <w:lang w:eastAsia="zh-CN"/>
        </w:rPr>
        <w:t>附件</w:t>
      </w:r>
      <w:r>
        <w:rPr>
          <w:rFonts w:hint="eastAsia" w:ascii="黑体" w:hAnsi="黑体" w:eastAsia="黑体" w:cs="黑体"/>
          <w:b/>
          <w:bCs/>
          <w:spacing w:val="33"/>
          <w:sz w:val="30"/>
          <w:szCs w:val="30"/>
          <w:lang w:eastAsia="zh-CN"/>
        </w:rPr>
        <w:t>3</w:t>
      </w:r>
      <w:r>
        <w:rPr>
          <w:rFonts w:ascii="黑体" w:hAnsi="黑体" w:eastAsia="黑体" w:cs="黑体"/>
          <w:b/>
          <w:bCs/>
          <w:spacing w:val="33"/>
          <w:sz w:val="30"/>
          <w:szCs w:val="30"/>
          <w:lang w:eastAsia="zh-CN"/>
        </w:rPr>
        <w:t>:</w:t>
      </w: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8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4" w:hRule="atLeast"/>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745" w:type="dxa"/>
            <w:gridSpan w:val="8"/>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rPr>
              <w:t>年初</w:t>
            </w:r>
            <w:r>
              <w:rPr>
                <w:rFonts w:asciiTheme="minorEastAsia" w:hAnsiTheme="minorEastAsia" w:eastAsiaTheme="minorEastAsia"/>
                <w:sz w:val="20"/>
                <w:szCs w:val="20"/>
              </w:rPr>
              <w:t>-</w:t>
            </w:r>
            <w:r>
              <w:rPr>
                <w:rFonts w:hint="eastAsia" w:asciiTheme="minorEastAsia" w:hAnsiTheme="minorEastAsia" w:eastAsiaTheme="minorEastAsia"/>
                <w:sz w:val="20"/>
                <w:szCs w:val="20"/>
              </w:rPr>
              <w:t>城</w:t>
            </w:r>
            <w:r>
              <w:rPr>
                <w:rFonts w:hint="eastAsia" w:asciiTheme="minorEastAsia" w:hAnsiTheme="minorEastAsia" w:eastAsiaTheme="minorEastAsia"/>
                <w:sz w:val="20"/>
                <w:szCs w:val="20"/>
                <w:lang w:eastAsia="zh-CN"/>
              </w:rPr>
              <w:t>乡居民最低生活保障（区级）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310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40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eastAsia="zh-CN"/>
              </w:rPr>
              <w:t>2</w:t>
            </w:r>
            <w:r>
              <w:rPr>
                <w:rFonts w:hint="eastAsia" w:asciiTheme="minorEastAsia" w:hAnsiTheme="minorEastAsia" w:eastAsiaTheme="minorEastAsia"/>
                <w:sz w:val="20"/>
                <w:szCs w:val="20"/>
                <w:lang w:val="en-US" w:eastAsia="zh-CN"/>
              </w:rPr>
              <w:t>99.57</w:t>
            </w:r>
          </w:p>
        </w:tc>
        <w:tc>
          <w:tcPr>
            <w:tcW w:w="1139"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eastAsia="zh-CN"/>
              </w:rPr>
              <w:t>2</w:t>
            </w:r>
            <w:r>
              <w:rPr>
                <w:rFonts w:hint="eastAsia" w:asciiTheme="minorEastAsia" w:hAnsiTheme="minorEastAsia" w:eastAsiaTheme="minorEastAsia"/>
                <w:sz w:val="20"/>
                <w:szCs w:val="20"/>
                <w:lang w:val="en-US" w:eastAsia="zh-CN"/>
              </w:rPr>
              <w:t>99.57</w:t>
            </w:r>
          </w:p>
        </w:tc>
        <w:tc>
          <w:tcPr>
            <w:tcW w:w="1129"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eastAsia="zh-CN"/>
              </w:rPr>
              <w:t>2</w:t>
            </w:r>
            <w:r>
              <w:rPr>
                <w:rFonts w:hint="eastAsia" w:asciiTheme="minorEastAsia" w:hAnsiTheme="minorEastAsia" w:eastAsiaTheme="minorEastAsia"/>
                <w:sz w:val="20"/>
                <w:szCs w:val="20"/>
                <w:lang w:val="en-US" w:eastAsia="zh-CN"/>
              </w:rPr>
              <w:t>99.57</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40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eastAsia="zh-CN"/>
              </w:rPr>
              <w:t>2</w:t>
            </w:r>
            <w:r>
              <w:rPr>
                <w:rFonts w:hint="eastAsia" w:asciiTheme="minorEastAsia" w:hAnsiTheme="minorEastAsia" w:eastAsiaTheme="minorEastAsia"/>
                <w:sz w:val="20"/>
                <w:szCs w:val="20"/>
                <w:lang w:val="en-US" w:eastAsia="zh-CN"/>
              </w:rPr>
              <w:t>99.57</w:t>
            </w:r>
          </w:p>
        </w:tc>
        <w:tc>
          <w:tcPr>
            <w:tcW w:w="1139"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eastAsia="zh-CN"/>
              </w:rPr>
              <w:t>2</w:t>
            </w:r>
            <w:r>
              <w:rPr>
                <w:rFonts w:hint="eastAsia" w:asciiTheme="minorEastAsia" w:hAnsiTheme="minorEastAsia" w:eastAsiaTheme="minorEastAsia"/>
                <w:sz w:val="20"/>
                <w:szCs w:val="20"/>
                <w:lang w:val="en-US" w:eastAsia="zh-CN"/>
              </w:rPr>
              <w:t>99.57</w:t>
            </w:r>
          </w:p>
        </w:tc>
        <w:tc>
          <w:tcPr>
            <w:tcW w:w="1129"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eastAsia="zh-CN"/>
              </w:rPr>
              <w:t>2</w:t>
            </w:r>
            <w:r>
              <w:rPr>
                <w:rFonts w:hint="eastAsia" w:asciiTheme="minorEastAsia" w:hAnsiTheme="minorEastAsia" w:eastAsiaTheme="minorEastAsia"/>
                <w:sz w:val="20"/>
                <w:szCs w:val="20"/>
                <w:lang w:val="en-US" w:eastAsia="zh-CN"/>
              </w:rPr>
              <w:t>99.57</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40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40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40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23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规范城乡低保政策实施，合理确定保障标准，保证困难群众救助资金按时足额发放，使低保对象基本生活得到有效保障。</w:t>
            </w:r>
          </w:p>
        </w:tc>
        <w:tc>
          <w:tcPr>
            <w:tcW w:w="423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已基本规范城乡低保政策实施，合理确定保障标准，保证困难群众救助资金按时足额发放，使低保对象基本生活得到有效保障。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40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低保对象月均保障人数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4</w:t>
            </w:r>
            <w:r>
              <w:rPr>
                <w:rFonts w:hint="eastAsia" w:asciiTheme="minorEastAsia" w:hAnsiTheme="minorEastAsia" w:eastAsiaTheme="minorEastAsia"/>
                <w:sz w:val="20"/>
                <w:szCs w:val="20"/>
                <w:lang w:val="en-US" w:eastAsia="zh-CN"/>
              </w:rPr>
              <w:t>517</w:t>
            </w:r>
            <w:r>
              <w:rPr>
                <w:rFonts w:hint="eastAsia" w:asciiTheme="minorEastAsia" w:hAnsiTheme="minorEastAsia" w:eastAsiaTheme="minorEastAsia"/>
                <w:sz w:val="20"/>
                <w:szCs w:val="20"/>
              </w:rPr>
              <w:t>人</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4</w:t>
            </w:r>
            <w:r>
              <w:rPr>
                <w:rFonts w:hint="eastAsia" w:asciiTheme="minorEastAsia" w:hAnsiTheme="minorEastAsia" w:eastAsiaTheme="minorEastAsia"/>
                <w:sz w:val="20"/>
                <w:szCs w:val="20"/>
                <w:lang w:val="en-US" w:eastAsia="zh-CN"/>
              </w:rPr>
              <w:t>517</w:t>
            </w:r>
            <w:r>
              <w:rPr>
                <w:rFonts w:hint="eastAsia" w:asciiTheme="minorEastAsia" w:hAnsiTheme="minorEastAsia" w:eastAsiaTheme="minorEastAsia"/>
                <w:sz w:val="20"/>
                <w:szCs w:val="20"/>
              </w:rPr>
              <w:t>人</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15</w:t>
            </w:r>
          </w:p>
        </w:tc>
        <w:tc>
          <w:tcPr>
            <w:tcW w:w="140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22"/>
              <w:rPr>
                <w:rFonts w:asciiTheme="minorEastAsia" w:hAnsiTheme="minorEastAsia" w:eastAsiaTheme="minorEastAsia"/>
                <w:spacing w:val="-2"/>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工作规范管理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严格按救助申请审核审批程序规范工作，及时动态管理</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严格按救助申请审核审批程序规范工作，及时动态管理</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20</w:t>
            </w:r>
          </w:p>
        </w:tc>
        <w:tc>
          <w:tcPr>
            <w:tcW w:w="140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资金按时发放时限</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按月发放</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按月发放</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140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140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pacing w:val="-3"/>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z w:val="20"/>
                <w:szCs w:val="20"/>
              </w:rPr>
            </w:pPr>
            <w:r>
              <w:rPr>
                <w:rFonts w:asciiTheme="minorEastAsia" w:hAnsiTheme="minorEastAsia" w:eastAsiaTheme="minorEastAsia"/>
                <w:spacing w:val="-3"/>
                <w:sz w:val="20"/>
                <w:szCs w:val="20"/>
              </w:rPr>
              <w:t>社会效</w:t>
            </w:r>
          </w:p>
          <w:p>
            <w:pPr>
              <w:pStyle w:val="12"/>
              <w:keepNext w:val="0"/>
              <w:keepLines w:val="0"/>
              <w:pageBreakBefore w:val="0"/>
              <w:kinsoku/>
              <w:wordWrap/>
              <w:overflowPunct/>
              <w:topLinePunct w:val="0"/>
              <w:autoSpaceDE/>
              <w:autoSpaceDN/>
              <w:bidi w:val="0"/>
              <w:adjustRightInd w:val="0"/>
              <w:snapToGrid w:val="0"/>
              <w:spacing w:line="220" w:lineRule="auto"/>
              <w:ind w:left="221"/>
              <w:rPr>
                <w:rFonts w:asciiTheme="minorEastAsia" w:hAnsiTheme="minorEastAsia" w:eastAsiaTheme="minorEastAsia"/>
                <w:sz w:val="20"/>
                <w:szCs w:val="20"/>
              </w:rPr>
            </w:pPr>
            <w:r>
              <w:rPr>
                <w:rFonts w:asciiTheme="minorEastAsia" w:hAnsiTheme="minorEastAsia" w:eastAsiaTheme="minorEastAsia"/>
                <w:spacing w:val="-3"/>
                <w:sz w:val="20"/>
                <w:szCs w:val="20"/>
              </w:rPr>
              <w:t>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困难群众生活水平情况</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30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30</w:t>
            </w:r>
          </w:p>
        </w:tc>
        <w:tc>
          <w:tcPr>
            <w:tcW w:w="140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jc w:val="both"/>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both"/>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both"/>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both"/>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p>
          <w:p>
            <w:pPr>
              <w:pStyle w:val="12"/>
              <w:keepNext w:val="0"/>
              <w:keepLines w:val="0"/>
              <w:pageBreakBefore w:val="0"/>
              <w:kinsoku/>
              <w:wordWrap/>
              <w:overflowPunct/>
              <w:topLinePunct w:val="0"/>
              <w:autoSpaceDE/>
              <w:autoSpaceDN/>
              <w:bidi w:val="0"/>
              <w:adjustRightInd w:val="0"/>
              <w:snapToGrid w:val="0"/>
              <w:spacing w:before="42" w:line="213" w:lineRule="auto"/>
              <w:ind w:left="122"/>
              <w:jc w:val="both"/>
              <w:rPr>
                <w:rFonts w:asciiTheme="minorEastAsia" w:hAnsiTheme="minorEastAsia" w:eastAsiaTheme="minorEastAsia"/>
                <w:sz w:val="20"/>
                <w:szCs w:val="20"/>
              </w:rPr>
            </w:pPr>
            <w:r>
              <w:rPr>
                <w:rFonts w:asciiTheme="minorEastAsia" w:hAnsiTheme="minorEastAsia" w:eastAsiaTheme="minorEastAsia"/>
                <w:spacing w:val="3"/>
                <w:sz w:val="20"/>
                <w:szCs w:val="20"/>
              </w:rPr>
              <w:t>满意度指</w:t>
            </w:r>
          </w:p>
          <w:p>
            <w:pPr>
              <w:pStyle w:val="12"/>
              <w:keepNext w:val="0"/>
              <w:keepLines w:val="0"/>
              <w:pageBreakBefore w:val="0"/>
              <w:kinsoku/>
              <w:wordWrap/>
              <w:overflowPunct/>
              <w:topLinePunct w:val="0"/>
              <w:autoSpaceDE/>
              <w:autoSpaceDN/>
              <w:bidi w:val="0"/>
              <w:adjustRightInd w:val="0"/>
              <w:snapToGrid w:val="0"/>
              <w:spacing w:line="220" w:lineRule="auto"/>
              <w:ind w:left="422"/>
              <w:jc w:val="both"/>
              <w:rPr>
                <w:rFonts w:asciiTheme="minorEastAsia" w:hAnsiTheme="minorEastAsia" w:eastAsiaTheme="minorEastAsia"/>
                <w:sz w:val="20"/>
                <w:szCs w:val="20"/>
              </w:rPr>
            </w:pPr>
            <w:r>
              <w:rPr>
                <w:rFonts w:asciiTheme="minorEastAsia" w:hAnsiTheme="minorEastAsia" w:eastAsiaTheme="minorEastAsia"/>
                <w:sz w:val="20"/>
                <w:szCs w:val="20"/>
              </w:rPr>
              <w:t>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40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rPr>
              <w:t>4</w:t>
            </w:r>
          </w:p>
        </w:tc>
        <w:tc>
          <w:tcPr>
            <w:tcW w:w="1403"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40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keepNext w:val="0"/>
        <w:keepLines w:val="0"/>
        <w:pageBreakBefore w:val="0"/>
        <w:kinsoku/>
        <w:wordWrap/>
        <w:overflowPunct/>
        <w:topLinePunct w:val="0"/>
        <w:autoSpaceDE/>
        <w:autoSpaceDN/>
        <w:bidi w:val="0"/>
        <w:adjustRightInd w:val="0"/>
        <w:snapToGrid w:val="0"/>
        <w:spacing w:line="230" w:lineRule="auto"/>
        <w:rPr>
          <w:sz w:val="20"/>
          <w:szCs w:val="20"/>
          <w:lang w:eastAsia="zh-CN"/>
        </w:rPr>
        <w:sectPr>
          <w:footerReference r:id="rId5" w:type="default"/>
          <w:pgSz w:w="11900" w:h="16820"/>
          <w:pgMar w:top="1429" w:right="855" w:bottom="1411" w:left="1185" w:header="0" w:footer="1112" w:gutter="0"/>
          <w:pgNumType w:fmt="decimal"/>
          <w:cols w:space="720" w:num="1"/>
        </w:sectPr>
      </w:pPr>
    </w:p>
    <w:p>
      <w:pPr>
        <w:keepNext w:val="0"/>
        <w:keepLines w:val="0"/>
        <w:pageBreakBefore w:val="0"/>
        <w:kinsoku/>
        <w:wordWrap/>
        <w:overflowPunct/>
        <w:topLinePunct w:val="0"/>
        <w:autoSpaceDE/>
        <w:autoSpaceDN/>
        <w:bidi w:val="0"/>
        <w:adjustRightInd w:val="0"/>
        <w:snapToGrid w:val="0"/>
        <w:spacing w:before="143" w:line="196" w:lineRule="auto"/>
        <w:ind w:left="2070"/>
        <w:rPr>
          <w:rFonts w:hint="eastAsia" w:ascii="宋体" w:hAnsi="宋体" w:eastAsia="宋体" w:cs="宋体"/>
          <w:b/>
          <w:bCs/>
          <w:spacing w:val="-4"/>
          <w:sz w:val="41"/>
          <w:szCs w:val="41"/>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rPr>
              <w:t>年初</w:t>
            </w:r>
            <w:r>
              <w:rPr>
                <w:rFonts w:asciiTheme="minorEastAsia" w:hAnsiTheme="minorEastAsia" w:eastAsiaTheme="minorEastAsia"/>
                <w:sz w:val="20"/>
                <w:szCs w:val="20"/>
              </w:rPr>
              <w:t>-</w:t>
            </w:r>
            <w:r>
              <w:rPr>
                <w:rFonts w:hint="eastAsia" w:asciiTheme="minorEastAsia" w:hAnsiTheme="minorEastAsia" w:eastAsiaTheme="minorEastAsia"/>
                <w:sz w:val="20"/>
                <w:szCs w:val="20"/>
              </w:rPr>
              <w:t>高龄津贴</w:t>
            </w:r>
            <w:r>
              <w:rPr>
                <w:rFonts w:asciiTheme="minorEastAsia" w:hAnsiTheme="minorEastAsia" w:eastAsiaTheme="minorEastAsia"/>
                <w:sz w:val="20"/>
                <w:szCs w:val="20"/>
              </w:rPr>
              <w:tab/>
            </w:r>
            <w:r>
              <w:rPr>
                <w:rFonts w:asciiTheme="minorEastAsia" w:hAnsiTheme="minorEastAsia" w:eastAsiaTheme="minorEastAsia"/>
                <w:sz w:val="20"/>
                <w:szCs w:val="20"/>
              </w:rPr>
              <w:tab/>
            </w:r>
            <w:r>
              <w:rPr>
                <w:rFonts w:asciiTheme="minorEastAsia" w:hAnsiTheme="minorEastAsia" w:eastAsiaTheme="minorEastAsia"/>
                <w:sz w:val="20"/>
                <w:szCs w:val="20"/>
              </w:rPr>
              <w:tab/>
            </w:r>
            <w:r>
              <w:rPr>
                <w:rFonts w:asciiTheme="minorEastAsia" w:hAnsiTheme="minorEastAsia" w:eastAsiaTheme="minorEastAsia"/>
                <w:sz w:val="20"/>
                <w:szCs w:val="20"/>
              </w:rPr>
              <w:tab/>
            </w:r>
            <w:r>
              <w:rPr>
                <w:rFonts w:asciiTheme="minorEastAsia" w:hAnsiTheme="minorEastAsia" w:eastAsiaTheme="minorEastAsia"/>
                <w:sz w:val="20"/>
                <w:szCs w:val="20"/>
              </w:rPr>
              <w:tab/>
            </w:r>
            <w:r>
              <w:rPr>
                <w:rFonts w:asciiTheme="minorEastAsia" w:hAnsiTheme="minorEastAsia" w:eastAsiaTheme="minorEastAsia"/>
                <w:sz w:val="20"/>
                <w:szCs w:val="20"/>
              </w:rPr>
              <w:tab/>
            </w:r>
            <w:r>
              <w:rPr>
                <w:rFonts w:asciiTheme="minorEastAsia" w:hAnsiTheme="minorEastAsia" w:eastAsiaTheme="minorEastAsia"/>
                <w:sz w:val="20"/>
                <w:szCs w:val="20"/>
              </w:rPr>
              <w:tab/>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asciiTheme="minorEastAsia" w:hAnsiTheme="minorEastAsia" w:eastAsiaTheme="minorEastAsia"/>
                <w:sz w:val="20"/>
                <w:szCs w:val="20"/>
              </w:rPr>
              <w:tab/>
            </w:r>
            <w:r>
              <w:rPr>
                <w:rFonts w:asciiTheme="minorEastAsia" w:hAnsiTheme="minorEastAsia" w:eastAsiaTheme="minorEastAsia"/>
                <w:sz w:val="20"/>
                <w:szCs w:val="20"/>
              </w:rPr>
              <w:tab/>
            </w:r>
            <w:r>
              <w:rPr>
                <w:rFonts w:asciiTheme="minorEastAsia" w:hAnsiTheme="minorEastAsia" w:eastAsiaTheme="minorEastAsia"/>
                <w:sz w:val="20"/>
                <w:szCs w:val="20"/>
              </w:rPr>
              <w:tab/>
            </w:r>
            <w:r>
              <w:rPr>
                <w:rFonts w:asciiTheme="minorEastAsia" w:hAnsiTheme="minorEastAsia" w:eastAsiaTheme="minorEastAsia"/>
                <w:sz w:val="20"/>
                <w:szCs w:val="20"/>
              </w:rPr>
              <w:tab/>
            </w:r>
            <w:r>
              <w:rPr>
                <w:rFonts w:asciiTheme="minorEastAsia" w:hAnsiTheme="minorEastAsia" w:eastAsiaTheme="minorEastAsia"/>
                <w:sz w:val="20"/>
                <w:szCs w:val="20"/>
              </w:rPr>
              <w:tab/>
            </w:r>
            <w:r>
              <w:rPr>
                <w:rFonts w:asciiTheme="minorEastAsia" w:hAnsiTheme="minorEastAsia" w:eastAsiaTheme="minorEastAsia"/>
                <w:sz w:val="20"/>
                <w:szCs w:val="20"/>
              </w:rPr>
              <w:tab/>
            </w:r>
            <w:r>
              <w:rPr>
                <w:rFonts w:asciiTheme="minorEastAsia" w:hAnsiTheme="minorEastAsia" w:eastAsiaTheme="minorEastAsia"/>
                <w:sz w:val="20"/>
                <w:szCs w:val="20"/>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40</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40</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40</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40</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40</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40</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对符合条件的困难老年人发放高龄津贴，并确保资金按时足额发放。</w:t>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已基本对符合条件的困难老年人发放高龄津贴，并确保资金按时足额发放。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jc w:val="center"/>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高龄津贴月均保障人数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6</w:t>
            </w:r>
            <w:r>
              <w:rPr>
                <w:rFonts w:hint="eastAsia" w:asciiTheme="minorEastAsia" w:hAnsiTheme="minorEastAsia" w:eastAsiaTheme="minorEastAsia"/>
                <w:sz w:val="20"/>
                <w:szCs w:val="20"/>
                <w:lang w:val="en-US" w:eastAsia="zh-CN"/>
              </w:rPr>
              <w:t>65</w:t>
            </w:r>
            <w:r>
              <w:rPr>
                <w:rFonts w:hint="eastAsia" w:asciiTheme="minorEastAsia" w:hAnsiTheme="minorEastAsia" w:eastAsiaTheme="minorEastAsia"/>
                <w:sz w:val="20"/>
                <w:szCs w:val="20"/>
              </w:rPr>
              <w:t>人</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6</w:t>
            </w:r>
            <w:r>
              <w:rPr>
                <w:rFonts w:hint="eastAsia" w:asciiTheme="minorEastAsia" w:hAnsiTheme="minorEastAsia" w:eastAsiaTheme="minorEastAsia"/>
                <w:sz w:val="20"/>
                <w:szCs w:val="20"/>
                <w:lang w:val="en-US" w:eastAsia="zh-CN"/>
              </w:rPr>
              <w:t>65</w:t>
            </w:r>
            <w:r>
              <w:rPr>
                <w:rFonts w:hint="eastAsia" w:asciiTheme="minorEastAsia" w:hAnsiTheme="minorEastAsia" w:eastAsiaTheme="minorEastAsia"/>
                <w:sz w:val="20"/>
                <w:szCs w:val="20"/>
              </w:rPr>
              <w:t>人</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工作规范管理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严格按制度规范工作，及时动态管理</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严格按制度规范工作，及时动态管理</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资金按时发放时限</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按月或按季发放</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按月或按季发放</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pacing w:val="-3"/>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z w:val="20"/>
                <w:szCs w:val="20"/>
              </w:rPr>
            </w:pPr>
            <w:r>
              <w:rPr>
                <w:rFonts w:asciiTheme="minorEastAsia" w:hAnsiTheme="minorEastAsia" w:eastAsiaTheme="minorEastAsia"/>
                <w:spacing w:val="-3"/>
                <w:sz w:val="20"/>
                <w:szCs w:val="20"/>
              </w:rPr>
              <w:t>社会效</w:t>
            </w:r>
          </w:p>
          <w:p>
            <w:pPr>
              <w:pStyle w:val="12"/>
              <w:keepNext w:val="0"/>
              <w:keepLines w:val="0"/>
              <w:pageBreakBefore w:val="0"/>
              <w:kinsoku/>
              <w:wordWrap/>
              <w:overflowPunct/>
              <w:topLinePunct w:val="0"/>
              <w:autoSpaceDE/>
              <w:autoSpaceDN/>
              <w:bidi w:val="0"/>
              <w:adjustRightInd w:val="0"/>
              <w:snapToGrid w:val="0"/>
              <w:spacing w:line="220" w:lineRule="auto"/>
              <w:ind w:left="221"/>
              <w:rPr>
                <w:rFonts w:asciiTheme="minorEastAsia" w:hAnsiTheme="minorEastAsia" w:eastAsiaTheme="minorEastAsia"/>
                <w:sz w:val="20"/>
                <w:szCs w:val="20"/>
              </w:rPr>
            </w:pPr>
            <w:r>
              <w:rPr>
                <w:rFonts w:asciiTheme="minorEastAsia" w:hAnsiTheme="minorEastAsia" w:eastAsiaTheme="minorEastAsia"/>
                <w:spacing w:val="-3"/>
                <w:sz w:val="20"/>
                <w:szCs w:val="20"/>
              </w:rPr>
              <w:t>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困难群众生活水平情况</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221"/>
              <w:rPr>
                <w:rFonts w:asciiTheme="minorEastAsia" w:hAnsiTheme="minorEastAsia" w:eastAsiaTheme="minorEastAsia"/>
                <w:spacing w:val="-3"/>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高龄津贴制度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逐步完善</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逐步完善</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p>
          <w:p>
            <w:pPr>
              <w:pStyle w:val="12"/>
              <w:keepNext w:val="0"/>
              <w:keepLines w:val="0"/>
              <w:pageBreakBefore w:val="0"/>
              <w:kinsoku/>
              <w:wordWrap/>
              <w:overflowPunct/>
              <w:topLinePunct w:val="0"/>
              <w:autoSpaceDE/>
              <w:autoSpaceDN/>
              <w:bidi w:val="0"/>
              <w:adjustRightInd w:val="0"/>
              <w:snapToGrid w:val="0"/>
              <w:spacing w:before="42" w:line="213"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满意度指</w:t>
            </w:r>
          </w:p>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r>
              <w:rPr>
                <w:rFonts w:asciiTheme="minorEastAsia" w:hAnsiTheme="minorEastAsia" w:eastAsiaTheme="minorEastAsia"/>
                <w:sz w:val="20"/>
                <w:szCs w:val="20"/>
              </w:rPr>
              <w:t>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pacing w:val="-12"/>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rPr>
          <w:spacing w:val="-12"/>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rPr>
              <w:t>年初</w:t>
            </w:r>
            <w:r>
              <w:rPr>
                <w:rFonts w:asciiTheme="minorEastAsia" w:hAnsiTheme="minorEastAsia" w:eastAsiaTheme="minorEastAsia"/>
                <w:sz w:val="20"/>
                <w:szCs w:val="20"/>
              </w:rPr>
              <w:t>—</w:t>
            </w:r>
            <w:r>
              <w:rPr>
                <w:rFonts w:hint="eastAsia" w:asciiTheme="minorEastAsia" w:hAnsiTheme="minorEastAsia" w:eastAsiaTheme="minorEastAsia"/>
                <w:sz w:val="20"/>
                <w:szCs w:val="20"/>
              </w:rPr>
              <w:t>孤儿基本生活保障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47</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47</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47</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47</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47</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47</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落实孤儿基本生活保障和事实无人抚养儿童基本生活补贴制度，保障全区孤儿和事实无人抚养儿童基本生活费和基本生活补贴按时足额发放。</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已基本落实孤儿基本生活保障和事实无人抚养儿童基本生活补贴制度，保障全区孤儿和事实无人抚养儿童基本生活费和基本生活补贴按时足额发放。</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ind w:left="3642"/>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孤儿月均保障人数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w:t>
            </w:r>
            <w:r>
              <w:rPr>
                <w:rFonts w:hint="eastAsia" w:asciiTheme="minorEastAsia" w:hAnsiTheme="minorEastAsia" w:eastAsiaTheme="minorEastAsia"/>
                <w:sz w:val="20"/>
                <w:szCs w:val="20"/>
                <w:lang w:val="en-US" w:eastAsia="zh-CN"/>
              </w:rPr>
              <w:t>70</w:t>
            </w:r>
            <w:r>
              <w:rPr>
                <w:rFonts w:hint="eastAsia" w:asciiTheme="minorEastAsia" w:hAnsiTheme="minorEastAsia" w:eastAsiaTheme="minorEastAsia"/>
                <w:sz w:val="20"/>
                <w:szCs w:val="20"/>
              </w:rPr>
              <w:t>人</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w:t>
            </w:r>
            <w:r>
              <w:rPr>
                <w:rFonts w:hint="eastAsia" w:asciiTheme="minorEastAsia" w:hAnsiTheme="minorEastAsia" w:eastAsiaTheme="minorEastAsia"/>
                <w:sz w:val="20"/>
                <w:szCs w:val="20"/>
                <w:lang w:val="en-US" w:eastAsia="zh-CN"/>
              </w:rPr>
              <w:t>70</w:t>
            </w:r>
            <w:r>
              <w:rPr>
                <w:rFonts w:hint="eastAsia" w:asciiTheme="minorEastAsia" w:hAnsiTheme="minorEastAsia" w:eastAsiaTheme="minorEastAsia"/>
                <w:sz w:val="20"/>
                <w:szCs w:val="20"/>
              </w:rPr>
              <w:t>人</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工作规范管理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严格按制度规范工作，及时动态管理</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严格按制度规范工作，及时动态管理</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资金按时发放时限</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按月或按季发放</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按月或按季发放</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pacing w:val="-3"/>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z w:val="20"/>
                <w:szCs w:val="20"/>
              </w:rPr>
            </w:pPr>
            <w:r>
              <w:rPr>
                <w:rFonts w:asciiTheme="minorEastAsia" w:hAnsiTheme="minorEastAsia" w:eastAsiaTheme="minorEastAsia"/>
                <w:spacing w:val="-3"/>
                <w:sz w:val="20"/>
                <w:szCs w:val="20"/>
              </w:rPr>
              <w:t>社会效</w:t>
            </w:r>
          </w:p>
          <w:p>
            <w:pPr>
              <w:pStyle w:val="12"/>
              <w:keepNext w:val="0"/>
              <w:keepLines w:val="0"/>
              <w:pageBreakBefore w:val="0"/>
              <w:kinsoku/>
              <w:wordWrap/>
              <w:overflowPunct/>
              <w:topLinePunct w:val="0"/>
              <w:autoSpaceDE/>
              <w:autoSpaceDN/>
              <w:bidi w:val="0"/>
              <w:adjustRightInd w:val="0"/>
              <w:snapToGrid w:val="0"/>
              <w:spacing w:line="220" w:lineRule="auto"/>
              <w:ind w:left="221"/>
              <w:rPr>
                <w:rFonts w:asciiTheme="minorEastAsia" w:hAnsiTheme="minorEastAsia" w:eastAsiaTheme="minorEastAsia"/>
                <w:sz w:val="20"/>
                <w:szCs w:val="20"/>
              </w:rPr>
            </w:pPr>
            <w:r>
              <w:rPr>
                <w:rFonts w:asciiTheme="minorEastAsia" w:hAnsiTheme="minorEastAsia" w:eastAsiaTheme="minorEastAsia"/>
                <w:spacing w:val="-3"/>
                <w:sz w:val="20"/>
                <w:szCs w:val="20"/>
              </w:rPr>
              <w:t>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困难群众生活水平情况</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221"/>
              <w:rPr>
                <w:rFonts w:asciiTheme="minorEastAsia" w:hAnsiTheme="minorEastAsia" w:eastAsiaTheme="minorEastAsia"/>
                <w:spacing w:val="-3"/>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孤儿基本生活保障制度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逐步完善</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逐步完善</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p>
          <w:p>
            <w:pPr>
              <w:pStyle w:val="12"/>
              <w:keepNext w:val="0"/>
              <w:keepLines w:val="0"/>
              <w:pageBreakBefore w:val="0"/>
              <w:kinsoku/>
              <w:wordWrap/>
              <w:overflowPunct/>
              <w:topLinePunct w:val="0"/>
              <w:autoSpaceDE/>
              <w:autoSpaceDN/>
              <w:bidi w:val="0"/>
              <w:adjustRightInd w:val="0"/>
              <w:snapToGrid w:val="0"/>
              <w:spacing w:before="42" w:line="213"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满意度指</w:t>
            </w:r>
          </w:p>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r>
              <w:rPr>
                <w:rFonts w:asciiTheme="minorEastAsia" w:hAnsiTheme="minorEastAsia" w:eastAsiaTheme="minorEastAsia"/>
                <w:sz w:val="20"/>
                <w:szCs w:val="20"/>
              </w:rPr>
              <w:t>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eastAsia="zh-CN"/>
              </w:rPr>
              <w:t>100</w:t>
            </w:r>
            <w:r>
              <w:rPr>
                <w:rFonts w:hint="eastAsia" w:asciiTheme="minorEastAsia" w:hAnsiTheme="minorEastAsia" w:eastAsiaTheme="minorEastAsia"/>
                <w:sz w:val="20"/>
                <w:szCs w:val="20"/>
              </w:rPr>
              <w:t>%</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基本养老服务补贴</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93.6</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93.6</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93.6</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93.6</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93.6</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93.6</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为符合条件的老人提供基本的养老服务，推动社会养老服务组织的发展和政府职能的转变。</w:t>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已基本为符合条件的老人提供基本的养老服务，推动社会养老服务组织的发展和政府职能的转变。</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ind w:left="3642"/>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保障人数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w:t>
            </w:r>
            <w:r>
              <w:rPr>
                <w:rFonts w:hint="eastAsia" w:asciiTheme="minorEastAsia" w:hAnsiTheme="minorEastAsia" w:eastAsiaTheme="minorEastAsia"/>
                <w:sz w:val="20"/>
                <w:szCs w:val="20"/>
                <w:lang w:val="en-US" w:eastAsia="zh-CN"/>
              </w:rPr>
              <w:t>600</w:t>
            </w:r>
            <w:r>
              <w:rPr>
                <w:rFonts w:hint="eastAsia" w:asciiTheme="minorEastAsia" w:hAnsiTheme="minorEastAsia" w:eastAsiaTheme="minorEastAsia"/>
                <w:sz w:val="20"/>
                <w:szCs w:val="20"/>
              </w:rPr>
              <w:t>人</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26</w:t>
            </w:r>
            <w:r>
              <w:rPr>
                <w:rFonts w:hint="eastAsia" w:asciiTheme="minorEastAsia" w:hAnsiTheme="minorEastAsia" w:eastAsiaTheme="minorEastAsia"/>
                <w:sz w:val="20"/>
                <w:szCs w:val="20"/>
                <w:lang w:val="en-US" w:eastAsia="zh-CN"/>
              </w:rPr>
              <w:t>00</w:t>
            </w:r>
            <w:r>
              <w:rPr>
                <w:rFonts w:hint="eastAsia" w:asciiTheme="minorEastAsia" w:hAnsiTheme="minorEastAsia" w:eastAsiaTheme="minorEastAsia"/>
                <w:sz w:val="20"/>
                <w:szCs w:val="20"/>
              </w:rPr>
              <w:t>人</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合同验收合格率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资金按时发放时限</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按合同约定支付</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按合同约定支付</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pacing w:val="-3"/>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z w:val="20"/>
                <w:szCs w:val="20"/>
              </w:rPr>
            </w:pPr>
            <w:r>
              <w:rPr>
                <w:rFonts w:asciiTheme="minorEastAsia" w:hAnsiTheme="minorEastAsia" w:eastAsiaTheme="minorEastAsia"/>
                <w:spacing w:val="-3"/>
                <w:sz w:val="20"/>
                <w:szCs w:val="20"/>
              </w:rPr>
              <w:t>社会效</w:t>
            </w:r>
          </w:p>
          <w:p>
            <w:pPr>
              <w:pStyle w:val="12"/>
              <w:keepNext w:val="0"/>
              <w:keepLines w:val="0"/>
              <w:pageBreakBefore w:val="0"/>
              <w:kinsoku/>
              <w:wordWrap/>
              <w:overflowPunct/>
              <w:topLinePunct w:val="0"/>
              <w:autoSpaceDE/>
              <w:autoSpaceDN/>
              <w:bidi w:val="0"/>
              <w:adjustRightInd w:val="0"/>
              <w:snapToGrid w:val="0"/>
              <w:spacing w:line="220" w:lineRule="auto"/>
              <w:ind w:left="221"/>
              <w:rPr>
                <w:rFonts w:asciiTheme="minorEastAsia" w:hAnsiTheme="minorEastAsia" w:eastAsiaTheme="minorEastAsia"/>
                <w:sz w:val="20"/>
                <w:szCs w:val="20"/>
              </w:rPr>
            </w:pPr>
            <w:r>
              <w:rPr>
                <w:rFonts w:asciiTheme="minorEastAsia" w:hAnsiTheme="minorEastAsia" w:eastAsiaTheme="minorEastAsia"/>
                <w:spacing w:val="-3"/>
                <w:sz w:val="20"/>
                <w:szCs w:val="20"/>
              </w:rPr>
              <w:t>益指标</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减少政府成本，提高服务效率</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缓解政府的财政压力，提高公共服务的效率</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缓解政府的财政压力，提高公共服务的效率</w:t>
            </w:r>
          </w:p>
        </w:tc>
        <w:tc>
          <w:tcPr>
            <w:tcW w:w="819" w:type="dxa"/>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asciiTheme="minorEastAsia" w:hAnsiTheme="minorEastAsia" w:eastAsiaTheme="minorEastAsia"/>
                <w:sz w:val="20"/>
                <w:szCs w:val="20"/>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59" w:type="dxa"/>
            <w:vMerge w:val="continue"/>
          </w:tcPr>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pacing w:val="-3"/>
                <w:sz w:val="20"/>
                <w:szCs w:val="20"/>
                <w:lang w:eastAsia="zh-CN"/>
              </w:rPr>
            </w:pP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社会广泛参与</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充分调动社会力量参与养老服务产业的积极性</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充分调动社会力量参与养老服务产业的积极性</w:t>
            </w:r>
          </w:p>
        </w:tc>
        <w:tc>
          <w:tcPr>
            <w:tcW w:w="81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asciiTheme="minorEastAsia" w:hAnsiTheme="minorEastAsia" w:eastAsiaTheme="minorEastAsia"/>
                <w:sz w:val="20"/>
                <w:szCs w:val="20"/>
              </w:rPr>
              <w:t>10</w:t>
            </w:r>
          </w:p>
        </w:tc>
        <w:tc>
          <w:tcPr>
            <w:tcW w:w="879" w:type="dxa"/>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asciiTheme="minorEastAsia" w:hAnsiTheme="minorEastAsia" w:eastAsiaTheme="minorEastAsia"/>
                <w:sz w:val="20"/>
                <w:szCs w:val="20"/>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pacing w:val="-3"/>
                <w:sz w:val="20"/>
                <w:szCs w:val="20"/>
                <w:lang w:eastAsia="zh-CN"/>
              </w:rPr>
            </w:pPr>
          </w:p>
        </w:tc>
        <w:tc>
          <w:tcPr>
            <w:tcW w:w="1228" w:type="dxa"/>
          </w:tcPr>
          <w:p>
            <w:pPr>
              <w:keepNext w:val="0"/>
              <w:keepLines w:val="0"/>
              <w:pageBreakBefore w:val="0"/>
              <w:kinsoku/>
              <w:wordWrap/>
              <w:overflowPunct/>
              <w:topLinePunct w:val="0"/>
              <w:autoSpaceDE/>
              <w:autoSpaceDN/>
              <w:bidi w:val="0"/>
              <w:adjustRightInd w:val="0"/>
              <w:snapToGrid w:val="0"/>
              <w:rPr>
                <w:rFonts w:hint="eastAsia" w:cs="宋体" w:asciiTheme="minorEastAsia" w:hAnsiTheme="minorEastAsia" w:eastAsiaTheme="minorEastAsia"/>
                <w:sz w:val="20"/>
                <w:szCs w:val="20"/>
              </w:rPr>
            </w:pPr>
            <w:r>
              <w:rPr>
                <w:rFonts w:hint="eastAsia" w:cs="宋体" w:asciiTheme="minorEastAsia" w:hAnsiTheme="minorEastAsia" w:eastAsiaTheme="minorEastAsia"/>
                <w:sz w:val="20"/>
                <w:szCs w:val="20"/>
              </w:rPr>
              <w:t>建立健全工作机制，构建新的养老服务供给机制</w:t>
            </w:r>
          </w:p>
        </w:tc>
        <w:tc>
          <w:tcPr>
            <w:tcW w:w="1139" w:type="dxa"/>
          </w:tcPr>
          <w:p>
            <w:pPr>
              <w:keepNext w:val="0"/>
              <w:keepLines w:val="0"/>
              <w:pageBreakBefore w:val="0"/>
              <w:kinsoku/>
              <w:wordWrap/>
              <w:overflowPunct/>
              <w:topLinePunct w:val="0"/>
              <w:autoSpaceDE/>
              <w:autoSpaceDN/>
              <w:bidi w:val="0"/>
              <w:adjustRightInd w:val="0"/>
              <w:snapToGrid w:val="0"/>
              <w:rPr>
                <w:rFonts w:hint="eastAsia" w:cs="宋体"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逐步完善工作机制，正确处理政府与市场的关系</w:t>
            </w:r>
          </w:p>
        </w:tc>
        <w:tc>
          <w:tcPr>
            <w:tcW w:w="1129" w:type="dxa"/>
          </w:tcPr>
          <w:p>
            <w:pPr>
              <w:keepNext w:val="0"/>
              <w:keepLines w:val="0"/>
              <w:pageBreakBefore w:val="0"/>
              <w:kinsoku/>
              <w:wordWrap/>
              <w:overflowPunct/>
              <w:topLinePunct w:val="0"/>
              <w:autoSpaceDE/>
              <w:autoSpaceDN/>
              <w:bidi w:val="0"/>
              <w:adjustRightInd w:val="0"/>
              <w:snapToGrid w:val="0"/>
              <w:rPr>
                <w:rFonts w:hint="eastAsia" w:cs="宋体"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逐步完善工作机制，正确处理政府与市场的关系</w:t>
            </w:r>
          </w:p>
        </w:tc>
        <w:tc>
          <w:tcPr>
            <w:tcW w:w="819" w:type="dxa"/>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p>
          <w:p>
            <w:pPr>
              <w:pStyle w:val="12"/>
              <w:keepNext w:val="0"/>
              <w:keepLines w:val="0"/>
              <w:pageBreakBefore w:val="0"/>
              <w:kinsoku/>
              <w:wordWrap/>
              <w:overflowPunct/>
              <w:topLinePunct w:val="0"/>
              <w:autoSpaceDE/>
              <w:autoSpaceDN/>
              <w:bidi w:val="0"/>
              <w:adjustRightInd w:val="0"/>
              <w:snapToGrid w:val="0"/>
              <w:spacing w:before="42" w:line="213"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满意度指</w:t>
            </w:r>
          </w:p>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r>
              <w:rPr>
                <w:rFonts w:asciiTheme="minorEastAsia" w:hAnsiTheme="minorEastAsia" w:eastAsiaTheme="minorEastAsia"/>
                <w:sz w:val="20"/>
                <w:szCs w:val="20"/>
              </w:rPr>
              <w:t>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困难群众救助工作经费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eastAsia="zh-CN"/>
              </w:rPr>
              <w:t>3</w:t>
            </w:r>
            <w:r>
              <w:rPr>
                <w:rFonts w:hint="eastAsia" w:asciiTheme="minorEastAsia" w:hAnsiTheme="minorEastAsia" w:eastAsiaTheme="minorEastAsia"/>
                <w:sz w:val="20"/>
                <w:szCs w:val="20"/>
                <w:lang w:val="en-US" w:eastAsia="zh-CN"/>
              </w:rPr>
              <w:t>80</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w:t>
            </w:r>
            <w:r>
              <w:rPr>
                <w:rFonts w:hint="eastAsia" w:asciiTheme="minorEastAsia" w:hAnsiTheme="minorEastAsia" w:eastAsiaTheme="minorEastAsia"/>
                <w:sz w:val="20"/>
                <w:szCs w:val="20"/>
                <w:lang w:val="en-US" w:eastAsia="zh-CN"/>
              </w:rPr>
              <w:t>80</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w:t>
            </w:r>
            <w:r>
              <w:rPr>
                <w:rFonts w:hint="eastAsia" w:asciiTheme="minorEastAsia" w:hAnsiTheme="minorEastAsia" w:eastAsiaTheme="minorEastAsia"/>
                <w:sz w:val="20"/>
                <w:szCs w:val="20"/>
                <w:lang w:val="en-US" w:eastAsia="zh-CN"/>
              </w:rPr>
              <w:t>80</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w:t>
            </w:r>
            <w:r>
              <w:rPr>
                <w:rFonts w:hint="eastAsia" w:asciiTheme="minorEastAsia" w:hAnsiTheme="minorEastAsia" w:eastAsiaTheme="minorEastAsia"/>
                <w:sz w:val="20"/>
                <w:szCs w:val="20"/>
                <w:lang w:val="en-US" w:eastAsia="zh-CN"/>
              </w:rPr>
              <w:t>80</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w:t>
            </w:r>
            <w:r>
              <w:rPr>
                <w:rFonts w:hint="eastAsia" w:asciiTheme="minorEastAsia" w:hAnsiTheme="minorEastAsia" w:eastAsiaTheme="minorEastAsia"/>
                <w:sz w:val="20"/>
                <w:szCs w:val="20"/>
                <w:lang w:val="en-US" w:eastAsia="zh-CN"/>
              </w:rPr>
              <w:t>80</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w:t>
            </w:r>
            <w:r>
              <w:rPr>
                <w:rFonts w:hint="eastAsia" w:asciiTheme="minorEastAsia" w:hAnsiTheme="minorEastAsia" w:eastAsiaTheme="minorEastAsia"/>
                <w:sz w:val="20"/>
                <w:szCs w:val="20"/>
                <w:lang w:val="en-US" w:eastAsia="zh-CN"/>
              </w:rPr>
              <w:t>80</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保障困难群众救助工作的有效进行，使困难群众的基本生活得到有效保障。</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已基本保障困难群众救助工作的有效进行，使困难群众的基本生活得到有效保障。</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ind w:left="3642"/>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pacing w:val="-2"/>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pacing w:val="-2"/>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社会救助信息系统维护</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1</w:t>
            </w:r>
            <w:r>
              <w:rPr>
                <w:rFonts w:hint="eastAsia" w:asciiTheme="minorEastAsia" w:hAnsiTheme="minorEastAsia" w:eastAsiaTheme="minorEastAsia"/>
                <w:sz w:val="20"/>
                <w:szCs w:val="20"/>
              </w:rPr>
              <w:t>个</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1</w:t>
            </w:r>
            <w:r>
              <w:rPr>
                <w:rFonts w:hint="eastAsia" w:asciiTheme="minorEastAsia" w:hAnsiTheme="minorEastAsia" w:eastAsiaTheme="minorEastAsia"/>
                <w:sz w:val="20"/>
                <w:szCs w:val="20"/>
              </w:rPr>
              <w:t>个</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continue"/>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pacing w:val="-2"/>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社会救助对象动态管理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救助对象应保尽保应救尽救</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救助对象应保尽保应救尽救</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工作规范管理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严格按制度规范工作，实施动态管理</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严格按制度规范工作，实施动态管理</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资金到位率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pacing w:val="-3"/>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223" w:line="241" w:lineRule="auto"/>
              <w:ind w:left="221"/>
              <w:rPr>
                <w:rFonts w:asciiTheme="minorEastAsia" w:hAnsiTheme="minorEastAsia" w:eastAsiaTheme="minorEastAsia"/>
                <w:sz w:val="20"/>
                <w:szCs w:val="20"/>
              </w:rPr>
            </w:pPr>
            <w:r>
              <w:rPr>
                <w:rFonts w:asciiTheme="minorEastAsia" w:hAnsiTheme="minorEastAsia" w:eastAsiaTheme="minorEastAsia"/>
                <w:spacing w:val="-3"/>
                <w:sz w:val="20"/>
                <w:szCs w:val="20"/>
              </w:rPr>
              <w:t>社会效</w:t>
            </w:r>
          </w:p>
          <w:p>
            <w:pPr>
              <w:pStyle w:val="12"/>
              <w:keepNext w:val="0"/>
              <w:keepLines w:val="0"/>
              <w:pageBreakBefore w:val="0"/>
              <w:kinsoku/>
              <w:wordWrap/>
              <w:overflowPunct/>
              <w:topLinePunct w:val="0"/>
              <w:autoSpaceDE/>
              <w:autoSpaceDN/>
              <w:bidi w:val="0"/>
              <w:adjustRightInd w:val="0"/>
              <w:snapToGrid w:val="0"/>
              <w:spacing w:line="220" w:lineRule="auto"/>
              <w:ind w:left="221"/>
              <w:rPr>
                <w:rFonts w:asciiTheme="minorEastAsia" w:hAnsiTheme="minorEastAsia" w:eastAsiaTheme="minorEastAsia"/>
                <w:sz w:val="20"/>
                <w:szCs w:val="20"/>
              </w:rPr>
            </w:pPr>
            <w:r>
              <w:rPr>
                <w:rFonts w:asciiTheme="minorEastAsia" w:hAnsiTheme="minorEastAsia" w:eastAsiaTheme="minorEastAsia"/>
                <w:spacing w:val="-3"/>
                <w:sz w:val="20"/>
                <w:szCs w:val="20"/>
              </w:rPr>
              <w:t>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困难群众生活水平情况</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30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30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p>
          <w:p>
            <w:pPr>
              <w:pStyle w:val="12"/>
              <w:keepNext w:val="0"/>
              <w:keepLines w:val="0"/>
              <w:pageBreakBefore w:val="0"/>
              <w:kinsoku/>
              <w:wordWrap/>
              <w:overflowPunct/>
              <w:topLinePunct w:val="0"/>
              <w:autoSpaceDE/>
              <w:autoSpaceDN/>
              <w:bidi w:val="0"/>
              <w:adjustRightInd w:val="0"/>
              <w:snapToGrid w:val="0"/>
              <w:spacing w:before="42" w:line="213"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满意度指</w:t>
            </w:r>
          </w:p>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r>
              <w:rPr>
                <w:rFonts w:asciiTheme="minorEastAsia" w:hAnsiTheme="minorEastAsia" w:eastAsiaTheme="minorEastAsia"/>
                <w:sz w:val="20"/>
                <w:szCs w:val="20"/>
              </w:rPr>
              <w:t>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pacing w:val="-12"/>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ind w:left="394"/>
        <w:rPr>
          <w:spacing w:val="-12"/>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ind w:left="394"/>
        <w:rPr>
          <w:spacing w:val="-12"/>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ind w:left="394"/>
        <w:rPr>
          <w:spacing w:val="-12"/>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ind w:left="394"/>
        <w:rPr>
          <w:spacing w:val="-12"/>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hint="eastAsia" w:ascii="宋体" w:hAnsi="宋体" w:eastAsia="宋体" w:cs="宋体"/>
          <w:b/>
          <w:bCs/>
          <w:spacing w:val="-4"/>
          <w:sz w:val="41"/>
          <w:szCs w:val="41"/>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临时救助</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34.4</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34.4</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34.4</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34.4</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34.4</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34.4</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规范实施临时救助政策，实现应救尽救，救急救难。</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已基本规范实施临时救助政策，实现应救尽救，救急救难。</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临时救助人次</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应救尽救</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应救尽救</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工作规范管理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严格按救助申请审核审批程序规范工作</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严格按救助申请审核审批程序规范工作</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w:t>
            </w: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临时救助人员求助要求当天登记率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≥95%</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≥95%</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lang w:eastAsia="zh-CN"/>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223" w:line="241" w:lineRule="auto"/>
              <w:rPr>
                <w:rFonts w:asciiTheme="minorEastAsia" w:hAnsiTheme="minorEastAsia" w:eastAsiaTheme="minorEastAsia"/>
                <w:sz w:val="20"/>
                <w:szCs w:val="20"/>
              </w:rPr>
            </w:pPr>
            <w:r>
              <w:rPr>
                <w:rFonts w:asciiTheme="minorEastAsia" w:hAnsiTheme="minorEastAsia" w:eastAsiaTheme="minorEastAsia"/>
                <w:spacing w:val="-3"/>
                <w:sz w:val="20"/>
                <w:szCs w:val="20"/>
              </w:rPr>
              <w:t>社会效益指标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对符合条件的人员提供临时救助服务率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≥95%</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≥95%</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w:t>
            </w: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223" w:line="241" w:lineRule="auto"/>
              <w:rPr>
                <w:rFonts w:hint="eastAsia" w:asciiTheme="minorEastAsia" w:hAnsiTheme="minorEastAsia" w:eastAsiaTheme="minorEastAsia"/>
                <w:spacing w:val="-3"/>
                <w:sz w:val="20"/>
                <w:szCs w:val="20"/>
                <w:lang w:eastAsia="zh-CN"/>
              </w:rPr>
            </w:pPr>
            <w:r>
              <w:rPr>
                <w:rFonts w:hint="eastAsia" w:asciiTheme="minorEastAsia" w:hAnsiTheme="minorEastAsia" w:eastAsiaTheme="minorEastAsia"/>
                <w:spacing w:val="-3"/>
                <w:sz w:val="20"/>
                <w:szCs w:val="20"/>
                <w:lang w:eastAsia="zh-CN"/>
              </w:rPr>
              <w:t>可持续影响指标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困难群众基本生活救助制度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逐步完善</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逐步完善</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p>
          <w:p>
            <w:pPr>
              <w:pStyle w:val="12"/>
              <w:keepNext w:val="0"/>
              <w:keepLines w:val="0"/>
              <w:pageBreakBefore w:val="0"/>
              <w:kinsoku/>
              <w:wordWrap/>
              <w:overflowPunct/>
              <w:topLinePunct w:val="0"/>
              <w:autoSpaceDE/>
              <w:autoSpaceDN/>
              <w:bidi w:val="0"/>
              <w:adjustRightInd w:val="0"/>
              <w:snapToGrid w:val="0"/>
              <w:spacing w:before="42" w:line="213" w:lineRule="auto"/>
              <w:ind w:left="122"/>
              <w:jc w:val="center"/>
              <w:rPr>
                <w:rFonts w:asciiTheme="minorEastAsia" w:hAnsiTheme="minorEastAsia" w:eastAsiaTheme="minorEastAsia"/>
                <w:sz w:val="20"/>
                <w:szCs w:val="20"/>
              </w:rPr>
            </w:pPr>
            <w:r>
              <w:rPr>
                <w:rFonts w:asciiTheme="minorEastAsia" w:hAnsiTheme="minorEastAsia" w:eastAsiaTheme="minorEastAsia"/>
                <w:spacing w:val="3"/>
                <w:sz w:val="20"/>
                <w:szCs w:val="20"/>
              </w:rPr>
              <w:t>满意度指</w:t>
            </w:r>
            <w:r>
              <w:rPr>
                <w:rFonts w:asciiTheme="minorEastAsia" w:hAnsiTheme="minorEastAsia" w:eastAsiaTheme="minorEastAsia"/>
                <w:sz w:val="20"/>
                <w:szCs w:val="20"/>
              </w:rPr>
              <w:t>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社会福利</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222.05</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222.05</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222.05</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222.05</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222.05</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222.05</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对社会福利事业单位进行补助支出，保障困难群体的基本生活支出。</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已基本对社会福利事业单位进行补助支出，保障困难群体的基本生活支出。</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敬老院保障个数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7</w:t>
            </w:r>
            <w:r>
              <w:rPr>
                <w:rFonts w:hint="eastAsia" w:asciiTheme="minorEastAsia" w:hAnsiTheme="minorEastAsia" w:eastAsiaTheme="minorEastAsia"/>
                <w:sz w:val="20"/>
                <w:szCs w:val="20"/>
              </w:rPr>
              <w:t>个</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7</w:t>
            </w:r>
            <w:r>
              <w:rPr>
                <w:rFonts w:hint="eastAsia" w:asciiTheme="minorEastAsia" w:hAnsiTheme="minorEastAsia" w:eastAsiaTheme="minorEastAsia"/>
                <w:sz w:val="20"/>
                <w:szCs w:val="20"/>
              </w:rPr>
              <w:t>个</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continue"/>
          </w:tcPr>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pacing w:val="8"/>
                <w:sz w:val="20"/>
                <w:szCs w:val="20"/>
              </w:rPr>
            </w:pPr>
          </w:p>
        </w:tc>
        <w:tc>
          <w:tcPr>
            <w:tcW w:w="1059" w:type="dxa"/>
            <w:vMerge w:val="continue"/>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pacing w:val="-2"/>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特困人员意外伤害保险保障人数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1900人</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1900人</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工作规范管理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严格按制度规范工作，及时动态管理</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严格按制度规范工作，及时动态管理</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w:t>
            </w:r>
            <w:r>
              <w:rPr>
                <w:rFonts w:hint="eastAsia" w:asciiTheme="minorEastAsia" w:hAnsiTheme="minorEastAsia" w:eastAsiaTheme="minorEastAsia"/>
                <w:sz w:val="20"/>
                <w:szCs w:val="20"/>
              </w:rPr>
              <w:t>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项目完成时间</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2024年12月31日前</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2024年12月31日前</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lang w:eastAsia="zh-CN"/>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223" w:line="241" w:lineRule="auto"/>
              <w:rPr>
                <w:rFonts w:asciiTheme="minorEastAsia" w:hAnsiTheme="minorEastAsia" w:eastAsiaTheme="minorEastAsia"/>
                <w:sz w:val="20"/>
                <w:szCs w:val="20"/>
              </w:rPr>
            </w:pPr>
            <w:r>
              <w:rPr>
                <w:rFonts w:asciiTheme="minorEastAsia" w:hAnsiTheme="minorEastAsia" w:eastAsiaTheme="minorEastAsia"/>
                <w:spacing w:val="-3"/>
                <w:sz w:val="20"/>
                <w:szCs w:val="20"/>
              </w:rPr>
              <w:t>社会效益指标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困难群众生活水平情况</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困难群众基本生活得到保障</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困难群众基本生活得到保障</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223" w:line="241" w:lineRule="auto"/>
              <w:rPr>
                <w:rFonts w:hint="eastAsia" w:cs="宋体" w:asciiTheme="minorEastAsia" w:hAnsiTheme="minorEastAsia" w:eastAsiaTheme="minorEastAsia"/>
                <w:snapToGrid w:val="0"/>
                <w:color w:val="000000"/>
                <w:spacing w:val="-3"/>
                <w:sz w:val="20"/>
                <w:szCs w:val="20"/>
                <w:lang w:val="en-US" w:eastAsia="zh-CN" w:bidi="ar-SA"/>
              </w:rPr>
            </w:pPr>
            <w:r>
              <w:rPr>
                <w:rFonts w:hint="eastAsia" w:asciiTheme="minorEastAsia" w:hAnsiTheme="minorEastAsia" w:eastAsiaTheme="minorEastAsia"/>
                <w:spacing w:val="-3"/>
                <w:sz w:val="20"/>
                <w:szCs w:val="20"/>
                <w:lang w:eastAsia="zh-CN"/>
              </w:rPr>
              <w:t>可持续影响指标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社会福利制度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逐步完善</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逐步完善</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p>
          <w:p>
            <w:pPr>
              <w:pStyle w:val="12"/>
              <w:keepNext w:val="0"/>
              <w:keepLines w:val="0"/>
              <w:pageBreakBefore w:val="0"/>
              <w:kinsoku/>
              <w:wordWrap/>
              <w:overflowPunct/>
              <w:topLinePunct w:val="0"/>
              <w:autoSpaceDE/>
              <w:autoSpaceDN/>
              <w:bidi w:val="0"/>
              <w:adjustRightInd w:val="0"/>
              <w:snapToGrid w:val="0"/>
              <w:spacing w:before="42" w:line="213"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满意度指</w:t>
            </w:r>
          </w:p>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r>
              <w:rPr>
                <w:rFonts w:asciiTheme="minorEastAsia" w:hAnsiTheme="minorEastAsia" w:eastAsiaTheme="minorEastAsia"/>
                <w:sz w:val="20"/>
                <w:szCs w:val="20"/>
              </w:rPr>
              <w:t>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宋体"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特困供养</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505.69</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505.69</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505.69</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505.69</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505.69</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505.69</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统筹城乡特困人员救助供养工作，合理确定保障标准，保证困难群众救助资金按时足额发放。</w:t>
            </w:r>
            <w:r>
              <w:rPr>
                <w:rFonts w:asciiTheme="minorEastAsia" w:hAnsiTheme="minorEastAsia" w:eastAsiaTheme="minorEastAsia"/>
                <w:sz w:val="20"/>
                <w:szCs w:val="20"/>
                <w:lang w:eastAsia="zh-CN"/>
              </w:rPr>
              <w:tab/>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已基本统筹城乡特困人员救助供养工作，合理确定保障标准，保证困难群众救助资金按时足额发放。</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特困人员月均保障人数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23</w:t>
            </w:r>
            <w:r>
              <w:rPr>
                <w:rFonts w:hint="eastAsia" w:asciiTheme="minorEastAsia" w:hAnsiTheme="minorEastAsia" w:eastAsiaTheme="minorEastAsia"/>
                <w:sz w:val="20"/>
                <w:szCs w:val="20"/>
                <w:lang w:val="en-US" w:eastAsia="zh-CN"/>
              </w:rPr>
              <w:t>05</w:t>
            </w:r>
            <w:r>
              <w:rPr>
                <w:rFonts w:hint="eastAsia" w:asciiTheme="minorEastAsia" w:hAnsiTheme="minorEastAsia" w:eastAsiaTheme="minorEastAsia"/>
                <w:sz w:val="20"/>
                <w:szCs w:val="20"/>
              </w:rPr>
              <w:t>人</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23</w:t>
            </w:r>
            <w:r>
              <w:rPr>
                <w:rFonts w:hint="eastAsia" w:asciiTheme="minorEastAsia" w:hAnsiTheme="minorEastAsia" w:eastAsiaTheme="minorEastAsia"/>
                <w:sz w:val="20"/>
                <w:szCs w:val="20"/>
                <w:lang w:val="en-US" w:eastAsia="zh-CN"/>
              </w:rPr>
              <w:t>05</w:t>
            </w:r>
            <w:r>
              <w:rPr>
                <w:rFonts w:hint="eastAsia" w:asciiTheme="minorEastAsia" w:hAnsiTheme="minorEastAsia" w:eastAsiaTheme="minorEastAsia"/>
                <w:sz w:val="20"/>
                <w:szCs w:val="20"/>
              </w:rPr>
              <w:t>人</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工作规范管理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严格按救助申请审核审批程序规范工作，及时动态管理</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严格按救助申请审核审批程序规范工作，及时动态管理</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资金按时发放时限</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按月或按季发放</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按月或按季发放</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223" w:line="241" w:lineRule="auto"/>
              <w:rPr>
                <w:rFonts w:asciiTheme="minorEastAsia" w:hAnsiTheme="minorEastAsia" w:eastAsiaTheme="minorEastAsia"/>
                <w:sz w:val="20"/>
                <w:szCs w:val="20"/>
              </w:rPr>
            </w:pPr>
            <w:r>
              <w:rPr>
                <w:rFonts w:asciiTheme="minorEastAsia" w:hAnsiTheme="minorEastAsia" w:eastAsiaTheme="minorEastAsia"/>
                <w:spacing w:val="-3"/>
                <w:sz w:val="20"/>
                <w:szCs w:val="20"/>
              </w:rPr>
              <w:t>社会效益指标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困难群众生活水平情况</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30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30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r>
              <w:rPr>
                <w:rFonts w:asciiTheme="minorEastAsia" w:hAnsiTheme="minorEastAsia" w:eastAsiaTheme="minorEastAsia"/>
                <w:spacing w:val="3"/>
                <w:sz w:val="20"/>
                <w:szCs w:val="20"/>
              </w:rPr>
              <w:t>满意度指</w:t>
            </w:r>
            <w:r>
              <w:rPr>
                <w:rFonts w:asciiTheme="minorEastAsia" w:hAnsiTheme="minorEastAsia" w:eastAsiaTheme="minorEastAsia"/>
                <w:sz w:val="20"/>
                <w:szCs w:val="20"/>
              </w:rPr>
              <w:t>标</w:t>
            </w:r>
          </w:p>
        </w:tc>
        <w:tc>
          <w:tcPr>
            <w:tcW w:w="1228" w:type="dxa"/>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工作满意度</w:t>
            </w:r>
          </w:p>
        </w:tc>
        <w:tc>
          <w:tcPr>
            <w:tcW w:w="113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asciiTheme="minorEastAsia" w:hAnsiTheme="minorEastAsia" w:eastAsiaTheme="minorEastAsia"/>
                <w:sz w:val="20"/>
                <w:szCs w:val="20"/>
              </w:rPr>
              <w:t>100%</w:t>
            </w:r>
          </w:p>
        </w:tc>
        <w:tc>
          <w:tcPr>
            <w:tcW w:w="112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asciiTheme="minorEastAsia" w:hAnsiTheme="minorEastAsia" w:eastAsiaTheme="minorEastAsia"/>
                <w:sz w:val="20"/>
                <w:szCs w:val="20"/>
              </w:rPr>
              <w:t>90%</w:t>
            </w:r>
          </w:p>
        </w:tc>
        <w:tc>
          <w:tcPr>
            <w:tcW w:w="81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重度残疾人护理补贴</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157.55</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156.66</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156.66</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156.66</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156.66</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156.66</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落实重度残疾人护理补贴制度，保障重度残疾人护理补贴按时足额发放。</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已基本落实重度残疾人护理补贴制度，保障重度残疾人护理补贴按时足额发放。</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重度残疾人护理补贴月均保障人数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eastAsia="zh-CN"/>
              </w:rPr>
              <w:t>4</w:t>
            </w:r>
            <w:r>
              <w:rPr>
                <w:rFonts w:hint="eastAsia" w:asciiTheme="minorEastAsia" w:hAnsiTheme="minorEastAsia" w:eastAsiaTheme="minorEastAsia"/>
                <w:sz w:val="20"/>
                <w:szCs w:val="20"/>
                <w:lang w:val="en-US" w:eastAsia="zh-CN"/>
              </w:rPr>
              <w:t>973</w:t>
            </w:r>
            <w:r>
              <w:rPr>
                <w:rFonts w:hint="eastAsia" w:asciiTheme="minorEastAsia" w:hAnsiTheme="minorEastAsia" w:eastAsiaTheme="minorEastAsia"/>
                <w:sz w:val="20"/>
                <w:szCs w:val="20"/>
              </w:rPr>
              <w:t>人</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eastAsia="zh-CN"/>
              </w:rPr>
              <w:t>4</w:t>
            </w:r>
            <w:r>
              <w:rPr>
                <w:rFonts w:hint="eastAsia" w:asciiTheme="minorEastAsia" w:hAnsiTheme="minorEastAsia" w:eastAsiaTheme="minorEastAsia"/>
                <w:sz w:val="20"/>
                <w:szCs w:val="20"/>
                <w:lang w:val="en-US" w:eastAsia="zh-CN"/>
              </w:rPr>
              <w:t>973</w:t>
            </w:r>
            <w:r>
              <w:rPr>
                <w:rFonts w:hint="eastAsia" w:asciiTheme="minorEastAsia" w:hAnsiTheme="minorEastAsia" w:eastAsiaTheme="minorEastAsia"/>
                <w:sz w:val="20"/>
                <w:szCs w:val="20"/>
              </w:rPr>
              <w:t>人</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工作规范管理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严格按申请审核审批程序规范工作，及时动态管理</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严格按申请审核审批程序规范工作，及时动态管理</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资金按时发放时限</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按月发放</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按月发放</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223" w:line="241" w:lineRule="auto"/>
              <w:rPr>
                <w:rFonts w:asciiTheme="minorEastAsia" w:hAnsiTheme="minorEastAsia" w:eastAsiaTheme="minorEastAsia"/>
                <w:sz w:val="20"/>
                <w:szCs w:val="20"/>
              </w:rPr>
            </w:pPr>
            <w:r>
              <w:rPr>
                <w:rFonts w:asciiTheme="minorEastAsia" w:hAnsiTheme="minorEastAsia" w:eastAsiaTheme="minorEastAsia"/>
                <w:spacing w:val="-3"/>
                <w:sz w:val="20"/>
                <w:szCs w:val="20"/>
              </w:rPr>
              <w:t>社会效益指标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困难群众生活水平情况</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cs="宋体"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223" w:line="241" w:lineRule="auto"/>
              <w:rPr>
                <w:rFonts w:hint="eastAsia" w:cs="宋体" w:asciiTheme="minorEastAsia" w:hAnsiTheme="minorEastAsia" w:eastAsiaTheme="minorEastAsia"/>
                <w:snapToGrid w:val="0"/>
                <w:color w:val="000000"/>
                <w:spacing w:val="-3"/>
                <w:sz w:val="20"/>
                <w:szCs w:val="20"/>
                <w:lang w:val="en-US" w:eastAsia="zh-CN" w:bidi="ar-SA"/>
              </w:rPr>
            </w:pPr>
            <w:r>
              <w:rPr>
                <w:rFonts w:hint="eastAsia" w:asciiTheme="minorEastAsia" w:hAnsiTheme="minorEastAsia" w:eastAsiaTheme="minorEastAsia"/>
                <w:spacing w:val="-3"/>
                <w:sz w:val="20"/>
                <w:szCs w:val="20"/>
                <w:lang w:eastAsia="zh-CN"/>
              </w:rPr>
              <w:t>可持续影响指标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重度残疾人护理补贴制度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逐步完善</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逐步完善</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p>
          <w:p>
            <w:pPr>
              <w:pStyle w:val="12"/>
              <w:keepNext w:val="0"/>
              <w:keepLines w:val="0"/>
              <w:pageBreakBefore w:val="0"/>
              <w:kinsoku/>
              <w:wordWrap/>
              <w:overflowPunct/>
              <w:topLinePunct w:val="0"/>
              <w:autoSpaceDE/>
              <w:autoSpaceDN/>
              <w:bidi w:val="0"/>
              <w:adjustRightInd w:val="0"/>
              <w:snapToGrid w:val="0"/>
              <w:spacing w:before="42" w:line="213"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满意度指</w:t>
            </w:r>
          </w:p>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r>
              <w:rPr>
                <w:rFonts w:asciiTheme="minorEastAsia" w:hAnsiTheme="minorEastAsia" w:eastAsiaTheme="minorEastAsia"/>
                <w:sz w:val="20"/>
                <w:szCs w:val="20"/>
              </w:rPr>
              <w:t>标</w:t>
            </w:r>
          </w:p>
        </w:tc>
        <w:tc>
          <w:tcPr>
            <w:tcW w:w="1228" w:type="dxa"/>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cs="宋体" w:asciiTheme="minorEastAsia" w:hAnsiTheme="minorEastAsia" w:eastAsiaTheme="minorEastAsia"/>
                <w:sz w:val="20"/>
                <w:szCs w:val="20"/>
              </w:rPr>
              <w:t>工作满意度</w:t>
            </w:r>
          </w:p>
        </w:tc>
        <w:tc>
          <w:tcPr>
            <w:tcW w:w="113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asciiTheme="minorEastAsia" w:hAnsiTheme="minorEastAsia" w:eastAsiaTheme="minorEastAsia"/>
                <w:sz w:val="20"/>
                <w:szCs w:val="20"/>
              </w:rPr>
              <w:t>100%</w:t>
            </w:r>
          </w:p>
        </w:tc>
        <w:tc>
          <w:tcPr>
            <w:tcW w:w="112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asciiTheme="minorEastAsia" w:hAnsiTheme="minorEastAsia" w:eastAsiaTheme="minorEastAsia"/>
                <w:sz w:val="20"/>
                <w:szCs w:val="20"/>
              </w:rPr>
              <w:t>90%</w:t>
            </w:r>
          </w:p>
        </w:tc>
        <w:tc>
          <w:tcPr>
            <w:tcW w:w="81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422"/>
              <w:rPr>
                <w:rFonts w:asciiTheme="minorEastAsia" w:hAnsiTheme="minorEastAsia" w:eastAsiaTheme="minorEastAsia"/>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重度残疾人生活补贴</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98.05</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100</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100</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100</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100</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100</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落实重度残疾人生活补贴制度，保障重度残疾人生活补贴按时足额发放。</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已基本落实重度残疾人生活补贴制度，保障重度残疾人生活补贴按时足额发放。</w:t>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pacing w:val="-2"/>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重度残疾人生活补贴月均保障人数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3220</w:t>
            </w:r>
            <w:r>
              <w:rPr>
                <w:rFonts w:hint="eastAsia" w:asciiTheme="minorEastAsia" w:hAnsiTheme="minorEastAsia" w:eastAsiaTheme="minorEastAsia"/>
                <w:sz w:val="20"/>
                <w:szCs w:val="20"/>
              </w:rPr>
              <w:t>人</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3220</w:t>
            </w:r>
            <w:r>
              <w:rPr>
                <w:rFonts w:hint="eastAsia" w:asciiTheme="minorEastAsia" w:hAnsiTheme="minorEastAsia" w:eastAsiaTheme="minorEastAsia"/>
                <w:sz w:val="20"/>
                <w:szCs w:val="20"/>
              </w:rPr>
              <w:t>人</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工作规范管理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严格按申请审核审批程序规范工作，及时动态管理</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严格按申请审核审批程序规范工作，及时动态管理</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资金按时发放时限</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按月发放</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按月发放</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223" w:line="241" w:lineRule="auto"/>
              <w:rPr>
                <w:rFonts w:asciiTheme="minorEastAsia" w:hAnsiTheme="minorEastAsia" w:eastAsiaTheme="minorEastAsia"/>
                <w:spacing w:val="-3"/>
                <w:sz w:val="20"/>
                <w:szCs w:val="20"/>
              </w:rPr>
            </w:pPr>
          </w:p>
          <w:p>
            <w:pPr>
              <w:pStyle w:val="12"/>
              <w:keepNext w:val="0"/>
              <w:keepLines w:val="0"/>
              <w:pageBreakBefore w:val="0"/>
              <w:kinsoku/>
              <w:wordWrap/>
              <w:overflowPunct/>
              <w:topLinePunct w:val="0"/>
              <w:autoSpaceDE/>
              <w:autoSpaceDN/>
              <w:bidi w:val="0"/>
              <w:adjustRightInd w:val="0"/>
              <w:snapToGrid w:val="0"/>
              <w:spacing w:before="223" w:line="241" w:lineRule="auto"/>
              <w:rPr>
                <w:rFonts w:asciiTheme="minorEastAsia" w:hAnsiTheme="minorEastAsia" w:eastAsiaTheme="minorEastAsia"/>
                <w:sz w:val="20"/>
                <w:szCs w:val="20"/>
              </w:rPr>
            </w:pPr>
            <w:r>
              <w:rPr>
                <w:rFonts w:asciiTheme="minorEastAsia" w:hAnsiTheme="minorEastAsia" w:eastAsiaTheme="minorEastAsia"/>
                <w:spacing w:val="-3"/>
                <w:sz w:val="20"/>
                <w:szCs w:val="20"/>
              </w:rPr>
              <w:t>社会效益指标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困难群众生活水平情况</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保障标准稳步提升或不低于上年，困难群众基本生活得到保障</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223" w:line="241" w:lineRule="auto"/>
              <w:rPr>
                <w:rFonts w:hint="eastAsia" w:cs="宋体" w:asciiTheme="minorEastAsia" w:hAnsiTheme="minorEastAsia" w:eastAsiaTheme="minorEastAsia"/>
                <w:snapToGrid w:val="0"/>
                <w:color w:val="000000"/>
                <w:spacing w:val="-3"/>
                <w:sz w:val="20"/>
                <w:szCs w:val="20"/>
                <w:lang w:val="en-US" w:eastAsia="zh-CN" w:bidi="ar-SA"/>
              </w:rPr>
            </w:pPr>
            <w:r>
              <w:rPr>
                <w:rFonts w:hint="eastAsia" w:asciiTheme="minorEastAsia" w:hAnsiTheme="minorEastAsia" w:eastAsiaTheme="minorEastAsia"/>
                <w:spacing w:val="-3"/>
                <w:sz w:val="20"/>
                <w:szCs w:val="20"/>
                <w:lang w:eastAsia="zh-CN"/>
              </w:rPr>
              <w:t>可持续影响指标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重度残疾人护理补贴制度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逐步完善</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逐步完善</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p>
          <w:p>
            <w:pPr>
              <w:pStyle w:val="12"/>
              <w:keepNext w:val="0"/>
              <w:keepLines w:val="0"/>
              <w:pageBreakBefore w:val="0"/>
              <w:kinsoku/>
              <w:wordWrap/>
              <w:overflowPunct/>
              <w:topLinePunct w:val="0"/>
              <w:autoSpaceDE/>
              <w:autoSpaceDN/>
              <w:bidi w:val="0"/>
              <w:adjustRightInd w:val="0"/>
              <w:snapToGrid w:val="0"/>
              <w:spacing w:before="42" w:line="213" w:lineRule="auto"/>
              <w:ind w:left="122"/>
              <w:jc w:val="center"/>
              <w:rPr>
                <w:rFonts w:asciiTheme="minorEastAsia" w:hAnsiTheme="minorEastAsia" w:eastAsiaTheme="minorEastAsia"/>
                <w:sz w:val="20"/>
                <w:szCs w:val="20"/>
              </w:rPr>
            </w:pPr>
            <w:r>
              <w:rPr>
                <w:rFonts w:asciiTheme="minorEastAsia" w:hAnsiTheme="minorEastAsia" w:eastAsiaTheme="minorEastAsia"/>
                <w:spacing w:val="3"/>
                <w:sz w:val="20"/>
                <w:szCs w:val="20"/>
              </w:rPr>
              <w:t>满意度指</w:t>
            </w:r>
          </w:p>
          <w:p>
            <w:pPr>
              <w:pStyle w:val="12"/>
              <w:keepNext w:val="0"/>
              <w:keepLines w:val="0"/>
              <w:pageBreakBefore w:val="0"/>
              <w:kinsoku/>
              <w:wordWrap/>
              <w:overflowPunct/>
              <w:topLinePunct w:val="0"/>
              <w:autoSpaceDE/>
              <w:autoSpaceDN/>
              <w:bidi w:val="0"/>
              <w:adjustRightInd w:val="0"/>
              <w:snapToGrid w:val="0"/>
              <w:spacing w:line="220" w:lineRule="auto"/>
              <w:ind w:left="422"/>
              <w:jc w:val="both"/>
              <w:rPr>
                <w:rFonts w:asciiTheme="minorEastAsia" w:hAnsiTheme="minorEastAsia" w:eastAsiaTheme="minorEastAsia"/>
                <w:sz w:val="20"/>
                <w:szCs w:val="20"/>
              </w:rPr>
            </w:pPr>
            <w:r>
              <w:rPr>
                <w:rFonts w:asciiTheme="minorEastAsia" w:hAnsiTheme="minorEastAsia" w:eastAsiaTheme="minorEastAsia"/>
                <w:sz w:val="20"/>
                <w:szCs w:val="20"/>
              </w:rPr>
              <w:t>标</w:t>
            </w:r>
          </w:p>
        </w:tc>
        <w:tc>
          <w:tcPr>
            <w:tcW w:w="1228" w:type="dxa"/>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cs="宋体" w:asciiTheme="minorEastAsia" w:hAnsiTheme="minorEastAsia" w:eastAsiaTheme="minorEastAsia"/>
                <w:sz w:val="20"/>
                <w:szCs w:val="20"/>
              </w:rPr>
              <w:t>工作满意度</w:t>
            </w:r>
          </w:p>
        </w:tc>
        <w:tc>
          <w:tcPr>
            <w:tcW w:w="113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asciiTheme="minorEastAsia" w:hAnsiTheme="minorEastAsia" w:eastAsiaTheme="minorEastAsia"/>
                <w:sz w:val="20"/>
                <w:szCs w:val="20"/>
              </w:rPr>
              <w:t>100%</w:t>
            </w:r>
          </w:p>
        </w:tc>
        <w:tc>
          <w:tcPr>
            <w:tcW w:w="112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asciiTheme="minorEastAsia" w:hAnsiTheme="minorEastAsia" w:eastAsiaTheme="minorEastAsia"/>
                <w:sz w:val="20"/>
                <w:szCs w:val="20"/>
              </w:rPr>
              <w:t>90%</w:t>
            </w:r>
          </w:p>
        </w:tc>
        <w:tc>
          <w:tcPr>
            <w:tcW w:w="81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line="220" w:lineRule="auto"/>
              <w:ind w:left="422"/>
              <w:jc w:val="center"/>
              <w:rPr>
                <w:rFonts w:asciiTheme="minorEastAsia" w:hAnsiTheme="minorEastAsia" w:eastAsiaTheme="minorEastAsia"/>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en-US" w:bidi="ar-SA"/>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99分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百岁老人生活津贴</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5.04</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5.04</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5.04</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5.04</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5.04</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5.04</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按时足额发放百岁老人生活津贴。</w:t>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已基本完成</w:t>
            </w:r>
            <w:r>
              <w:rPr>
                <w:rFonts w:hint="eastAsia" w:cs="宋体" w:asciiTheme="minorEastAsia" w:hAnsiTheme="minorEastAsia" w:eastAsiaTheme="minorEastAsia"/>
                <w:sz w:val="20"/>
                <w:szCs w:val="20"/>
                <w:lang w:eastAsia="zh-CN"/>
              </w:rPr>
              <w:t>按时足额发放百岁老人生活津贴。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pacing w:val="-2"/>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月均保障人数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30</w:t>
            </w:r>
            <w:r>
              <w:rPr>
                <w:rFonts w:hint="eastAsia" w:asciiTheme="minorEastAsia" w:hAnsiTheme="minorEastAsia" w:eastAsiaTheme="minorEastAsia"/>
                <w:sz w:val="20"/>
                <w:szCs w:val="20"/>
              </w:rPr>
              <w:t>人</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30</w:t>
            </w:r>
            <w:r>
              <w:rPr>
                <w:rFonts w:hint="eastAsia" w:asciiTheme="minorEastAsia" w:hAnsiTheme="minorEastAsia" w:eastAsiaTheme="minorEastAsia"/>
                <w:sz w:val="20"/>
                <w:szCs w:val="20"/>
              </w:rPr>
              <w:t>人</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发放人员符合政策率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资金按时发放时限</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按月或按季发放</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按月或按季发放</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223" w:line="241" w:lineRule="auto"/>
              <w:jc w:val="center"/>
              <w:rPr>
                <w:rFonts w:asciiTheme="minorEastAsia" w:hAnsiTheme="minorEastAsia" w:eastAsiaTheme="minorEastAsia"/>
                <w:sz w:val="20"/>
                <w:szCs w:val="20"/>
              </w:rPr>
            </w:pPr>
            <w:r>
              <w:rPr>
                <w:rFonts w:asciiTheme="minorEastAsia" w:hAnsiTheme="minorEastAsia" w:eastAsiaTheme="minorEastAsia"/>
                <w:spacing w:val="-3"/>
                <w:sz w:val="20"/>
                <w:szCs w:val="20"/>
              </w:rPr>
              <w:t>社会效益指标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百岁老人生活质量提高情况</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程度较高</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程度较高</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59" w:type="dxa"/>
            <w:tcBorders>
              <w:bottom w:val="nil"/>
            </w:tcBorders>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可持续影响指标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全面提升百岁老人的生活水平</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稳步提升</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稳步提升</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rPr>
              <w:t>1</w:t>
            </w: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w:t>
            </w:r>
            <w:r>
              <w:rPr>
                <w:rFonts w:hint="eastAsia" w:asciiTheme="minorEastAsia" w:hAnsiTheme="minorEastAsia" w:eastAsiaTheme="minorEastAsia"/>
                <w:sz w:val="20"/>
                <w:szCs w:val="20"/>
                <w:lang w:val="en-US" w:eastAsia="zh-CN"/>
              </w:rPr>
              <w:t>5</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r>
              <w:rPr>
                <w:rFonts w:asciiTheme="minorEastAsia" w:hAnsiTheme="minorEastAsia" w:eastAsiaTheme="minorEastAsia"/>
                <w:spacing w:val="3"/>
                <w:sz w:val="20"/>
                <w:szCs w:val="20"/>
              </w:rPr>
              <w:t>满意度指</w:t>
            </w:r>
            <w:r>
              <w:rPr>
                <w:rFonts w:asciiTheme="minorEastAsia" w:hAnsiTheme="minorEastAsia" w:eastAsiaTheme="minorEastAsia"/>
                <w:sz w:val="20"/>
                <w:szCs w:val="20"/>
              </w:rPr>
              <w:t>标</w:t>
            </w:r>
          </w:p>
        </w:tc>
        <w:tc>
          <w:tcPr>
            <w:tcW w:w="1228" w:type="dxa"/>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工作满意度</w:t>
            </w:r>
          </w:p>
        </w:tc>
        <w:tc>
          <w:tcPr>
            <w:tcW w:w="113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asciiTheme="minorEastAsia" w:hAnsiTheme="minorEastAsia" w:eastAsiaTheme="minorEastAsia"/>
                <w:sz w:val="20"/>
                <w:szCs w:val="20"/>
              </w:rPr>
              <w:t>100%</w:t>
            </w:r>
          </w:p>
        </w:tc>
        <w:tc>
          <w:tcPr>
            <w:tcW w:w="112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asciiTheme="minorEastAsia" w:hAnsiTheme="minorEastAsia" w:eastAsiaTheme="minorEastAsia"/>
                <w:sz w:val="20"/>
                <w:szCs w:val="20"/>
              </w:rPr>
              <w:t>90%</w:t>
            </w:r>
          </w:p>
        </w:tc>
        <w:tc>
          <w:tcPr>
            <w:tcW w:w="81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lang w:eastAsia="zh-CN"/>
              </w:rPr>
              <w:t>5</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4</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continue"/>
            <w:tcBorders>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59" w:type="dxa"/>
            <w:vMerge w:val="continue"/>
            <w:tcBorders>
              <w:bottom w:val="nil"/>
            </w:tcBorders>
          </w:tcPr>
          <w:p>
            <w:pPr>
              <w:pStyle w:val="12"/>
              <w:keepNext w:val="0"/>
              <w:keepLines w:val="0"/>
              <w:pageBreakBefore w:val="0"/>
              <w:kinsoku/>
              <w:wordWrap/>
              <w:overflowPunct/>
              <w:topLinePunct w:val="0"/>
              <w:autoSpaceDE/>
              <w:autoSpaceDN/>
              <w:bidi w:val="0"/>
              <w:adjustRightInd w:val="0"/>
              <w:snapToGrid w:val="0"/>
              <w:spacing w:before="78" w:line="219" w:lineRule="auto"/>
              <w:ind w:left="122"/>
              <w:jc w:val="center"/>
              <w:rPr>
                <w:rFonts w:asciiTheme="minorEastAsia" w:hAnsiTheme="minorEastAsia" w:eastAsiaTheme="minorEastAsia"/>
                <w:spacing w:val="-2"/>
                <w:sz w:val="20"/>
                <w:szCs w:val="20"/>
                <w:lang w:eastAsia="zh-CN"/>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98分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地名普查</w:t>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eastAsia="zh-CN"/>
              </w:rPr>
              <w:t>1.</w:t>
            </w:r>
            <w:r>
              <w:rPr>
                <w:rFonts w:hint="eastAsia" w:asciiTheme="minorEastAsia" w:hAnsiTheme="minorEastAsia" w:eastAsiaTheme="minorEastAsia"/>
                <w:sz w:val="20"/>
                <w:szCs w:val="20"/>
                <w:lang w:val="en-US" w:eastAsia="zh-CN"/>
              </w:rPr>
              <w:t>44</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w:t>
            </w:r>
            <w:r>
              <w:rPr>
                <w:rFonts w:hint="eastAsia" w:asciiTheme="minorEastAsia" w:hAnsiTheme="minorEastAsia" w:eastAsiaTheme="minorEastAsia"/>
                <w:sz w:val="20"/>
                <w:szCs w:val="20"/>
                <w:lang w:val="en-US" w:eastAsia="zh-CN"/>
              </w:rPr>
              <w:t>44</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w:t>
            </w:r>
            <w:r>
              <w:rPr>
                <w:rFonts w:hint="eastAsia" w:asciiTheme="minorEastAsia" w:hAnsiTheme="minorEastAsia" w:eastAsiaTheme="minorEastAsia"/>
                <w:sz w:val="20"/>
                <w:szCs w:val="20"/>
                <w:lang w:val="en-US" w:eastAsia="zh-CN"/>
              </w:rPr>
              <w:t>44</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w:t>
            </w:r>
            <w:r>
              <w:rPr>
                <w:rFonts w:hint="eastAsia" w:asciiTheme="minorEastAsia" w:hAnsiTheme="minorEastAsia" w:eastAsiaTheme="minorEastAsia"/>
                <w:sz w:val="20"/>
                <w:szCs w:val="20"/>
                <w:lang w:val="en-US" w:eastAsia="zh-CN"/>
              </w:rPr>
              <w:t>44</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w:t>
            </w:r>
            <w:r>
              <w:rPr>
                <w:rFonts w:hint="eastAsia" w:asciiTheme="minorEastAsia" w:hAnsiTheme="minorEastAsia" w:eastAsiaTheme="minorEastAsia"/>
                <w:sz w:val="20"/>
                <w:szCs w:val="20"/>
                <w:lang w:val="en-US" w:eastAsia="zh-CN"/>
              </w:rPr>
              <w:t>44</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w:t>
            </w:r>
            <w:r>
              <w:rPr>
                <w:rFonts w:hint="eastAsia" w:asciiTheme="minorEastAsia" w:hAnsiTheme="minorEastAsia" w:eastAsiaTheme="minorEastAsia"/>
                <w:sz w:val="20"/>
                <w:szCs w:val="20"/>
                <w:lang w:val="en-US" w:eastAsia="zh-CN"/>
              </w:rPr>
              <w:t>44</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规范地名实体名称、设置地名标志。</w:t>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地名实体名称得以规范、地名标志设置完成</w:t>
            </w:r>
            <w:r>
              <w:rPr>
                <w:rFonts w:hint="eastAsia" w:asciiTheme="minorEastAsia" w:hAnsiTheme="minorEastAsia" w:eastAsiaTheme="minorEastAsia"/>
                <w:sz w:val="20"/>
                <w:szCs w:val="20"/>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pacing w:val="-2"/>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管理和维护省级界桩颗数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资赫3个，资沅3个，常益2个</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资赫3个，资沅3个，常益2个</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界桩位置准确率、完好率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按时完成界线维护</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eastAsia="zh-CN"/>
              </w:rPr>
              <w:t>2024年</w:t>
            </w:r>
            <w:r>
              <w:rPr>
                <w:rFonts w:hint="eastAsia" w:asciiTheme="minorEastAsia" w:hAnsiTheme="minorEastAsia" w:eastAsiaTheme="minorEastAsia"/>
                <w:sz w:val="20"/>
                <w:szCs w:val="20"/>
              </w:rPr>
              <w:t>底</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eastAsia="zh-CN"/>
              </w:rPr>
              <w:t>2024年</w:t>
            </w:r>
            <w:r>
              <w:rPr>
                <w:rFonts w:hint="eastAsia" w:asciiTheme="minorEastAsia" w:hAnsiTheme="minorEastAsia" w:eastAsiaTheme="minorEastAsia"/>
                <w:sz w:val="20"/>
                <w:szCs w:val="20"/>
              </w:rPr>
              <w:t>底</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tc>
        <w:tc>
          <w:tcPr>
            <w:tcW w:w="1059" w:type="dxa"/>
            <w:tcBorders>
              <w:bottom w:val="nil"/>
            </w:tcBorders>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社会效益指标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减少界线和管辖争议</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59" w:type="dxa"/>
            <w:tcBorders>
              <w:bottom w:val="nil"/>
            </w:tcBorders>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生态效益指标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资源保护</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促进资源保护</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促进资源保护</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10</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59" w:type="dxa"/>
            <w:tcBorders>
              <w:bottom w:val="nil"/>
            </w:tcBorders>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可持续影响指标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有序按时进行界线管理</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10</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r>
              <w:rPr>
                <w:rFonts w:asciiTheme="minorEastAsia" w:hAnsiTheme="minorEastAsia" w:eastAsiaTheme="minorEastAsia"/>
                <w:spacing w:val="3"/>
                <w:sz w:val="20"/>
                <w:szCs w:val="20"/>
              </w:rPr>
              <w:t>满意度指</w:t>
            </w:r>
            <w:r>
              <w:rPr>
                <w:rFonts w:asciiTheme="minorEastAsia" w:hAnsiTheme="minorEastAsia" w:eastAsiaTheme="minorEastAsia"/>
                <w:sz w:val="20"/>
                <w:szCs w:val="20"/>
              </w:rPr>
              <w:t>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continue"/>
          </w:tcPr>
          <w:p>
            <w:pPr>
              <w:pStyle w:val="12"/>
              <w:keepNext w:val="0"/>
              <w:keepLines w:val="0"/>
              <w:pageBreakBefore w:val="0"/>
              <w:kinsoku/>
              <w:wordWrap/>
              <w:overflowPunct/>
              <w:topLinePunct w:val="0"/>
              <w:autoSpaceDE/>
              <w:autoSpaceDN/>
              <w:bidi w:val="0"/>
              <w:adjustRightInd w:val="0"/>
              <w:snapToGrid w:val="0"/>
              <w:spacing w:before="78" w:line="219" w:lineRule="auto"/>
              <w:rPr>
                <w:rFonts w:asciiTheme="minorEastAsia" w:hAnsiTheme="minorEastAsia" w:eastAsiaTheme="minorEastAsia"/>
                <w:spacing w:val="-2"/>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宋体"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pStyle w:val="3"/>
        <w:keepNext w:val="0"/>
        <w:keepLines w:val="0"/>
        <w:pageBreakBefore w:val="0"/>
        <w:kinsoku/>
        <w:wordWrap/>
        <w:overflowPunct/>
        <w:topLinePunct w:val="0"/>
        <w:autoSpaceDE/>
        <w:autoSpaceDN/>
        <w:bidi w:val="0"/>
        <w:adjustRightInd w:val="0"/>
        <w:snapToGrid w:val="0"/>
        <w:spacing w:before="72" w:line="230" w:lineRule="auto"/>
        <w:rPr>
          <w:sz w:val="20"/>
          <w:szCs w:val="20"/>
          <w:lang w:eastAsia="zh-CN"/>
        </w:rPr>
      </w:pP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7"/>
        <w:gridCol w:w="709"/>
        <w:gridCol w:w="1315"/>
        <w:gridCol w:w="1237"/>
        <w:gridCol w:w="1417"/>
        <w:gridCol w:w="1559"/>
        <w:gridCol w:w="863"/>
        <w:gridCol w:w="697"/>
        <w:gridCol w:w="1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817" w:type="dxa"/>
          </w:tcPr>
          <w:p>
            <w:pPr>
              <w:pStyle w:val="12"/>
              <w:keepNext w:val="0"/>
              <w:keepLines w:val="0"/>
              <w:pageBreakBefore w:val="0"/>
              <w:kinsoku/>
              <w:wordWrap/>
              <w:overflowPunct/>
              <w:topLinePunct w:val="0"/>
              <w:autoSpaceDE/>
              <w:autoSpaceDN/>
              <w:bidi w:val="0"/>
              <w:adjustRightInd w:val="0"/>
              <w:snapToGrid w:val="0"/>
              <w:spacing w:line="212" w:lineRule="auto"/>
              <w:rPr>
                <w:rFonts w:asciiTheme="minorEastAsia" w:hAnsiTheme="minorEastAsia" w:eastAsiaTheme="minorEastAsia"/>
                <w:spacing w:val="6"/>
                <w:sz w:val="20"/>
                <w:szCs w:val="20"/>
                <w:lang w:eastAsia="zh-CN"/>
              </w:rPr>
            </w:pPr>
            <w:r>
              <w:rPr>
                <w:rFonts w:hint="eastAsia" w:asciiTheme="minorEastAsia" w:hAnsiTheme="minorEastAsia" w:eastAsiaTheme="minorEastAsia"/>
                <w:spacing w:val="6"/>
                <w:sz w:val="20"/>
                <w:szCs w:val="20"/>
                <w:lang w:eastAsia="zh-CN"/>
              </w:rPr>
              <w:t>项目</w:t>
            </w:r>
            <w:r>
              <w:rPr>
                <w:rFonts w:asciiTheme="minorEastAsia" w:hAnsiTheme="minorEastAsia" w:eastAsiaTheme="minorEastAsia"/>
                <w:spacing w:val="6"/>
                <w:sz w:val="20"/>
                <w:szCs w:val="20"/>
              </w:rPr>
              <w:t>支出</w:t>
            </w:r>
            <w:r>
              <w:rPr>
                <w:rFonts w:asciiTheme="minorEastAsia" w:hAnsiTheme="minorEastAsia" w:eastAsiaTheme="minorEastAsia"/>
                <w:spacing w:val="5"/>
                <w:sz w:val="20"/>
                <w:szCs w:val="20"/>
              </w:rPr>
              <w:t>名称</w:t>
            </w:r>
          </w:p>
        </w:tc>
        <w:tc>
          <w:tcPr>
            <w:tcW w:w="8822"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惠民殡葬资金及工作经费</w:t>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 w:hRule="atLeast"/>
          <w:jc w:val="center"/>
        </w:trPr>
        <w:tc>
          <w:tcPr>
            <w:tcW w:w="817" w:type="dxa"/>
          </w:tcPr>
          <w:p>
            <w:pPr>
              <w:pStyle w:val="12"/>
              <w:keepNext w:val="0"/>
              <w:keepLines w:val="0"/>
              <w:pageBreakBefore w:val="0"/>
              <w:kinsoku/>
              <w:wordWrap/>
              <w:overflowPunct/>
              <w:topLinePunct w:val="0"/>
              <w:autoSpaceDE/>
              <w:autoSpaceDN/>
              <w:bidi w:val="0"/>
              <w:adjustRightInd w:val="0"/>
              <w:snapToGrid w:val="0"/>
              <w:spacing w:line="213" w:lineRule="auto"/>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678"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55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585"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817"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line="220" w:lineRule="auto"/>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r>
              <w:rPr>
                <w:rFonts w:asciiTheme="minorEastAsia" w:hAnsiTheme="minorEastAsia" w:eastAsiaTheme="minorEastAsia"/>
                <w:spacing w:val="10"/>
                <w:sz w:val="20"/>
                <w:szCs w:val="20"/>
              </w:rPr>
              <w:t>(万元)</w:t>
            </w:r>
          </w:p>
        </w:tc>
        <w:tc>
          <w:tcPr>
            <w:tcW w:w="2024"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37"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417"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55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63" w:type="dxa"/>
          </w:tcPr>
          <w:p>
            <w:pPr>
              <w:pStyle w:val="12"/>
              <w:keepNext w:val="0"/>
              <w:keepLines w:val="0"/>
              <w:pageBreakBefore w:val="0"/>
              <w:kinsoku/>
              <w:wordWrap/>
              <w:overflowPunct/>
              <w:topLinePunct w:val="0"/>
              <w:autoSpaceDE/>
              <w:autoSpaceDN/>
              <w:bidi w:val="0"/>
              <w:adjustRightInd w:val="0"/>
              <w:snapToGrid w:val="0"/>
              <w:spacing w:before="179" w:line="219" w:lineRule="auto"/>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697"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025" w:type="dxa"/>
          </w:tcPr>
          <w:p>
            <w:pPr>
              <w:pStyle w:val="12"/>
              <w:keepNext w:val="0"/>
              <w:keepLines w:val="0"/>
              <w:pageBreakBefore w:val="0"/>
              <w:kinsoku/>
              <w:wordWrap/>
              <w:overflowPunct/>
              <w:topLinePunct w:val="0"/>
              <w:autoSpaceDE/>
              <w:autoSpaceDN/>
              <w:bidi w:val="0"/>
              <w:adjustRightInd w:val="0"/>
              <w:snapToGrid w:val="0"/>
              <w:spacing w:before="179"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817"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024"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37"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230</w:t>
            </w:r>
          </w:p>
        </w:tc>
        <w:tc>
          <w:tcPr>
            <w:tcW w:w="141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230</w:t>
            </w:r>
          </w:p>
        </w:tc>
        <w:tc>
          <w:tcPr>
            <w:tcW w:w="155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230</w:t>
            </w:r>
          </w:p>
        </w:tc>
        <w:tc>
          <w:tcPr>
            <w:tcW w:w="863"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69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17"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024"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3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230</w:t>
            </w:r>
          </w:p>
        </w:tc>
        <w:tc>
          <w:tcPr>
            <w:tcW w:w="141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230</w:t>
            </w:r>
          </w:p>
        </w:tc>
        <w:tc>
          <w:tcPr>
            <w:tcW w:w="155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230</w:t>
            </w:r>
          </w:p>
        </w:tc>
        <w:tc>
          <w:tcPr>
            <w:tcW w:w="86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69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817"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024"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3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41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55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6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69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817"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024"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3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41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55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6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697"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817"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pacing w:val="-3"/>
                <w:sz w:val="20"/>
                <w:szCs w:val="20"/>
                <w:lang w:eastAsia="zh-CN"/>
              </w:rPr>
              <w:t>年度总体目标</w:t>
            </w:r>
          </w:p>
        </w:tc>
        <w:tc>
          <w:tcPr>
            <w:tcW w:w="4678"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144"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817"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678" w:type="dxa"/>
            <w:gridSpan w:val="4"/>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进一步深化殡葬改革，提升殡葬公共服务均等化水平，减轻人民群众办丧负担。</w:t>
            </w:r>
          </w:p>
        </w:tc>
        <w:tc>
          <w:tcPr>
            <w:tcW w:w="4144" w:type="dxa"/>
            <w:gridSpan w:val="4"/>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基本完成进一步深化殡葬改革，提升殡葬公共服务均等化水平，减轻人民群众办丧负担。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817"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70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315"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37"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417" w:type="dxa"/>
          </w:tcPr>
          <w:p>
            <w:pPr>
              <w:pStyle w:val="12"/>
              <w:keepNext w:val="0"/>
              <w:keepLines w:val="0"/>
              <w:pageBreakBefore w:val="0"/>
              <w:kinsoku/>
              <w:wordWrap/>
              <w:overflowPunct/>
              <w:topLinePunct w:val="0"/>
              <w:autoSpaceDE/>
              <w:autoSpaceDN/>
              <w:bidi w:val="0"/>
              <w:adjustRightInd w:val="0"/>
              <w:snapToGrid w:val="0"/>
              <w:spacing w:before="150" w:line="212" w:lineRule="auto"/>
              <w:rPr>
                <w:rFonts w:asciiTheme="minorEastAsia" w:hAnsiTheme="minorEastAsia" w:eastAsiaTheme="minorEastAsia"/>
                <w:sz w:val="20"/>
                <w:szCs w:val="20"/>
              </w:rPr>
            </w:pPr>
            <w:r>
              <w:rPr>
                <w:rFonts w:asciiTheme="minorEastAsia" w:hAnsiTheme="minorEastAsia" w:eastAsiaTheme="minorEastAsia"/>
                <w:spacing w:val="5"/>
                <w:sz w:val="20"/>
                <w:szCs w:val="20"/>
              </w:rPr>
              <w:t>年度</w:t>
            </w:r>
            <w:r>
              <w:rPr>
                <w:rFonts w:asciiTheme="minorEastAsia" w:hAnsiTheme="minorEastAsia" w:eastAsiaTheme="minorEastAsia"/>
                <w:spacing w:val="-3"/>
                <w:sz w:val="20"/>
                <w:szCs w:val="20"/>
              </w:rPr>
              <w:t>指标值</w:t>
            </w:r>
          </w:p>
        </w:tc>
        <w:tc>
          <w:tcPr>
            <w:tcW w:w="1559" w:type="dxa"/>
          </w:tcPr>
          <w:p>
            <w:pPr>
              <w:pStyle w:val="12"/>
              <w:keepNext w:val="0"/>
              <w:keepLines w:val="0"/>
              <w:pageBreakBefore w:val="0"/>
              <w:kinsoku/>
              <w:wordWrap/>
              <w:overflowPunct/>
              <w:topLinePunct w:val="0"/>
              <w:autoSpaceDE/>
              <w:autoSpaceDN/>
              <w:bidi w:val="0"/>
              <w:adjustRightInd w:val="0"/>
              <w:snapToGrid w:val="0"/>
              <w:spacing w:before="140" w:line="212" w:lineRule="auto"/>
              <w:rPr>
                <w:rFonts w:asciiTheme="minorEastAsia" w:hAnsiTheme="minorEastAsia" w:eastAsiaTheme="minorEastAsia"/>
                <w:sz w:val="20"/>
                <w:szCs w:val="20"/>
              </w:rPr>
            </w:pPr>
            <w:r>
              <w:rPr>
                <w:rFonts w:asciiTheme="minorEastAsia" w:hAnsiTheme="minorEastAsia" w:eastAsiaTheme="minorEastAsia"/>
                <w:spacing w:val="4"/>
                <w:sz w:val="20"/>
                <w:szCs w:val="20"/>
              </w:rPr>
              <w:t>实际</w:t>
            </w:r>
            <w:r>
              <w:rPr>
                <w:rFonts w:asciiTheme="minorEastAsia" w:hAnsiTheme="minorEastAsia" w:eastAsiaTheme="minorEastAsia"/>
                <w:spacing w:val="-3"/>
                <w:sz w:val="20"/>
                <w:szCs w:val="20"/>
              </w:rPr>
              <w:t>完成值</w:t>
            </w:r>
          </w:p>
        </w:tc>
        <w:tc>
          <w:tcPr>
            <w:tcW w:w="863" w:type="dxa"/>
          </w:tcPr>
          <w:p>
            <w:pPr>
              <w:pStyle w:val="12"/>
              <w:keepNext w:val="0"/>
              <w:keepLines w:val="0"/>
              <w:pageBreakBefore w:val="0"/>
              <w:kinsoku/>
              <w:wordWrap/>
              <w:overflowPunct/>
              <w:topLinePunct w:val="0"/>
              <w:autoSpaceDE/>
              <w:autoSpaceDN/>
              <w:bidi w:val="0"/>
              <w:adjustRightInd w:val="0"/>
              <w:snapToGrid w:val="0"/>
              <w:spacing w:before="260" w:line="219" w:lineRule="auto"/>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697" w:type="dxa"/>
          </w:tcPr>
          <w:p>
            <w:pPr>
              <w:pStyle w:val="12"/>
              <w:keepNext w:val="0"/>
              <w:keepLines w:val="0"/>
              <w:pageBreakBefore w:val="0"/>
              <w:kinsoku/>
              <w:wordWrap/>
              <w:overflowPunct/>
              <w:topLinePunct w:val="0"/>
              <w:autoSpaceDE/>
              <w:autoSpaceDN/>
              <w:bidi w:val="0"/>
              <w:adjustRightInd w:val="0"/>
              <w:snapToGrid w:val="0"/>
              <w:spacing w:before="140" w:line="207" w:lineRule="auto"/>
              <w:ind w:right="123"/>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分</w:t>
            </w:r>
          </w:p>
        </w:tc>
        <w:tc>
          <w:tcPr>
            <w:tcW w:w="1025" w:type="dxa"/>
          </w:tcPr>
          <w:p>
            <w:pPr>
              <w:pStyle w:val="12"/>
              <w:keepNext w:val="0"/>
              <w:keepLines w:val="0"/>
              <w:pageBreakBefore w:val="0"/>
              <w:kinsoku/>
              <w:wordWrap/>
              <w:overflowPunct/>
              <w:topLinePunct w:val="0"/>
              <w:autoSpaceDE/>
              <w:autoSpaceDN/>
              <w:bidi w:val="0"/>
              <w:adjustRightInd w:val="0"/>
              <w:snapToGrid w:val="0"/>
              <w:spacing w:before="10" w:line="219" w:lineRule="auto"/>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r>
              <w:rPr>
                <w:rFonts w:asciiTheme="minorEastAsia" w:hAnsiTheme="minorEastAsia" w:eastAsiaTheme="minorEastAsia"/>
                <w:spacing w:val="3"/>
                <w:sz w:val="20"/>
                <w:szCs w:val="20"/>
                <w:lang w:eastAsia="zh-CN"/>
              </w:rPr>
              <w:t>分析及</w:t>
            </w: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817"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709" w:type="dxa"/>
            <w:vMerge w:val="restart"/>
            <w:tcBorders>
              <w:top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65" w:line="540" w:lineRule="exact"/>
              <w:rPr>
                <w:rFonts w:asciiTheme="minorEastAsia" w:hAnsiTheme="minorEastAsia" w:eastAsiaTheme="minorEastAsia"/>
                <w:sz w:val="20"/>
                <w:szCs w:val="20"/>
              </w:rPr>
            </w:pPr>
            <w:r>
              <w:rPr>
                <w:rFonts w:hint="eastAsia" w:asciiTheme="minorEastAsia" w:hAnsiTheme="minorEastAsia" w:eastAsiaTheme="minorEastAsia"/>
                <w:spacing w:val="8"/>
                <w:sz w:val="20"/>
                <w:szCs w:val="20"/>
                <w:lang w:eastAsia="zh-CN"/>
              </w:rPr>
              <w:t>产出指标</w:t>
            </w:r>
            <w:r>
              <w:rPr>
                <w:rFonts w:asciiTheme="minorEastAsia" w:hAnsiTheme="minorEastAsia" w:eastAsiaTheme="minorEastAsia"/>
                <w:spacing w:val="8"/>
                <w:sz w:val="20"/>
                <w:szCs w:val="20"/>
              </w:rPr>
              <w:t>(50分)</w:t>
            </w:r>
          </w:p>
        </w:tc>
        <w:tc>
          <w:tcPr>
            <w:tcW w:w="1315" w:type="dxa"/>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pacing w:val="-2"/>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37"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惠民殡葬政策覆盖率</w:t>
            </w:r>
          </w:p>
        </w:tc>
        <w:tc>
          <w:tcPr>
            <w:tcW w:w="1417"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应减免尽减免</w:t>
            </w:r>
          </w:p>
        </w:tc>
        <w:tc>
          <w:tcPr>
            <w:tcW w:w="155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应减免尽减免</w:t>
            </w:r>
          </w:p>
        </w:tc>
        <w:tc>
          <w:tcPr>
            <w:tcW w:w="86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20</w:t>
            </w:r>
          </w:p>
        </w:tc>
        <w:tc>
          <w:tcPr>
            <w:tcW w:w="697"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20</w:t>
            </w: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817"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70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315"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37"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促进殡葬事业改革发展，改善当地民生服务</w:t>
            </w:r>
          </w:p>
        </w:tc>
        <w:tc>
          <w:tcPr>
            <w:tcW w:w="1417"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促进殡葬事业改革发展，改善当地民生服务</w:t>
            </w:r>
          </w:p>
        </w:tc>
        <w:tc>
          <w:tcPr>
            <w:tcW w:w="155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促进殡葬事业改革发展，改善当地民生服务</w:t>
            </w:r>
          </w:p>
        </w:tc>
        <w:tc>
          <w:tcPr>
            <w:tcW w:w="86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15</w:t>
            </w:r>
          </w:p>
        </w:tc>
        <w:tc>
          <w:tcPr>
            <w:tcW w:w="697"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15</w:t>
            </w: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817"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70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315"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37"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资金到位及时率</w:t>
            </w:r>
          </w:p>
        </w:tc>
        <w:tc>
          <w:tcPr>
            <w:tcW w:w="1417"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55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863"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697"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817"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70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315"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hint="default" w:cs="宋体" w:asciiTheme="minorEastAsia" w:hAnsiTheme="minorEastAsia" w:eastAsiaTheme="minorEastAsia"/>
                <w:snapToGrid w:val="0"/>
                <w:color w:val="000000"/>
                <w:spacing w:val="1"/>
                <w:sz w:val="20"/>
                <w:szCs w:val="20"/>
                <w:lang w:val="en-US" w:eastAsia="zh-CN" w:bidi="ar-SA"/>
              </w:rPr>
            </w:pPr>
            <w:r>
              <w:rPr>
                <w:rFonts w:hint="eastAsia" w:asciiTheme="minorEastAsia" w:hAnsiTheme="minorEastAsia" w:eastAsiaTheme="minorEastAsia"/>
                <w:spacing w:val="1"/>
                <w:sz w:val="20"/>
                <w:szCs w:val="20"/>
                <w:lang w:val="en-US" w:eastAsia="zh-CN"/>
              </w:rPr>
              <w:t>成本指标</w:t>
            </w:r>
          </w:p>
        </w:tc>
        <w:tc>
          <w:tcPr>
            <w:tcW w:w="1237" w:type="dxa"/>
            <w:vAlign w:val="center"/>
          </w:tcPr>
          <w:p>
            <w:pPr>
              <w:keepNext w:val="0"/>
              <w:keepLines w:val="0"/>
              <w:pageBreakBefore w:val="0"/>
              <w:kinsoku/>
              <w:wordWrap/>
              <w:overflowPunct/>
              <w:topLinePunct w:val="0"/>
              <w:autoSpaceDE/>
              <w:autoSpaceDN/>
              <w:bidi w:val="0"/>
              <w:adjustRightInd w:val="0"/>
              <w:snapToGrid w:val="0"/>
              <w:rPr>
                <w:rFonts w:hint="eastAsia" w:cs="Arial" w:asciiTheme="minorEastAsia" w:hAnsiTheme="minorEastAsia" w:eastAsiaTheme="minorEastAsia"/>
                <w:snapToGrid w:val="0"/>
                <w:color w:val="000000"/>
                <w:sz w:val="20"/>
                <w:szCs w:val="20"/>
                <w:lang w:val="en-US" w:eastAsia="zh-CN" w:bidi="ar-SA"/>
              </w:rPr>
            </w:pPr>
            <w:r>
              <w:rPr>
                <w:rFonts w:hint="eastAsia" w:ascii="宋体" w:hAnsi="宋体" w:eastAsia="宋体" w:cs="宋体"/>
                <w:sz w:val="20"/>
                <w:szCs w:val="20"/>
              </w:rPr>
              <w:t>成本控制率</w:t>
            </w:r>
          </w:p>
        </w:tc>
        <w:tc>
          <w:tcPr>
            <w:tcW w:w="1417"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宋体" w:hAnsi="宋体" w:eastAsia="宋体" w:cs="宋体"/>
                <w:sz w:val="20"/>
                <w:szCs w:val="20"/>
                <w:lang w:val="en-US" w:eastAsia="zh-CN"/>
              </w:rPr>
              <w:t>100%</w:t>
            </w:r>
          </w:p>
        </w:tc>
        <w:tc>
          <w:tcPr>
            <w:tcW w:w="1559"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宋体" w:hAnsi="宋体" w:eastAsia="宋体" w:cs="宋体"/>
                <w:sz w:val="20"/>
                <w:szCs w:val="20"/>
                <w:lang w:val="en-US" w:eastAsia="zh-CN"/>
              </w:rPr>
              <w:t>100%</w:t>
            </w:r>
          </w:p>
        </w:tc>
        <w:tc>
          <w:tcPr>
            <w:tcW w:w="863"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val="en-US" w:eastAsia="zh-CN"/>
              </w:rPr>
              <w:t>5</w:t>
            </w:r>
          </w:p>
        </w:tc>
        <w:tc>
          <w:tcPr>
            <w:tcW w:w="697" w:type="dxa"/>
            <w:vAlign w:val="center"/>
          </w:tcPr>
          <w:p>
            <w:pPr>
              <w:keepNext w:val="0"/>
              <w:keepLines w:val="0"/>
              <w:pageBreakBefore w:val="0"/>
              <w:kinsoku/>
              <w:wordWrap/>
              <w:overflowPunct/>
              <w:topLinePunct w:val="0"/>
              <w:autoSpaceDE/>
              <w:autoSpaceDN/>
              <w:bidi w:val="0"/>
              <w:adjustRightInd w:val="0"/>
              <w:snapToGrid w:val="0"/>
              <w:jc w:val="center"/>
              <w:rPr>
                <w:rFonts w:hint="eastAsia" w:cs="Arial" w:asciiTheme="minorEastAsia" w:hAnsiTheme="minorEastAsia" w:eastAsiaTheme="minorEastAsia"/>
                <w:snapToGrid w:val="0"/>
                <w:color w:val="000000"/>
                <w:sz w:val="20"/>
                <w:szCs w:val="20"/>
                <w:lang w:val="en-US" w:eastAsia="zh-CN" w:bidi="ar-SA"/>
              </w:rPr>
            </w:pPr>
            <w:r>
              <w:rPr>
                <w:rFonts w:hint="eastAsia" w:asciiTheme="minorEastAsia" w:hAnsiTheme="minorEastAsia" w:eastAsiaTheme="minorEastAsia"/>
                <w:sz w:val="20"/>
                <w:szCs w:val="20"/>
                <w:lang w:val="en-US" w:eastAsia="zh-CN"/>
              </w:rPr>
              <w:t>5</w:t>
            </w: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817"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70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tc>
        <w:tc>
          <w:tcPr>
            <w:tcW w:w="1315" w:type="dxa"/>
            <w:tcBorders>
              <w:bottom w:val="nil"/>
            </w:tcBorders>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经济效益指标</w:t>
            </w:r>
          </w:p>
        </w:tc>
        <w:tc>
          <w:tcPr>
            <w:tcW w:w="1237"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有效降低安葬成本</w:t>
            </w:r>
          </w:p>
        </w:tc>
        <w:tc>
          <w:tcPr>
            <w:tcW w:w="1417"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有效降低</w:t>
            </w:r>
          </w:p>
        </w:tc>
        <w:tc>
          <w:tcPr>
            <w:tcW w:w="155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有效降低</w:t>
            </w:r>
          </w:p>
        </w:tc>
        <w:tc>
          <w:tcPr>
            <w:tcW w:w="863"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697"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1" w:hRule="atLeast"/>
          <w:jc w:val="center"/>
        </w:trPr>
        <w:tc>
          <w:tcPr>
            <w:tcW w:w="817"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70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315" w:type="dxa"/>
            <w:tcBorders>
              <w:bottom w:val="nil"/>
            </w:tcBorders>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社会效益指标</w:t>
            </w:r>
          </w:p>
        </w:tc>
        <w:tc>
          <w:tcPr>
            <w:tcW w:w="1237"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促进殡葬改革，提升殡葬服务水平，改善治丧环境，</w:t>
            </w:r>
          </w:p>
        </w:tc>
        <w:tc>
          <w:tcPr>
            <w:tcW w:w="1417"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稳步提升</w:t>
            </w:r>
          </w:p>
        </w:tc>
        <w:tc>
          <w:tcPr>
            <w:tcW w:w="155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稳步提升</w:t>
            </w:r>
          </w:p>
        </w:tc>
        <w:tc>
          <w:tcPr>
            <w:tcW w:w="863"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697"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5</w:t>
            </w: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817"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70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315" w:type="dxa"/>
            <w:tcBorders>
              <w:bottom w:val="nil"/>
            </w:tcBorders>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生态效益指标</w:t>
            </w:r>
          </w:p>
        </w:tc>
        <w:tc>
          <w:tcPr>
            <w:tcW w:w="1237"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推动集中节地安葬</w:t>
            </w:r>
          </w:p>
        </w:tc>
        <w:tc>
          <w:tcPr>
            <w:tcW w:w="1417"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鼓励节地生态方式安葬逝者骨灰节约土地资源</w:t>
            </w:r>
          </w:p>
        </w:tc>
        <w:tc>
          <w:tcPr>
            <w:tcW w:w="155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鼓励节地生态方式安葬逝者骨灰节约土地资源</w:t>
            </w:r>
          </w:p>
        </w:tc>
        <w:tc>
          <w:tcPr>
            <w:tcW w:w="863"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697"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10</w:t>
            </w: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817"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70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315" w:type="dxa"/>
            <w:tcBorders>
              <w:bottom w:val="nil"/>
            </w:tcBorders>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可持续影响指标</w:t>
            </w:r>
          </w:p>
        </w:tc>
        <w:tc>
          <w:tcPr>
            <w:tcW w:w="1237"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殡葬改革健康发展</w:t>
            </w:r>
          </w:p>
        </w:tc>
        <w:tc>
          <w:tcPr>
            <w:tcW w:w="1417"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有效促进殡葬改革健康发展</w:t>
            </w:r>
          </w:p>
        </w:tc>
        <w:tc>
          <w:tcPr>
            <w:tcW w:w="155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有效促进殡葬改革健康发展</w:t>
            </w:r>
          </w:p>
        </w:tc>
        <w:tc>
          <w:tcPr>
            <w:tcW w:w="863"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697"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10</w:t>
            </w: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817"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70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315"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rPr>
                <w:rFonts w:asciiTheme="minorEastAsia" w:hAnsiTheme="minorEastAsia" w:eastAsiaTheme="minorEastAsia"/>
                <w:spacing w:val="-2"/>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78" w:line="219" w:lineRule="auto"/>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jc w:val="center"/>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jc w:val="center"/>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r>
              <w:rPr>
                <w:rFonts w:asciiTheme="minorEastAsia" w:hAnsiTheme="minorEastAsia" w:eastAsiaTheme="minorEastAsia"/>
                <w:spacing w:val="3"/>
                <w:sz w:val="20"/>
                <w:szCs w:val="20"/>
              </w:rPr>
              <w:t>满意度指</w:t>
            </w:r>
            <w:r>
              <w:rPr>
                <w:rFonts w:asciiTheme="minorEastAsia" w:hAnsiTheme="minorEastAsia" w:eastAsiaTheme="minorEastAsia"/>
                <w:sz w:val="20"/>
                <w:szCs w:val="20"/>
              </w:rPr>
              <w:t>标</w:t>
            </w:r>
          </w:p>
        </w:tc>
        <w:tc>
          <w:tcPr>
            <w:tcW w:w="1237"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417"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55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6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697"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4</w:t>
            </w:r>
          </w:p>
        </w:tc>
        <w:tc>
          <w:tcPr>
            <w:tcW w:w="1025"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817"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70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315" w:type="dxa"/>
            <w:vMerge w:val="continue"/>
          </w:tcPr>
          <w:p>
            <w:pPr>
              <w:pStyle w:val="12"/>
              <w:keepNext w:val="0"/>
              <w:keepLines w:val="0"/>
              <w:pageBreakBefore w:val="0"/>
              <w:kinsoku/>
              <w:wordWrap/>
              <w:overflowPunct/>
              <w:topLinePunct w:val="0"/>
              <w:autoSpaceDE/>
              <w:autoSpaceDN/>
              <w:bidi w:val="0"/>
              <w:adjustRightInd w:val="0"/>
              <w:snapToGrid w:val="0"/>
              <w:spacing w:before="78" w:line="219" w:lineRule="auto"/>
              <w:rPr>
                <w:rFonts w:asciiTheme="minorEastAsia" w:hAnsiTheme="minorEastAsia" w:eastAsiaTheme="minorEastAsia"/>
                <w:spacing w:val="-2"/>
                <w:sz w:val="20"/>
                <w:szCs w:val="20"/>
                <w:lang w:eastAsia="zh-CN"/>
              </w:rPr>
            </w:pPr>
          </w:p>
        </w:tc>
        <w:tc>
          <w:tcPr>
            <w:tcW w:w="1237"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417"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55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6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697"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4</w:t>
            </w:r>
          </w:p>
        </w:tc>
        <w:tc>
          <w:tcPr>
            <w:tcW w:w="1025"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 w:hRule="atLeast"/>
          <w:jc w:val="center"/>
        </w:trPr>
        <w:tc>
          <w:tcPr>
            <w:tcW w:w="7054"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63"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697"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98分</w:t>
            </w:r>
          </w:p>
        </w:tc>
        <w:tc>
          <w:tcPr>
            <w:tcW w:w="1025"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30"/>
          <w:szCs w:val="3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keepNext w:val="0"/>
        <w:keepLines w:val="0"/>
        <w:pageBreakBefore w:val="0"/>
        <w:kinsoku/>
        <w:wordWrap/>
        <w:overflowPunct/>
        <w:topLinePunct w:val="0"/>
        <w:autoSpaceDE/>
        <w:autoSpaceDN/>
        <w:bidi w:val="0"/>
        <w:adjustRightInd w:val="0"/>
        <w:snapToGrid w:val="0"/>
        <w:spacing w:before="143" w:line="196" w:lineRule="auto"/>
        <w:ind w:left="2070"/>
        <w:rPr>
          <w:rFonts w:ascii="宋体" w:hAnsi="宋体" w:eastAsia="宋体" w:cs="宋体"/>
          <w:sz w:val="41"/>
          <w:szCs w:val="41"/>
          <w:lang w:eastAsia="zh-CN"/>
        </w:rPr>
      </w:pPr>
      <w:r>
        <w:rPr>
          <w:rFonts w:hint="eastAsia" w:ascii="宋体" w:hAnsi="宋体" w:eastAsia="宋体" w:cs="宋体"/>
          <w:b/>
          <w:bCs/>
          <w:spacing w:val="-4"/>
          <w:sz w:val="41"/>
          <w:szCs w:val="41"/>
          <w:lang w:eastAsia="zh-CN"/>
        </w:rPr>
        <w:t>2024年</w:t>
      </w:r>
      <w:r>
        <w:rPr>
          <w:rFonts w:ascii="宋体" w:hAnsi="宋体" w:eastAsia="宋体" w:cs="宋体"/>
          <w:b/>
          <w:bCs/>
          <w:spacing w:val="-4"/>
          <w:sz w:val="41"/>
          <w:szCs w:val="41"/>
          <w:lang w:eastAsia="zh-CN"/>
        </w:rPr>
        <w:t>度项目支出绩效自评表</w:t>
      </w:r>
    </w:p>
    <w:tbl>
      <w:tblPr>
        <w:tblStyle w:val="11"/>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089"/>
        <w:gridCol w:w="1059"/>
        <w:gridCol w:w="1228"/>
        <w:gridCol w:w="1139"/>
        <w:gridCol w:w="1129"/>
        <w:gridCol w:w="819"/>
        <w:gridCol w:w="879"/>
        <w:gridCol w:w="1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4"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44" w:line="212" w:lineRule="auto"/>
              <w:ind w:left="344" w:right="124" w:hanging="199"/>
              <w:rPr>
                <w:rFonts w:asciiTheme="minorEastAsia" w:hAnsiTheme="minorEastAsia" w:eastAsiaTheme="minorEastAsia"/>
                <w:sz w:val="20"/>
                <w:szCs w:val="20"/>
              </w:rPr>
            </w:pPr>
            <w:r>
              <w:rPr>
                <w:rFonts w:asciiTheme="minorEastAsia" w:hAnsiTheme="minorEastAsia" w:eastAsiaTheme="minorEastAsia"/>
                <w:spacing w:val="6"/>
                <w:sz w:val="20"/>
                <w:szCs w:val="20"/>
              </w:rPr>
              <w:t>项目支出</w:t>
            </w:r>
            <w:r>
              <w:rPr>
                <w:rFonts w:asciiTheme="minorEastAsia" w:hAnsiTheme="minorEastAsia" w:eastAsiaTheme="minorEastAsia"/>
                <w:sz w:val="20"/>
                <w:szCs w:val="20"/>
              </w:rPr>
              <w:t xml:space="preserve"> </w:t>
            </w:r>
            <w:r>
              <w:rPr>
                <w:rFonts w:asciiTheme="minorEastAsia" w:hAnsiTheme="minorEastAsia" w:eastAsiaTheme="minorEastAsia"/>
                <w:spacing w:val="5"/>
                <w:sz w:val="20"/>
                <w:szCs w:val="20"/>
              </w:rPr>
              <w:t>名称</w:t>
            </w:r>
          </w:p>
        </w:tc>
        <w:tc>
          <w:tcPr>
            <w:tcW w:w="8535" w:type="dxa"/>
            <w:gridSpan w:val="8"/>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年初</w:t>
            </w:r>
            <w:r>
              <w:rPr>
                <w:rFonts w:asciiTheme="minorEastAsia" w:hAnsiTheme="minorEastAsia" w:eastAsiaTheme="minorEastAsia"/>
                <w:sz w:val="20"/>
                <w:szCs w:val="20"/>
                <w:lang w:eastAsia="zh-CN"/>
              </w:rPr>
              <w:t>-</w:t>
            </w:r>
            <w:r>
              <w:rPr>
                <w:rFonts w:hint="eastAsia" w:asciiTheme="minorEastAsia" w:hAnsiTheme="minorEastAsia" w:eastAsiaTheme="minorEastAsia"/>
                <w:sz w:val="20"/>
                <w:szCs w:val="20"/>
                <w:lang w:eastAsia="zh-CN"/>
              </w:rPr>
              <w:t>社会福利（六十年代精简退职）</w:t>
            </w: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r>
              <w:rPr>
                <w:rFonts w:asciiTheme="minorEastAsia" w:hAnsiTheme="minorEastAsia" w:eastAsiaTheme="minorEastAsia"/>
                <w:sz w:val="20"/>
                <w:szCs w:val="20"/>
                <w:lang w:eastAsia="zh-CN"/>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45"/>
              <w:rPr>
                <w:rFonts w:asciiTheme="minorEastAsia" w:hAnsiTheme="minorEastAsia" w:eastAsiaTheme="minorEastAsia"/>
                <w:sz w:val="20"/>
                <w:szCs w:val="20"/>
              </w:rPr>
            </w:pPr>
            <w:r>
              <w:rPr>
                <w:rFonts w:asciiTheme="minorEastAsia" w:hAnsiTheme="minorEastAsia" w:eastAsiaTheme="minorEastAsia"/>
                <w:spacing w:val="5"/>
                <w:sz w:val="20"/>
                <w:szCs w:val="20"/>
              </w:rPr>
              <w:t>主管部门</w:t>
            </w:r>
          </w:p>
        </w:tc>
        <w:tc>
          <w:tcPr>
            <w:tcW w:w="4515"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c>
          <w:tcPr>
            <w:tcW w:w="1129" w:type="dxa"/>
          </w:tcPr>
          <w:p>
            <w:pPr>
              <w:pStyle w:val="12"/>
              <w:keepNext w:val="0"/>
              <w:keepLines w:val="0"/>
              <w:pageBreakBefore w:val="0"/>
              <w:kinsoku/>
              <w:wordWrap/>
              <w:overflowPunct/>
              <w:topLinePunct w:val="0"/>
              <w:autoSpaceDE/>
              <w:autoSpaceDN/>
              <w:bidi w:val="0"/>
              <w:adjustRightInd w:val="0"/>
              <w:snapToGrid w:val="0"/>
              <w:spacing w:before="39" w:line="213" w:lineRule="auto"/>
              <w:ind w:left="155"/>
              <w:rPr>
                <w:rFonts w:asciiTheme="minorEastAsia" w:hAnsiTheme="minorEastAsia" w:eastAsiaTheme="minorEastAsia"/>
                <w:sz w:val="20"/>
                <w:szCs w:val="20"/>
              </w:rPr>
            </w:pPr>
            <w:r>
              <w:rPr>
                <w:rFonts w:asciiTheme="minorEastAsia" w:hAnsiTheme="minorEastAsia" w:eastAsiaTheme="minorEastAsia"/>
                <w:spacing w:val="1"/>
                <w:sz w:val="20"/>
                <w:szCs w:val="20"/>
              </w:rPr>
              <w:t>实施单位</w:t>
            </w:r>
          </w:p>
        </w:tc>
        <w:tc>
          <w:tcPr>
            <w:tcW w:w="2891" w:type="dxa"/>
            <w:gridSpan w:val="3"/>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cs="宋体" w:asciiTheme="minorEastAsia" w:hAnsiTheme="minorEastAsia" w:eastAsiaTheme="minorEastAsia"/>
                <w:sz w:val="20"/>
                <w:szCs w:val="20"/>
              </w:rPr>
              <w:t>益阳市资阳区民政局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104" w:type="dxa"/>
            <w:vMerge w:val="restart"/>
            <w:tcBorders>
              <w:bottom w:val="nil"/>
            </w:tcBorders>
          </w:tcPr>
          <w:p>
            <w:pPr>
              <w:keepNext w:val="0"/>
              <w:keepLines w:val="0"/>
              <w:pageBreakBefore w:val="0"/>
              <w:kinsoku/>
              <w:wordWrap/>
              <w:overflowPunct/>
              <w:topLinePunct w:val="0"/>
              <w:autoSpaceDE/>
              <w:autoSpaceDN/>
              <w:bidi w:val="0"/>
              <w:adjustRightInd w:val="0"/>
              <w:snapToGrid w:val="0"/>
              <w:spacing w:line="260" w:lineRule="auto"/>
              <w:rPr>
                <w:rFonts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spacing w:line="261"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ind w:left="145"/>
              <w:rPr>
                <w:rFonts w:asciiTheme="minorEastAsia" w:hAnsiTheme="minorEastAsia" w:eastAsiaTheme="minorEastAsia"/>
                <w:sz w:val="20"/>
                <w:szCs w:val="20"/>
              </w:rPr>
            </w:pPr>
            <w:r>
              <w:rPr>
                <w:rFonts w:asciiTheme="minorEastAsia" w:hAnsiTheme="minorEastAsia" w:eastAsiaTheme="minorEastAsia"/>
                <w:spacing w:val="-3"/>
                <w:sz w:val="20"/>
                <w:szCs w:val="20"/>
              </w:rPr>
              <w:t>项目资金</w:t>
            </w:r>
          </w:p>
          <w:p>
            <w:pPr>
              <w:pStyle w:val="12"/>
              <w:keepNext w:val="0"/>
              <w:keepLines w:val="0"/>
              <w:pageBreakBefore w:val="0"/>
              <w:kinsoku/>
              <w:wordWrap/>
              <w:overflowPunct/>
              <w:topLinePunct w:val="0"/>
              <w:autoSpaceDE/>
              <w:autoSpaceDN/>
              <w:bidi w:val="0"/>
              <w:adjustRightInd w:val="0"/>
              <w:snapToGrid w:val="0"/>
              <w:spacing w:before="51" w:line="220" w:lineRule="auto"/>
              <w:ind w:left="245"/>
              <w:rPr>
                <w:rFonts w:asciiTheme="minorEastAsia" w:hAnsiTheme="minorEastAsia" w:eastAsiaTheme="minorEastAsia"/>
                <w:sz w:val="20"/>
                <w:szCs w:val="20"/>
              </w:rPr>
            </w:pPr>
            <w:r>
              <w:rPr>
                <w:rFonts w:asciiTheme="minorEastAsia" w:hAnsiTheme="minorEastAsia" w:eastAsiaTheme="minorEastAsia"/>
                <w:spacing w:val="10"/>
                <w:sz w:val="20"/>
                <w:szCs w:val="20"/>
              </w:rPr>
              <w:t>(万元)</w:t>
            </w:r>
          </w:p>
        </w:tc>
        <w:tc>
          <w:tcPr>
            <w:tcW w:w="2148" w:type="dxa"/>
            <w:gridSpan w:val="2"/>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228" w:type="dxa"/>
          </w:tcPr>
          <w:p>
            <w:pPr>
              <w:pStyle w:val="12"/>
              <w:keepNext w:val="0"/>
              <w:keepLines w:val="0"/>
              <w:pageBreakBefore w:val="0"/>
              <w:kinsoku/>
              <w:wordWrap/>
              <w:overflowPunct/>
              <w:topLinePunct w:val="0"/>
              <w:autoSpaceDE/>
              <w:autoSpaceDN/>
              <w:bidi w:val="0"/>
              <w:adjustRightInd w:val="0"/>
              <w:snapToGrid w:val="0"/>
              <w:spacing w:before="28" w:line="281" w:lineRule="exact"/>
              <w:ind w:left="402"/>
              <w:rPr>
                <w:rFonts w:asciiTheme="minorEastAsia" w:hAnsiTheme="minorEastAsia" w:eastAsiaTheme="minorEastAsia"/>
                <w:sz w:val="20"/>
                <w:szCs w:val="20"/>
              </w:rPr>
            </w:pPr>
            <w:r>
              <w:rPr>
                <w:rFonts w:asciiTheme="minorEastAsia" w:hAnsiTheme="minorEastAsia" w:eastAsiaTheme="minorEastAsia"/>
                <w:spacing w:val="-3"/>
                <w:position w:val="5"/>
                <w:sz w:val="20"/>
                <w:szCs w:val="20"/>
              </w:rPr>
              <w:t>年初</w:t>
            </w:r>
          </w:p>
          <w:p>
            <w:pPr>
              <w:pStyle w:val="12"/>
              <w:keepNext w:val="0"/>
              <w:keepLines w:val="0"/>
              <w:pageBreakBefore w:val="0"/>
              <w:kinsoku/>
              <w:wordWrap/>
              <w:overflowPunct/>
              <w:topLinePunct w:val="0"/>
              <w:autoSpaceDE/>
              <w:autoSpaceDN/>
              <w:bidi w:val="0"/>
              <w:adjustRightInd w:val="0"/>
              <w:snapToGrid w:val="0"/>
              <w:spacing w:line="212" w:lineRule="auto"/>
              <w:ind w:left="283"/>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39" w:type="dxa"/>
          </w:tcPr>
          <w:p>
            <w:pPr>
              <w:pStyle w:val="12"/>
              <w:keepNext w:val="0"/>
              <w:keepLines w:val="0"/>
              <w:pageBreakBefore w:val="0"/>
              <w:kinsoku/>
              <w:wordWrap/>
              <w:overflowPunct/>
              <w:topLinePunct w:val="0"/>
              <w:autoSpaceDE/>
              <w:autoSpaceDN/>
              <w:bidi w:val="0"/>
              <w:adjustRightInd w:val="0"/>
              <w:snapToGrid w:val="0"/>
              <w:spacing w:before="28" w:line="301" w:lineRule="exact"/>
              <w:ind w:left="364"/>
              <w:rPr>
                <w:rFonts w:asciiTheme="minorEastAsia" w:hAnsiTheme="minorEastAsia" w:eastAsiaTheme="minorEastAsia"/>
                <w:sz w:val="20"/>
                <w:szCs w:val="20"/>
              </w:rPr>
            </w:pPr>
            <w:r>
              <w:rPr>
                <w:rFonts w:asciiTheme="minorEastAsia" w:hAnsiTheme="minorEastAsia" w:eastAsiaTheme="minorEastAsia"/>
                <w:spacing w:val="-2"/>
                <w:position w:val="7"/>
                <w:sz w:val="20"/>
                <w:szCs w:val="20"/>
              </w:rPr>
              <w:t>全年</w:t>
            </w:r>
          </w:p>
          <w:p>
            <w:pPr>
              <w:pStyle w:val="12"/>
              <w:keepNext w:val="0"/>
              <w:keepLines w:val="0"/>
              <w:pageBreakBefore w:val="0"/>
              <w:kinsoku/>
              <w:wordWrap/>
              <w:overflowPunct/>
              <w:topLinePunct w:val="0"/>
              <w:autoSpaceDE/>
              <w:autoSpaceDN/>
              <w:bidi w:val="0"/>
              <w:adjustRightInd w:val="0"/>
              <w:snapToGrid w:val="0"/>
              <w:spacing w:line="193"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预算数</w:t>
            </w:r>
          </w:p>
        </w:tc>
        <w:tc>
          <w:tcPr>
            <w:tcW w:w="1129" w:type="dxa"/>
          </w:tcPr>
          <w:p>
            <w:pPr>
              <w:pStyle w:val="12"/>
              <w:keepNext w:val="0"/>
              <w:keepLines w:val="0"/>
              <w:pageBreakBefore w:val="0"/>
              <w:kinsoku/>
              <w:wordWrap/>
              <w:overflowPunct/>
              <w:topLinePunct w:val="0"/>
              <w:autoSpaceDE/>
              <w:autoSpaceDN/>
              <w:bidi w:val="0"/>
              <w:adjustRightInd w:val="0"/>
              <w:snapToGrid w:val="0"/>
              <w:spacing w:before="38" w:line="280" w:lineRule="exact"/>
              <w:ind w:left="355"/>
              <w:rPr>
                <w:rFonts w:asciiTheme="minorEastAsia" w:hAnsiTheme="minorEastAsia" w:eastAsiaTheme="minorEastAsia"/>
                <w:sz w:val="20"/>
                <w:szCs w:val="20"/>
              </w:rPr>
            </w:pPr>
            <w:r>
              <w:rPr>
                <w:rFonts w:asciiTheme="minorEastAsia" w:hAnsiTheme="minorEastAsia" w:eastAsiaTheme="minorEastAsia"/>
                <w:spacing w:val="-2"/>
                <w:position w:val="5"/>
                <w:sz w:val="20"/>
                <w:szCs w:val="20"/>
              </w:rPr>
              <w:t>全年</w:t>
            </w:r>
          </w:p>
          <w:p>
            <w:pPr>
              <w:pStyle w:val="12"/>
              <w:keepNext w:val="0"/>
              <w:keepLines w:val="0"/>
              <w:pageBreakBefore w:val="0"/>
              <w:kinsoku/>
              <w:wordWrap/>
              <w:overflowPunct/>
              <w:topLinePunct w:val="0"/>
              <w:autoSpaceDE/>
              <w:autoSpaceDN/>
              <w:bidi w:val="0"/>
              <w:adjustRightInd w:val="0"/>
              <w:snapToGrid w:val="0"/>
              <w:spacing w:line="203" w:lineRule="auto"/>
              <w:ind w:left="256"/>
              <w:rPr>
                <w:rFonts w:asciiTheme="minorEastAsia" w:hAnsiTheme="minorEastAsia" w:eastAsiaTheme="minorEastAsia"/>
                <w:sz w:val="20"/>
                <w:szCs w:val="20"/>
              </w:rPr>
            </w:pPr>
            <w:r>
              <w:rPr>
                <w:rFonts w:asciiTheme="minorEastAsia" w:hAnsiTheme="minorEastAsia" w:eastAsiaTheme="minorEastAsia"/>
                <w:spacing w:val="-2"/>
                <w:sz w:val="20"/>
                <w:szCs w:val="20"/>
              </w:rPr>
              <w:t>执行数</w:t>
            </w:r>
          </w:p>
        </w:tc>
        <w:tc>
          <w:tcPr>
            <w:tcW w:w="81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138"/>
              <w:rPr>
                <w:rFonts w:asciiTheme="minorEastAsia" w:hAnsiTheme="minorEastAsia" w:eastAsiaTheme="minorEastAsia"/>
                <w:sz w:val="20"/>
                <w:szCs w:val="20"/>
              </w:rPr>
            </w:pPr>
            <w:r>
              <w:rPr>
                <w:rFonts w:asciiTheme="minorEastAsia" w:hAnsiTheme="minorEastAsia" w:eastAsiaTheme="minorEastAsia"/>
                <w:spacing w:val="-2"/>
                <w:sz w:val="20"/>
                <w:szCs w:val="20"/>
              </w:rPr>
              <w:t>执行率</w:t>
            </w:r>
          </w:p>
        </w:tc>
        <w:tc>
          <w:tcPr>
            <w:tcW w:w="1193" w:type="dxa"/>
          </w:tcPr>
          <w:p>
            <w:pPr>
              <w:pStyle w:val="12"/>
              <w:keepNext w:val="0"/>
              <w:keepLines w:val="0"/>
              <w:pageBreakBefore w:val="0"/>
              <w:kinsoku/>
              <w:wordWrap/>
              <w:overflowPunct/>
              <w:topLinePunct w:val="0"/>
              <w:autoSpaceDE/>
              <w:autoSpaceDN/>
              <w:bidi w:val="0"/>
              <w:adjustRightInd w:val="0"/>
              <w:snapToGrid w:val="0"/>
              <w:spacing w:before="179" w:line="219" w:lineRule="auto"/>
              <w:ind w:left="298"/>
              <w:rPr>
                <w:rFonts w:asciiTheme="minorEastAsia" w:hAnsiTheme="minorEastAsia" w:eastAsiaTheme="minorEastAsia"/>
                <w:sz w:val="20"/>
                <w:szCs w:val="20"/>
              </w:rPr>
            </w:pPr>
            <w:r>
              <w:rPr>
                <w:rFonts w:asciiTheme="minorEastAsia" w:hAnsiTheme="minorEastAsia" w:eastAsiaTheme="minorEastAsia"/>
                <w:spacing w:val="2"/>
                <w:sz w:val="20"/>
                <w:szCs w:val="20"/>
              </w:rPr>
              <w:t>自评得分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0" w:line="203" w:lineRule="auto"/>
              <w:ind w:left="110"/>
              <w:rPr>
                <w:rFonts w:asciiTheme="minorEastAsia" w:hAnsiTheme="minorEastAsia" w:eastAsiaTheme="minorEastAsia"/>
                <w:sz w:val="20"/>
                <w:szCs w:val="20"/>
              </w:rPr>
            </w:pPr>
            <w:r>
              <w:rPr>
                <w:rFonts w:asciiTheme="minorEastAsia" w:hAnsiTheme="minorEastAsia" w:eastAsiaTheme="minorEastAsia"/>
                <w:spacing w:val="-2"/>
                <w:sz w:val="20"/>
                <w:szCs w:val="20"/>
              </w:rPr>
              <w:t>年度资金总额</w:t>
            </w:r>
          </w:p>
        </w:tc>
        <w:tc>
          <w:tcPr>
            <w:tcW w:w="1228" w:type="dxa"/>
          </w:tcPr>
          <w:p>
            <w:pPr>
              <w:keepNext w:val="0"/>
              <w:keepLines w:val="0"/>
              <w:pageBreakBefore w:val="0"/>
              <w:kinsoku/>
              <w:wordWrap/>
              <w:overflowPunct/>
              <w:topLinePunct w:val="0"/>
              <w:autoSpaceDE/>
              <w:autoSpaceDN/>
              <w:bidi w:val="0"/>
              <w:adjustRightInd w:val="0"/>
              <w:snapToGrid w:val="0"/>
              <w:rPr>
                <w:rFonts w:hint="default"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eastAsia="zh-CN"/>
              </w:rPr>
              <w:t>1</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w:t>
            </w:r>
          </w:p>
        </w:tc>
        <w:tc>
          <w:tcPr>
            <w:tcW w:w="819" w:type="dxa"/>
          </w:tcPr>
          <w:p>
            <w:pPr>
              <w:pStyle w:val="12"/>
              <w:keepNext w:val="0"/>
              <w:keepLines w:val="0"/>
              <w:pageBreakBefore w:val="0"/>
              <w:kinsoku/>
              <w:wordWrap/>
              <w:overflowPunct/>
              <w:topLinePunct w:val="0"/>
              <w:autoSpaceDE/>
              <w:autoSpaceDN/>
              <w:bidi w:val="0"/>
              <w:adjustRightInd w:val="0"/>
              <w:snapToGrid w:val="0"/>
              <w:spacing w:before="31" w:line="202" w:lineRule="auto"/>
              <w:ind w:left="206"/>
              <w:rPr>
                <w:rFonts w:asciiTheme="minorEastAsia" w:hAnsiTheme="minorEastAsia" w:eastAsiaTheme="minorEastAsia"/>
                <w:sz w:val="20"/>
                <w:szCs w:val="20"/>
              </w:rPr>
            </w:pPr>
            <w:r>
              <w:rPr>
                <w:rFonts w:asciiTheme="minorEastAsia" w:hAnsiTheme="minorEastAsia" w:eastAsiaTheme="minorEastAsia"/>
                <w:spacing w:val="2"/>
                <w:sz w:val="20"/>
                <w:szCs w:val="20"/>
              </w:rPr>
              <w:t>10分</w:t>
            </w: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03" w:lineRule="auto"/>
              <w:ind w:left="160"/>
              <w:rPr>
                <w:rFonts w:asciiTheme="minorEastAsia" w:hAnsiTheme="minorEastAsia" w:eastAsiaTheme="minorEastAsia"/>
                <w:sz w:val="20"/>
                <w:szCs w:val="20"/>
              </w:rPr>
            </w:pPr>
            <w:r>
              <w:rPr>
                <w:rFonts w:asciiTheme="minorEastAsia" w:hAnsiTheme="minorEastAsia" w:eastAsiaTheme="minorEastAsia"/>
                <w:spacing w:val="-1"/>
                <w:sz w:val="20"/>
                <w:szCs w:val="20"/>
              </w:rPr>
              <w:t>其中：当年财政拨款</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w:t>
            </w: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w:t>
            </w: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1</w:t>
            </w: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top w:val="nil"/>
              <w:bottom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40" w:line="212" w:lineRule="auto"/>
              <w:ind w:left="750"/>
              <w:rPr>
                <w:rFonts w:asciiTheme="minorEastAsia" w:hAnsiTheme="minorEastAsia" w:eastAsiaTheme="minorEastAsia"/>
                <w:sz w:val="20"/>
                <w:szCs w:val="20"/>
              </w:rPr>
            </w:pPr>
            <w:r>
              <w:rPr>
                <w:rFonts w:asciiTheme="minorEastAsia" w:hAnsiTheme="minorEastAsia" w:eastAsiaTheme="minorEastAsia"/>
                <w:spacing w:val="-2"/>
                <w:sz w:val="20"/>
                <w:szCs w:val="20"/>
              </w:rPr>
              <w:t>上年结转资金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2148" w:type="dxa"/>
            <w:gridSpan w:val="2"/>
          </w:tcPr>
          <w:p>
            <w:pPr>
              <w:pStyle w:val="12"/>
              <w:keepNext w:val="0"/>
              <w:keepLines w:val="0"/>
              <w:pageBreakBefore w:val="0"/>
              <w:kinsoku/>
              <w:wordWrap/>
              <w:overflowPunct/>
              <w:topLinePunct w:val="0"/>
              <w:autoSpaceDE/>
              <w:autoSpaceDN/>
              <w:bidi w:val="0"/>
              <w:adjustRightInd w:val="0"/>
              <w:snapToGrid w:val="0"/>
              <w:spacing w:before="31" w:line="202" w:lineRule="auto"/>
              <w:ind w:left="661"/>
              <w:rPr>
                <w:rFonts w:asciiTheme="minorEastAsia" w:hAnsiTheme="minorEastAsia" w:eastAsiaTheme="minorEastAsia"/>
                <w:sz w:val="20"/>
                <w:szCs w:val="20"/>
              </w:rPr>
            </w:pPr>
            <w:r>
              <w:rPr>
                <w:rFonts w:asciiTheme="minorEastAsia" w:hAnsiTheme="minorEastAsia" w:eastAsiaTheme="minorEastAsia"/>
                <w:spacing w:val="-2"/>
                <w:sz w:val="20"/>
                <w:szCs w:val="20"/>
              </w:rPr>
              <w:t>其他资金</w:t>
            </w:r>
          </w:p>
        </w:tc>
        <w:tc>
          <w:tcPr>
            <w:tcW w:w="1228"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3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2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1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879"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restart"/>
            <w:tcBorders>
              <w:bottom w:val="nil"/>
            </w:tcBorders>
          </w:tcPr>
          <w:p>
            <w:pPr>
              <w:pStyle w:val="12"/>
              <w:keepNext w:val="0"/>
              <w:keepLines w:val="0"/>
              <w:pageBreakBefore w:val="0"/>
              <w:kinsoku/>
              <w:wordWrap/>
              <w:overflowPunct/>
              <w:topLinePunct w:val="0"/>
              <w:autoSpaceDE/>
              <w:autoSpaceDN/>
              <w:bidi w:val="0"/>
              <w:adjustRightInd w:val="0"/>
              <w:snapToGrid w:val="0"/>
              <w:spacing w:before="30"/>
              <w:ind w:left="344" w:right="157" w:hanging="199"/>
              <w:rPr>
                <w:rFonts w:asciiTheme="minorEastAsia" w:hAnsiTheme="minorEastAsia" w:eastAsiaTheme="minorEastAsia"/>
                <w:sz w:val="20"/>
                <w:szCs w:val="20"/>
              </w:rPr>
            </w:pPr>
            <w:r>
              <w:rPr>
                <w:rFonts w:asciiTheme="minorEastAsia" w:hAnsiTheme="minorEastAsia" w:eastAsiaTheme="minorEastAsia"/>
                <w:spacing w:val="-3"/>
                <w:sz w:val="20"/>
                <w:szCs w:val="20"/>
              </w:rPr>
              <w:t>年度总体</w:t>
            </w:r>
            <w:r>
              <w:rPr>
                <w:rFonts w:asciiTheme="minorEastAsia" w:hAnsiTheme="minorEastAsia" w:eastAsiaTheme="minorEastAsia"/>
                <w:spacing w:val="2"/>
                <w:sz w:val="20"/>
                <w:szCs w:val="20"/>
              </w:rPr>
              <w:t xml:space="preserve"> </w:t>
            </w:r>
            <w:r>
              <w:rPr>
                <w:rFonts w:asciiTheme="minorEastAsia" w:hAnsiTheme="minorEastAsia" w:eastAsiaTheme="minorEastAsia"/>
                <w:spacing w:val="8"/>
                <w:sz w:val="20"/>
                <w:szCs w:val="20"/>
              </w:rPr>
              <w:t>目标</w:t>
            </w:r>
          </w:p>
        </w:tc>
        <w:tc>
          <w:tcPr>
            <w:tcW w:w="4515"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861"/>
              <w:rPr>
                <w:rFonts w:asciiTheme="minorEastAsia" w:hAnsiTheme="minorEastAsia" w:eastAsiaTheme="minorEastAsia"/>
                <w:sz w:val="20"/>
                <w:szCs w:val="20"/>
              </w:rPr>
            </w:pPr>
            <w:r>
              <w:rPr>
                <w:rFonts w:asciiTheme="minorEastAsia" w:hAnsiTheme="minorEastAsia" w:eastAsiaTheme="minorEastAsia"/>
                <w:spacing w:val="-2"/>
                <w:sz w:val="20"/>
                <w:szCs w:val="20"/>
              </w:rPr>
              <w:t>预期目标</w:t>
            </w:r>
          </w:p>
        </w:tc>
        <w:tc>
          <w:tcPr>
            <w:tcW w:w="4020" w:type="dxa"/>
            <w:gridSpan w:val="4"/>
          </w:tcPr>
          <w:p>
            <w:pPr>
              <w:pStyle w:val="12"/>
              <w:keepNext w:val="0"/>
              <w:keepLines w:val="0"/>
              <w:pageBreakBefore w:val="0"/>
              <w:kinsoku/>
              <w:wordWrap/>
              <w:overflowPunct/>
              <w:topLinePunct w:val="0"/>
              <w:autoSpaceDE/>
              <w:autoSpaceDN/>
              <w:bidi w:val="0"/>
              <w:adjustRightInd w:val="0"/>
              <w:snapToGrid w:val="0"/>
              <w:spacing w:before="40" w:line="212" w:lineRule="auto"/>
              <w:ind w:left="1506"/>
              <w:rPr>
                <w:rFonts w:asciiTheme="minorEastAsia" w:hAnsiTheme="minorEastAsia" w:eastAsiaTheme="minorEastAsia"/>
                <w:sz w:val="20"/>
                <w:szCs w:val="20"/>
              </w:rPr>
            </w:pPr>
            <w:r>
              <w:rPr>
                <w:rFonts w:asciiTheme="minorEastAsia" w:hAnsiTheme="minorEastAsia" w:eastAsiaTheme="minorEastAsia"/>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104" w:type="dxa"/>
            <w:vMerge w:val="continue"/>
            <w:tcBorders>
              <w:top w:val="nil"/>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4515" w:type="dxa"/>
            <w:gridSpan w:val="4"/>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规范地名实体名称、设置地名标志。</w:t>
            </w:r>
          </w:p>
        </w:tc>
        <w:tc>
          <w:tcPr>
            <w:tcW w:w="4020" w:type="dxa"/>
            <w:gridSpan w:val="4"/>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r>
              <w:rPr>
                <w:rFonts w:hint="eastAsia" w:cs="宋体" w:asciiTheme="minorEastAsia" w:hAnsiTheme="minorEastAsia" w:eastAsiaTheme="minorEastAsia"/>
                <w:sz w:val="20"/>
                <w:szCs w:val="20"/>
                <w:lang w:eastAsia="zh-CN"/>
              </w:rPr>
              <w:t>地名实体名称得以规范、地名标志设置完成</w:t>
            </w:r>
            <w:r>
              <w:rPr>
                <w:rFonts w:hint="eastAsia" w:asciiTheme="minorEastAsia" w:hAnsiTheme="minorEastAsia" w:eastAsiaTheme="minorEastAsia"/>
                <w:sz w:val="20"/>
                <w:szCs w:val="20"/>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1104" w:type="dxa"/>
            <w:vMerge w:val="restart"/>
            <w:textDirection w:val="tbRlV"/>
          </w:tcPr>
          <w:p>
            <w:pPr>
              <w:keepNext w:val="0"/>
              <w:keepLines w:val="0"/>
              <w:pageBreakBefore w:val="0"/>
              <w:kinsoku/>
              <w:wordWrap/>
              <w:overflowPunct/>
              <w:topLinePunct w:val="0"/>
              <w:autoSpaceDE/>
              <w:autoSpaceDN/>
              <w:bidi w:val="0"/>
              <w:adjustRightInd w:val="0"/>
              <w:snapToGrid w:val="0"/>
              <w:spacing w:line="370"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7" w:line="217" w:lineRule="auto"/>
              <w:jc w:val="center"/>
              <w:rPr>
                <w:rFonts w:asciiTheme="minorEastAsia" w:hAnsiTheme="minorEastAsia" w:eastAsiaTheme="minorEastAsia"/>
                <w:sz w:val="20"/>
                <w:szCs w:val="20"/>
              </w:rPr>
            </w:pPr>
            <w:r>
              <w:rPr>
                <w:rFonts w:asciiTheme="minorEastAsia" w:hAnsiTheme="minorEastAsia" w:eastAsiaTheme="minorEastAsia"/>
                <w:sz w:val="20"/>
                <w:szCs w:val="20"/>
              </w:rPr>
              <w:t>绩</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效</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指</w:t>
            </w:r>
            <w:r>
              <w:rPr>
                <w:rFonts w:asciiTheme="minorEastAsia" w:hAnsiTheme="minorEastAsia" w:eastAsiaTheme="minorEastAsia"/>
                <w:spacing w:val="-22"/>
                <w:sz w:val="20"/>
                <w:szCs w:val="20"/>
              </w:rPr>
              <w:t xml:space="preserve"> </w:t>
            </w:r>
            <w:r>
              <w:rPr>
                <w:rFonts w:asciiTheme="minorEastAsia" w:hAnsiTheme="minorEastAsia" w:eastAsiaTheme="minorEastAsia"/>
                <w:sz w:val="20"/>
                <w:szCs w:val="20"/>
              </w:rPr>
              <w:t>标</w:t>
            </w:r>
          </w:p>
        </w:tc>
        <w:tc>
          <w:tcPr>
            <w:tcW w:w="1089" w:type="dxa"/>
            <w:tcBorders>
              <w:bottom w:val="single" w:color="auto" w:sz="4" w:space="0"/>
            </w:tcBorders>
          </w:tcPr>
          <w:p>
            <w:pPr>
              <w:pStyle w:val="12"/>
              <w:keepNext w:val="0"/>
              <w:keepLines w:val="0"/>
              <w:pageBreakBefore w:val="0"/>
              <w:kinsoku/>
              <w:wordWrap/>
              <w:overflowPunct/>
              <w:topLinePunct w:val="0"/>
              <w:autoSpaceDE/>
              <w:autoSpaceDN/>
              <w:bidi w:val="0"/>
              <w:adjustRightInd w:val="0"/>
              <w:snapToGrid w:val="0"/>
              <w:spacing w:before="260" w:line="220" w:lineRule="auto"/>
              <w:ind w:left="130"/>
              <w:rPr>
                <w:rFonts w:asciiTheme="minorEastAsia" w:hAnsiTheme="minorEastAsia" w:eastAsiaTheme="minorEastAsia"/>
                <w:sz w:val="20"/>
                <w:szCs w:val="20"/>
              </w:rPr>
            </w:pPr>
            <w:r>
              <w:rPr>
                <w:rFonts w:asciiTheme="minorEastAsia" w:hAnsiTheme="minorEastAsia" w:eastAsiaTheme="minorEastAsia"/>
                <w:spacing w:val="-3"/>
                <w:sz w:val="20"/>
                <w:szCs w:val="20"/>
              </w:rPr>
              <w:t>一级指标</w:t>
            </w:r>
          </w:p>
        </w:tc>
        <w:tc>
          <w:tcPr>
            <w:tcW w:w="1059"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122"/>
              <w:rPr>
                <w:rFonts w:asciiTheme="minorEastAsia" w:hAnsiTheme="minorEastAsia" w:eastAsiaTheme="minorEastAsia"/>
                <w:sz w:val="20"/>
                <w:szCs w:val="20"/>
              </w:rPr>
            </w:pPr>
            <w:r>
              <w:rPr>
                <w:rFonts w:asciiTheme="minorEastAsia" w:hAnsiTheme="minorEastAsia" w:eastAsiaTheme="minorEastAsia"/>
                <w:spacing w:val="-3"/>
                <w:sz w:val="20"/>
                <w:szCs w:val="20"/>
              </w:rPr>
              <w:t>二级指标</w:t>
            </w:r>
          </w:p>
        </w:tc>
        <w:tc>
          <w:tcPr>
            <w:tcW w:w="1228" w:type="dxa"/>
          </w:tcPr>
          <w:p>
            <w:pPr>
              <w:pStyle w:val="12"/>
              <w:keepNext w:val="0"/>
              <w:keepLines w:val="0"/>
              <w:pageBreakBefore w:val="0"/>
              <w:kinsoku/>
              <w:wordWrap/>
              <w:overflowPunct/>
              <w:topLinePunct w:val="0"/>
              <w:autoSpaceDE/>
              <w:autoSpaceDN/>
              <w:bidi w:val="0"/>
              <w:adjustRightInd w:val="0"/>
              <w:snapToGrid w:val="0"/>
              <w:spacing w:before="260" w:line="220" w:lineRule="auto"/>
              <w:ind w:left="223"/>
              <w:rPr>
                <w:rFonts w:asciiTheme="minorEastAsia" w:hAnsiTheme="minorEastAsia" w:eastAsiaTheme="minorEastAsia"/>
                <w:sz w:val="20"/>
                <w:szCs w:val="20"/>
              </w:rPr>
            </w:pPr>
            <w:r>
              <w:rPr>
                <w:rFonts w:asciiTheme="minorEastAsia" w:hAnsiTheme="minorEastAsia" w:eastAsiaTheme="minorEastAsia"/>
                <w:spacing w:val="-2"/>
                <w:sz w:val="20"/>
                <w:szCs w:val="20"/>
              </w:rPr>
              <w:t>三级指标</w:t>
            </w:r>
          </w:p>
        </w:tc>
        <w:tc>
          <w:tcPr>
            <w:tcW w:w="1139" w:type="dxa"/>
          </w:tcPr>
          <w:p>
            <w:pPr>
              <w:pStyle w:val="12"/>
              <w:keepNext w:val="0"/>
              <w:keepLines w:val="0"/>
              <w:pageBreakBefore w:val="0"/>
              <w:kinsoku/>
              <w:wordWrap/>
              <w:overflowPunct/>
              <w:topLinePunct w:val="0"/>
              <w:autoSpaceDE/>
              <w:autoSpaceDN/>
              <w:bidi w:val="0"/>
              <w:adjustRightInd w:val="0"/>
              <w:snapToGrid w:val="0"/>
              <w:spacing w:before="150" w:line="212" w:lineRule="auto"/>
              <w:ind w:left="364"/>
              <w:rPr>
                <w:rFonts w:asciiTheme="minorEastAsia" w:hAnsiTheme="minorEastAsia" w:eastAsiaTheme="minorEastAsia"/>
                <w:sz w:val="20"/>
                <w:szCs w:val="20"/>
              </w:rPr>
            </w:pPr>
            <w:r>
              <w:rPr>
                <w:rFonts w:asciiTheme="minorEastAsia" w:hAnsiTheme="minorEastAsia" w:eastAsiaTheme="minorEastAsia"/>
                <w:spacing w:val="5"/>
                <w:sz w:val="20"/>
                <w:szCs w:val="20"/>
              </w:rPr>
              <w:t>年度</w:t>
            </w:r>
          </w:p>
          <w:p>
            <w:pPr>
              <w:pStyle w:val="12"/>
              <w:keepNext w:val="0"/>
              <w:keepLines w:val="0"/>
              <w:pageBreakBefore w:val="0"/>
              <w:kinsoku/>
              <w:wordWrap/>
              <w:overflowPunct/>
              <w:topLinePunct w:val="0"/>
              <w:autoSpaceDE/>
              <w:autoSpaceDN/>
              <w:bidi w:val="0"/>
              <w:adjustRightInd w:val="0"/>
              <w:snapToGrid w:val="0"/>
              <w:spacing w:line="219" w:lineRule="auto"/>
              <w:ind w:left="265"/>
              <w:rPr>
                <w:rFonts w:asciiTheme="minorEastAsia" w:hAnsiTheme="minorEastAsia" w:eastAsiaTheme="minorEastAsia"/>
                <w:sz w:val="20"/>
                <w:szCs w:val="20"/>
              </w:rPr>
            </w:pPr>
            <w:r>
              <w:rPr>
                <w:rFonts w:asciiTheme="minorEastAsia" w:hAnsiTheme="minorEastAsia" w:eastAsiaTheme="minorEastAsia"/>
                <w:spacing w:val="-3"/>
                <w:sz w:val="20"/>
                <w:szCs w:val="20"/>
              </w:rPr>
              <w:t>指标值</w:t>
            </w:r>
          </w:p>
        </w:tc>
        <w:tc>
          <w:tcPr>
            <w:tcW w:w="1129" w:type="dxa"/>
          </w:tcPr>
          <w:p>
            <w:pPr>
              <w:pStyle w:val="12"/>
              <w:keepNext w:val="0"/>
              <w:keepLines w:val="0"/>
              <w:pageBreakBefore w:val="0"/>
              <w:kinsoku/>
              <w:wordWrap/>
              <w:overflowPunct/>
              <w:topLinePunct w:val="0"/>
              <w:autoSpaceDE/>
              <w:autoSpaceDN/>
              <w:bidi w:val="0"/>
              <w:adjustRightInd w:val="0"/>
              <w:snapToGrid w:val="0"/>
              <w:spacing w:before="140" w:line="212" w:lineRule="auto"/>
              <w:ind w:left="355"/>
              <w:rPr>
                <w:rFonts w:asciiTheme="minorEastAsia" w:hAnsiTheme="minorEastAsia" w:eastAsiaTheme="minorEastAsia"/>
                <w:sz w:val="20"/>
                <w:szCs w:val="20"/>
              </w:rPr>
            </w:pPr>
            <w:r>
              <w:rPr>
                <w:rFonts w:asciiTheme="minorEastAsia" w:hAnsiTheme="minorEastAsia" w:eastAsiaTheme="minorEastAsia"/>
                <w:spacing w:val="4"/>
                <w:sz w:val="20"/>
                <w:szCs w:val="20"/>
              </w:rPr>
              <w:t>实际</w:t>
            </w:r>
          </w:p>
          <w:p>
            <w:pPr>
              <w:pStyle w:val="12"/>
              <w:keepNext w:val="0"/>
              <w:keepLines w:val="0"/>
              <w:pageBreakBefore w:val="0"/>
              <w:kinsoku/>
              <w:wordWrap/>
              <w:overflowPunct/>
              <w:topLinePunct w:val="0"/>
              <w:autoSpaceDE/>
              <w:autoSpaceDN/>
              <w:bidi w:val="0"/>
              <w:adjustRightInd w:val="0"/>
              <w:snapToGrid w:val="0"/>
              <w:spacing w:line="219" w:lineRule="auto"/>
              <w:ind w:left="256"/>
              <w:rPr>
                <w:rFonts w:asciiTheme="minorEastAsia" w:hAnsiTheme="minorEastAsia" w:eastAsiaTheme="minorEastAsia"/>
                <w:sz w:val="20"/>
                <w:szCs w:val="20"/>
              </w:rPr>
            </w:pPr>
            <w:r>
              <w:rPr>
                <w:rFonts w:asciiTheme="minorEastAsia" w:hAnsiTheme="minorEastAsia" w:eastAsiaTheme="minorEastAsia"/>
                <w:spacing w:val="-3"/>
                <w:sz w:val="20"/>
                <w:szCs w:val="20"/>
              </w:rPr>
              <w:t>完成值</w:t>
            </w:r>
          </w:p>
        </w:tc>
        <w:tc>
          <w:tcPr>
            <w:tcW w:w="819" w:type="dxa"/>
          </w:tcPr>
          <w:p>
            <w:pPr>
              <w:pStyle w:val="12"/>
              <w:keepNext w:val="0"/>
              <w:keepLines w:val="0"/>
              <w:pageBreakBefore w:val="0"/>
              <w:kinsoku/>
              <w:wordWrap/>
              <w:overflowPunct/>
              <w:topLinePunct w:val="0"/>
              <w:autoSpaceDE/>
              <w:autoSpaceDN/>
              <w:bidi w:val="0"/>
              <w:adjustRightInd w:val="0"/>
              <w:snapToGrid w:val="0"/>
              <w:spacing w:before="260" w:line="219" w:lineRule="auto"/>
              <w:ind w:left="206"/>
              <w:rPr>
                <w:rFonts w:asciiTheme="minorEastAsia" w:hAnsiTheme="minorEastAsia" w:eastAsiaTheme="minorEastAsia"/>
                <w:sz w:val="20"/>
                <w:szCs w:val="20"/>
              </w:rPr>
            </w:pPr>
            <w:r>
              <w:rPr>
                <w:rFonts w:asciiTheme="minorEastAsia" w:hAnsiTheme="minorEastAsia" w:eastAsiaTheme="minorEastAsia"/>
                <w:spacing w:val="-3"/>
                <w:sz w:val="20"/>
                <w:szCs w:val="20"/>
              </w:rPr>
              <w:t>分值</w:t>
            </w:r>
          </w:p>
        </w:tc>
        <w:tc>
          <w:tcPr>
            <w:tcW w:w="879" w:type="dxa"/>
          </w:tcPr>
          <w:p>
            <w:pPr>
              <w:pStyle w:val="12"/>
              <w:keepNext w:val="0"/>
              <w:keepLines w:val="0"/>
              <w:pageBreakBefore w:val="0"/>
              <w:kinsoku/>
              <w:wordWrap/>
              <w:overflowPunct/>
              <w:topLinePunct w:val="0"/>
              <w:autoSpaceDE/>
              <w:autoSpaceDN/>
              <w:bidi w:val="0"/>
              <w:adjustRightInd w:val="0"/>
              <w:snapToGrid w:val="0"/>
              <w:spacing w:before="140" w:line="207" w:lineRule="auto"/>
              <w:ind w:left="338" w:right="123" w:hanging="200"/>
              <w:rPr>
                <w:rFonts w:asciiTheme="minorEastAsia" w:hAnsiTheme="minorEastAsia" w:eastAsiaTheme="minorEastAsia"/>
                <w:sz w:val="20"/>
                <w:szCs w:val="20"/>
              </w:rPr>
            </w:pPr>
            <w:r>
              <w:rPr>
                <w:rFonts w:asciiTheme="minorEastAsia" w:hAnsiTheme="minorEastAsia" w:eastAsiaTheme="minorEastAsia"/>
                <w:spacing w:val="2"/>
                <w:sz w:val="20"/>
                <w:szCs w:val="20"/>
              </w:rPr>
              <w:t>自评得</w:t>
            </w:r>
            <w:r>
              <w:rPr>
                <w:rFonts w:asciiTheme="minorEastAsia" w:hAnsiTheme="minorEastAsia" w:eastAsiaTheme="minorEastAsia"/>
                <w:sz w:val="20"/>
                <w:szCs w:val="20"/>
              </w:rPr>
              <w:t xml:space="preserve"> 分</w:t>
            </w:r>
          </w:p>
        </w:tc>
        <w:tc>
          <w:tcPr>
            <w:tcW w:w="1193" w:type="dxa"/>
          </w:tcPr>
          <w:p>
            <w:pPr>
              <w:pStyle w:val="12"/>
              <w:keepNext w:val="0"/>
              <w:keepLines w:val="0"/>
              <w:pageBreakBefore w:val="0"/>
              <w:kinsoku/>
              <w:wordWrap/>
              <w:overflowPunct/>
              <w:topLinePunct w:val="0"/>
              <w:autoSpaceDE/>
              <w:autoSpaceDN/>
              <w:bidi w:val="0"/>
              <w:adjustRightInd w:val="0"/>
              <w:snapToGrid w:val="0"/>
              <w:spacing w:before="10" w:line="219"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5"/>
                <w:sz w:val="20"/>
                <w:szCs w:val="20"/>
                <w:lang w:eastAsia="zh-CN"/>
              </w:rPr>
              <w:t>偏差原因</w:t>
            </w:r>
          </w:p>
          <w:p>
            <w:pPr>
              <w:pStyle w:val="12"/>
              <w:keepNext w:val="0"/>
              <w:keepLines w:val="0"/>
              <w:pageBreakBefore w:val="0"/>
              <w:kinsoku/>
              <w:wordWrap/>
              <w:overflowPunct/>
              <w:topLinePunct w:val="0"/>
              <w:autoSpaceDE/>
              <w:autoSpaceDN/>
              <w:bidi w:val="0"/>
              <w:adjustRightInd w:val="0"/>
              <w:snapToGrid w:val="0"/>
              <w:spacing w:before="13" w:line="220" w:lineRule="auto"/>
              <w:ind w:left="399"/>
              <w:rPr>
                <w:rFonts w:asciiTheme="minorEastAsia" w:hAnsiTheme="minorEastAsia" w:eastAsiaTheme="minorEastAsia"/>
                <w:sz w:val="20"/>
                <w:szCs w:val="20"/>
                <w:lang w:eastAsia="zh-CN"/>
              </w:rPr>
            </w:pPr>
            <w:r>
              <w:rPr>
                <w:rFonts w:asciiTheme="minorEastAsia" w:hAnsiTheme="minorEastAsia" w:eastAsiaTheme="minorEastAsia"/>
                <w:spacing w:val="3"/>
                <w:sz w:val="20"/>
                <w:szCs w:val="20"/>
                <w:lang w:eastAsia="zh-CN"/>
              </w:rPr>
              <w:t>分析及</w:t>
            </w:r>
          </w:p>
          <w:p>
            <w:pPr>
              <w:pStyle w:val="12"/>
              <w:keepNext w:val="0"/>
              <w:keepLines w:val="0"/>
              <w:pageBreakBefore w:val="0"/>
              <w:kinsoku/>
              <w:wordWrap/>
              <w:overflowPunct/>
              <w:topLinePunct w:val="0"/>
              <w:autoSpaceDE/>
              <w:autoSpaceDN/>
              <w:bidi w:val="0"/>
              <w:adjustRightInd w:val="0"/>
              <w:snapToGrid w:val="0"/>
              <w:spacing w:before="10" w:line="184" w:lineRule="auto"/>
              <w:ind w:left="298"/>
              <w:rPr>
                <w:rFonts w:asciiTheme="minorEastAsia" w:hAnsiTheme="minorEastAsia" w:eastAsiaTheme="minorEastAsia"/>
                <w:sz w:val="20"/>
                <w:szCs w:val="20"/>
                <w:lang w:eastAsia="zh-CN"/>
              </w:rPr>
            </w:pPr>
            <w:r>
              <w:rPr>
                <w:rFonts w:asciiTheme="minorEastAsia" w:hAnsiTheme="minorEastAsia" w:eastAsiaTheme="minorEastAsia"/>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spacing w:line="253" w:lineRule="auto"/>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spacing w:line="254" w:lineRule="auto"/>
              <w:rPr>
                <w:rFonts w:asciiTheme="minorEastAsia" w:hAnsiTheme="minorEastAsia" w:eastAsiaTheme="minorEastAsia"/>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540" w:lineRule="exact"/>
              <w:ind w:left="130"/>
              <w:rPr>
                <w:rFonts w:asciiTheme="minorEastAsia" w:hAnsiTheme="minorEastAsia" w:eastAsiaTheme="minorEastAsia"/>
                <w:sz w:val="20"/>
                <w:szCs w:val="20"/>
              </w:rPr>
            </w:pPr>
            <w:r>
              <w:rPr>
                <w:rFonts w:asciiTheme="minorEastAsia" w:hAnsiTheme="minorEastAsia" w:eastAsiaTheme="minorEastAsia"/>
                <w:spacing w:val="-2"/>
                <w:position w:val="26"/>
                <w:sz w:val="20"/>
                <w:szCs w:val="20"/>
              </w:rPr>
              <w:t>产出指标</w:t>
            </w:r>
          </w:p>
          <w:p>
            <w:pPr>
              <w:pStyle w:val="12"/>
              <w:keepNext w:val="0"/>
              <w:keepLines w:val="0"/>
              <w:pageBreakBefore w:val="0"/>
              <w:kinsoku/>
              <w:wordWrap/>
              <w:overflowPunct/>
              <w:topLinePunct w:val="0"/>
              <w:autoSpaceDE/>
              <w:autoSpaceDN/>
              <w:bidi w:val="0"/>
              <w:adjustRightInd w:val="0"/>
              <w:snapToGrid w:val="0"/>
              <w:spacing w:line="220" w:lineRule="auto"/>
              <w:ind w:left="231"/>
              <w:rPr>
                <w:rFonts w:asciiTheme="minorEastAsia" w:hAnsiTheme="minorEastAsia" w:eastAsiaTheme="minorEastAsia"/>
                <w:sz w:val="20"/>
                <w:szCs w:val="20"/>
              </w:rPr>
            </w:pPr>
            <w:r>
              <w:rPr>
                <w:rFonts w:asciiTheme="minorEastAsia" w:hAnsiTheme="minorEastAsia" w:eastAsiaTheme="minorEastAsia"/>
                <w:spacing w:val="8"/>
                <w:sz w:val="20"/>
                <w:szCs w:val="20"/>
              </w:rPr>
              <w:t>(50分)</w:t>
            </w:r>
          </w:p>
        </w:tc>
        <w:tc>
          <w:tcPr>
            <w:tcW w:w="1059" w:type="dxa"/>
          </w:tcPr>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pacing w:val="-2"/>
                <w:sz w:val="20"/>
                <w:szCs w:val="20"/>
                <w:lang w:eastAsia="zh-CN"/>
              </w:rPr>
            </w:pPr>
          </w:p>
          <w:p>
            <w:pPr>
              <w:pStyle w:val="12"/>
              <w:keepNext w:val="0"/>
              <w:keepLines w:val="0"/>
              <w:pageBreakBefore w:val="0"/>
              <w:kinsoku/>
              <w:wordWrap/>
              <w:overflowPunct/>
              <w:topLinePunct w:val="0"/>
              <w:autoSpaceDE/>
              <w:autoSpaceDN/>
              <w:bidi w:val="0"/>
              <w:adjustRightInd w:val="0"/>
              <w:snapToGrid w:val="0"/>
              <w:spacing w:before="65"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数量指标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六十年代精简退职保障人数</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80人</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80人</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20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20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keepNext w:val="0"/>
              <w:keepLines w:val="0"/>
              <w:pageBreakBefore w:val="0"/>
              <w:kinsoku/>
              <w:wordWrap/>
              <w:overflowPunct/>
              <w:topLinePunct w:val="0"/>
              <w:autoSpaceDE/>
              <w:autoSpaceDN/>
              <w:bidi w:val="0"/>
              <w:adjustRightInd w:val="0"/>
              <w:snapToGrid w:val="0"/>
              <w:spacing w:line="255" w:lineRule="auto"/>
              <w:rPr>
                <w:rFonts w:asciiTheme="minorEastAsia" w:hAnsiTheme="minorEastAsia" w:eastAsiaTheme="minorEastAsia"/>
                <w:sz w:val="20"/>
                <w:szCs w:val="20"/>
              </w:rPr>
            </w:pPr>
          </w:p>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质量指标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rPr>
              <w:t>发放人员符合政策率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z w:val="20"/>
                <w:szCs w:val="20"/>
              </w:rPr>
            </w:pPr>
            <w:r>
              <w:rPr>
                <w:rFonts w:asciiTheme="minorEastAsia" w:hAnsiTheme="minorEastAsia" w:eastAsiaTheme="minorEastAsia"/>
                <w:spacing w:val="1"/>
                <w:sz w:val="20"/>
                <w:szCs w:val="20"/>
              </w:rPr>
              <w:t>时效指标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rPr>
            </w:pPr>
            <w:r>
              <w:rPr>
                <w:rFonts w:hint="eastAsia" w:asciiTheme="minorEastAsia" w:hAnsiTheme="minorEastAsia" w:eastAsiaTheme="minorEastAsia"/>
                <w:sz w:val="20"/>
                <w:szCs w:val="20"/>
              </w:rPr>
              <w:t>资金按时发放时限</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按月或按季发放</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按月或按季发放</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10</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rPr>
            </w:pPr>
            <w:r>
              <w:rPr>
                <w:rFonts w:hint="eastAsia" w:asciiTheme="minorEastAsia" w:hAnsiTheme="minorEastAsia" w:eastAsiaTheme="minorEastAsia"/>
                <w:sz w:val="20"/>
                <w:szCs w:val="20"/>
                <w:lang w:val="en-US" w:eastAsia="zh-CN"/>
              </w:rPr>
              <w:t>10</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Borders>
              <w:bottom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top"/>
          </w:tcPr>
          <w:p>
            <w:pPr>
              <w:pStyle w:val="12"/>
              <w:keepNext w:val="0"/>
              <w:keepLines w:val="0"/>
              <w:pageBreakBefore w:val="0"/>
              <w:kinsoku/>
              <w:wordWrap/>
              <w:overflowPunct/>
              <w:topLinePunct w:val="0"/>
              <w:autoSpaceDE/>
              <w:autoSpaceDN/>
              <w:bidi w:val="0"/>
              <w:adjustRightInd w:val="0"/>
              <w:snapToGrid w:val="0"/>
              <w:spacing w:before="65" w:line="220" w:lineRule="auto"/>
              <w:rPr>
                <w:rFonts w:asciiTheme="minorEastAsia" w:hAnsiTheme="minorEastAsia" w:eastAsiaTheme="minorEastAsia"/>
                <w:spacing w:val="1"/>
                <w:sz w:val="20"/>
                <w:szCs w:val="20"/>
              </w:rPr>
            </w:pPr>
            <w:r>
              <w:rPr>
                <w:rFonts w:hint="eastAsia" w:asciiTheme="minorEastAsia" w:hAnsiTheme="minorEastAsia" w:eastAsiaTheme="minorEastAsia"/>
                <w:spacing w:val="1"/>
                <w:sz w:val="20"/>
                <w:szCs w:val="20"/>
                <w:lang w:val="en-US" w:eastAsia="zh-CN"/>
              </w:rPr>
              <w:t>成本指标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宋体" w:hAnsi="宋体" w:eastAsia="宋体" w:cs="宋体"/>
                <w:sz w:val="20"/>
                <w:szCs w:val="20"/>
              </w:rPr>
              <w:t>成本控制率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rPr>
            </w:pPr>
            <w:r>
              <w:rPr>
                <w:rFonts w:hint="eastAsia" w:ascii="宋体" w:hAnsi="宋体" w:eastAsia="宋体" w:cs="宋体"/>
                <w:sz w:val="20"/>
                <w:szCs w:val="20"/>
                <w:lang w:val="en-US" w:eastAsia="zh-CN"/>
              </w:rPr>
              <w:t>100%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restart"/>
            <w:tcBorders>
              <w:top w:val="single" w:color="auto" w:sz="4" w:space="0"/>
            </w:tcBorders>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效益指标</w:t>
            </w:r>
            <w:r>
              <w:rPr>
                <w:rFonts w:asciiTheme="minorEastAsia" w:hAnsiTheme="minorEastAsia" w:eastAsiaTheme="minorEastAsia"/>
                <w:sz w:val="20"/>
                <w:szCs w:val="20"/>
              </w:rPr>
              <w:t>(</w:t>
            </w:r>
            <w:r>
              <w:rPr>
                <w:rFonts w:hint="eastAsia" w:asciiTheme="minorEastAsia" w:hAnsiTheme="minorEastAsia" w:eastAsiaTheme="minorEastAsia"/>
                <w:sz w:val="20"/>
                <w:szCs w:val="20"/>
                <w:lang w:val="en-US" w:eastAsia="zh-CN"/>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分</w:t>
            </w:r>
            <w:r>
              <w:rPr>
                <w:rFonts w:asciiTheme="minorEastAsia" w:hAnsiTheme="minorEastAsia" w:eastAsiaTheme="minorEastAsia"/>
                <w:sz w:val="20"/>
                <w:szCs w:val="20"/>
              </w:rPr>
              <w:t xml:space="preserve"> )</w:t>
            </w:r>
          </w:p>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tcBorders>
              <w:bottom w:val="nil"/>
            </w:tcBorders>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社会效益指标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精简退职人员生活水平</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保障标准稳步提升或不低于上年</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保障标准稳步提升或不低于上年</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lang w:eastAsia="zh-CN"/>
              </w:rPr>
            </w:pPr>
          </w:p>
        </w:tc>
        <w:tc>
          <w:tcPr>
            <w:tcW w:w="1059" w:type="dxa"/>
            <w:tcBorders>
              <w:bottom w:val="nil"/>
            </w:tcBorders>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可持续影响指标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六十年代精简退职保障制度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逐步完善</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逐步完善</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default" w:cs="宋体" w:asciiTheme="minorEastAsia" w:hAnsiTheme="minorEastAsia" w:eastAsiaTheme="minorEastAsia"/>
                <w:sz w:val="20"/>
                <w:szCs w:val="20"/>
                <w:lang w:val="en-US" w:eastAsia="zh-CN"/>
              </w:rPr>
            </w:pPr>
            <w:r>
              <w:rPr>
                <w:rFonts w:hint="eastAsia" w:asciiTheme="minorEastAsia" w:hAnsiTheme="minorEastAsia" w:eastAsiaTheme="minorEastAsia"/>
                <w:sz w:val="20"/>
                <w:szCs w:val="20"/>
                <w:lang w:val="en-US" w:eastAsia="zh-CN"/>
              </w:rPr>
              <w:t>15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val="en-US" w:eastAsia="zh-CN"/>
              </w:rPr>
              <w:t>15</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cs="宋体" w:asciiTheme="minorEastAsia" w:hAnsiTheme="minorEastAsia" w:eastAsiaTheme="minorEastAsia"/>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59" w:type="dxa"/>
            <w:vMerge w:val="restart"/>
          </w:tcPr>
          <w:p>
            <w:pPr>
              <w:pStyle w:val="12"/>
              <w:keepNext w:val="0"/>
              <w:keepLines w:val="0"/>
              <w:pageBreakBefore w:val="0"/>
              <w:kinsoku/>
              <w:wordWrap/>
              <w:overflowPunct/>
              <w:topLinePunct w:val="0"/>
              <w:autoSpaceDE/>
              <w:autoSpaceDN/>
              <w:bidi w:val="0"/>
              <w:adjustRightInd w:val="0"/>
              <w:snapToGrid w:val="0"/>
              <w:spacing w:before="78" w:line="219" w:lineRule="auto"/>
              <w:rPr>
                <w:rFonts w:asciiTheme="minorEastAsia" w:hAnsiTheme="minorEastAsia" w:eastAsiaTheme="minorEastAsia"/>
                <w:spacing w:val="-2"/>
                <w:sz w:val="20"/>
                <w:szCs w:val="20"/>
              </w:rPr>
            </w:pPr>
          </w:p>
          <w:p>
            <w:pPr>
              <w:pStyle w:val="12"/>
              <w:keepNext w:val="0"/>
              <w:keepLines w:val="0"/>
              <w:pageBreakBefore w:val="0"/>
              <w:kinsoku/>
              <w:wordWrap/>
              <w:overflowPunct/>
              <w:topLinePunct w:val="0"/>
              <w:autoSpaceDE/>
              <w:autoSpaceDN/>
              <w:bidi w:val="0"/>
              <w:adjustRightInd w:val="0"/>
              <w:snapToGrid w:val="0"/>
              <w:spacing w:before="78" w:line="219" w:lineRule="auto"/>
              <w:rPr>
                <w:rFonts w:asciiTheme="minorEastAsia" w:hAnsiTheme="minorEastAsia" w:eastAsiaTheme="minorEastAsia"/>
                <w:sz w:val="20"/>
                <w:szCs w:val="20"/>
              </w:rPr>
            </w:pPr>
            <w:r>
              <w:rPr>
                <w:rFonts w:asciiTheme="minorEastAsia" w:hAnsiTheme="minorEastAsia" w:eastAsiaTheme="minorEastAsia"/>
                <w:spacing w:val="-2"/>
                <w:sz w:val="20"/>
                <w:szCs w:val="20"/>
              </w:rPr>
              <w:t>服务对象</w:t>
            </w:r>
            <w:r>
              <w:rPr>
                <w:rFonts w:asciiTheme="minorEastAsia" w:hAnsiTheme="minorEastAsia" w:eastAsiaTheme="minorEastAsia"/>
                <w:spacing w:val="3"/>
                <w:sz w:val="20"/>
                <w:szCs w:val="20"/>
              </w:rPr>
              <w:t>满意度指</w:t>
            </w:r>
            <w:r>
              <w:rPr>
                <w:rFonts w:asciiTheme="minorEastAsia" w:hAnsiTheme="minorEastAsia" w:eastAsiaTheme="minorEastAsia"/>
                <w:sz w:val="20"/>
                <w:szCs w:val="20"/>
              </w:rPr>
              <w:t>标</w:t>
            </w:r>
          </w:p>
        </w:tc>
        <w:tc>
          <w:tcPr>
            <w:tcW w:w="1228" w:type="dxa"/>
            <w:vAlign w:val="center"/>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r>
              <w:rPr>
                <w:rFonts w:hint="eastAsia" w:asciiTheme="minorEastAsia" w:hAnsiTheme="minorEastAsia" w:eastAsiaTheme="minorEastAsia"/>
                <w:sz w:val="20"/>
                <w:szCs w:val="20"/>
              </w:rPr>
              <w:t>政策知晓率</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lang w:val="en-US" w:eastAsia="zh-CN"/>
              </w:rPr>
              <w:t>90</w:t>
            </w:r>
            <w:r>
              <w:rPr>
                <w:rFonts w:hint="eastAsia" w:asciiTheme="minorEastAsia" w:hAnsiTheme="minorEastAsia" w:eastAsiaTheme="minorEastAsia"/>
                <w:sz w:val="20"/>
                <w:szCs w:val="20"/>
              </w:rPr>
              <w:t>%</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政策宣传未及时全面覆盖。及时宣传民政政策。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104" w:type="dxa"/>
            <w:vMerge w:val="continue"/>
            <w:tcBorders>
              <w:bottom w:val="nil"/>
            </w:tcBorders>
            <w:textDirection w:val="tbRlV"/>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c>
          <w:tcPr>
            <w:tcW w:w="1089" w:type="dxa"/>
            <w:vMerge w:val="continue"/>
          </w:tcPr>
          <w:p>
            <w:pPr>
              <w:keepNext w:val="0"/>
              <w:keepLines w:val="0"/>
              <w:pageBreakBefore w:val="0"/>
              <w:kinsoku/>
              <w:wordWrap/>
              <w:overflowPunct/>
              <w:topLinePunct w:val="0"/>
              <w:autoSpaceDE/>
              <w:autoSpaceDN/>
              <w:bidi w:val="0"/>
              <w:adjustRightInd w:val="0"/>
              <w:snapToGrid w:val="0"/>
              <w:rPr>
                <w:rFonts w:hint="eastAsia" w:asciiTheme="minorEastAsia" w:hAnsiTheme="minorEastAsia" w:eastAsiaTheme="minorEastAsia"/>
                <w:sz w:val="20"/>
                <w:szCs w:val="20"/>
              </w:rPr>
            </w:pPr>
          </w:p>
        </w:tc>
        <w:tc>
          <w:tcPr>
            <w:tcW w:w="1059" w:type="dxa"/>
            <w:vMerge w:val="continue"/>
          </w:tcPr>
          <w:p>
            <w:pPr>
              <w:pStyle w:val="12"/>
              <w:keepNext w:val="0"/>
              <w:keepLines w:val="0"/>
              <w:pageBreakBefore w:val="0"/>
              <w:kinsoku/>
              <w:wordWrap/>
              <w:overflowPunct/>
              <w:topLinePunct w:val="0"/>
              <w:autoSpaceDE/>
              <w:autoSpaceDN/>
              <w:bidi w:val="0"/>
              <w:adjustRightInd w:val="0"/>
              <w:snapToGrid w:val="0"/>
              <w:spacing w:before="78" w:line="219" w:lineRule="auto"/>
              <w:rPr>
                <w:rFonts w:asciiTheme="minorEastAsia" w:hAnsiTheme="minorEastAsia" w:eastAsiaTheme="minorEastAsia"/>
                <w:spacing w:val="-2"/>
                <w:sz w:val="20"/>
                <w:szCs w:val="20"/>
              </w:rPr>
            </w:pPr>
          </w:p>
        </w:tc>
        <w:tc>
          <w:tcPr>
            <w:tcW w:w="1228" w:type="dxa"/>
            <w:vAlign w:val="center"/>
          </w:tcPr>
          <w:p>
            <w:pPr>
              <w:keepNext w:val="0"/>
              <w:keepLines w:val="0"/>
              <w:pageBreakBefore w:val="0"/>
              <w:kinsoku/>
              <w:wordWrap/>
              <w:overflowPunct/>
              <w:topLinePunct w:val="0"/>
              <w:autoSpaceDE/>
              <w:autoSpaceDN/>
              <w:bidi w:val="0"/>
              <w:adjustRightInd w:val="0"/>
              <w:snapToGrid w:val="0"/>
              <w:rPr>
                <w:rFonts w:hint="eastAsia" w:cs="宋体" w:asciiTheme="minorEastAsia" w:hAnsiTheme="minorEastAsia" w:eastAsiaTheme="minorEastAsia"/>
                <w:sz w:val="20"/>
                <w:szCs w:val="20"/>
              </w:rPr>
            </w:pPr>
            <w:r>
              <w:rPr>
                <w:rFonts w:hint="eastAsia" w:asciiTheme="minorEastAsia" w:hAnsiTheme="minorEastAsia" w:eastAsiaTheme="minorEastAsia"/>
                <w:sz w:val="20"/>
                <w:szCs w:val="20"/>
              </w:rPr>
              <w:t>工作满意度</w:t>
            </w:r>
          </w:p>
        </w:tc>
        <w:tc>
          <w:tcPr>
            <w:tcW w:w="113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100%</w:t>
            </w:r>
          </w:p>
        </w:tc>
        <w:tc>
          <w:tcPr>
            <w:tcW w:w="1129" w:type="dxa"/>
            <w:vAlign w:val="center"/>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1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rPr>
              <w:t>5</w:t>
            </w:r>
          </w:p>
        </w:tc>
        <w:tc>
          <w:tcPr>
            <w:tcW w:w="879" w:type="dxa"/>
            <w:vAlign w:val="center"/>
          </w:tcPr>
          <w:p>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sz w:val="20"/>
                <w:szCs w:val="20"/>
                <w:lang w:eastAsia="zh-CN"/>
              </w:rPr>
            </w:pPr>
            <w:r>
              <w:rPr>
                <w:rFonts w:hint="eastAsia" w:asciiTheme="minorEastAsia" w:hAnsiTheme="minorEastAsia" w:eastAsiaTheme="minorEastAsia"/>
                <w:sz w:val="20"/>
                <w:szCs w:val="20"/>
              </w:rPr>
              <w:t>4</w:t>
            </w:r>
          </w:p>
        </w:tc>
        <w:tc>
          <w:tcPr>
            <w:tcW w:w="1193" w:type="dxa"/>
            <w:vAlign w:val="center"/>
          </w:tcPr>
          <w:p>
            <w:pPr>
              <w:keepNext w:val="0"/>
              <w:keepLines w:val="0"/>
              <w:pageBreakBefore w:val="0"/>
              <w:kinsoku/>
              <w:wordWrap/>
              <w:overflowPunct/>
              <w:topLinePunct w:val="0"/>
              <w:autoSpaceDE/>
              <w:autoSpaceDN/>
              <w:bidi w:val="0"/>
              <w:adjustRightInd w:val="0"/>
              <w:snapToGrid w:val="0"/>
              <w:jc w:val="center"/>
              <w:rPr>
                <w:rFonts w:hint="eastAsia" w:cs="宋体"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与群众沟通不畅，信息传达不及时。及时加强与群众沟通。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6748" w:type="dxa"/>
            <w:gridSpan w:val="6"/>
          </w:tcPr>
          <w:p>
            <w:pPr>
              <w:pStyle w:val="12"/>
              <w:keepNext w:val="0"/>
              <w:keepLines w:val="0"/>
              <w:pageBreakBefore w:val="0"/>
              <w:kinsoku/>
              <w:wordWrap/>
              <w:overflowPunct/>
              <w:topLinePunct w:val="0"/>
              <w:autoSpaceDE/>
              <w:autoSpaceDN/>
              <w:bidi w:val="0"/>
              <w:adjustRightInd w:val="0"/>
              <w:snapToGrid w:val="0"/>
              <w:spacing w:before="48" w:line="208" w:lineRule="auto"/>
              <w:ind w:left="3175"/>
              <w:rPr>
                <w:rFonts w:asciiTheme="minorEastAsia" w:hAnsiTheme="minorEastAsia" w:eastAsiaTheme="minorEastAsia"/>
                <w:sz w:val="20"/>
                <w:szCs w:val="20"/>
              </w:rPr>
            </w:pPr>
            <w:r>
              <w:rPr>
                <w:rFonts w:asciiTheme="minorEastAsia" w:hAnsiTheme="minorEastAsia" w:eastAsiaTheme="minorEastAsia"/>
                <w:spacing w:val="4"/>
                <w:sz w:val="20"/>
                <w:szCs w:val="20"/>
              </w:rPr>
              <w:t>总分</w:t>
            </w:r>
          </w:p>
        </w:tc>
        <w:tc>
          <w:tcPr>
            <w:tcW w:w="819" w:type="dxa"/>
          </w:tcPr>
          <w:p>
            <w:pPr>
              <w:pStyle w:val="12"/>
              <w:keepNext w:val="0"/>
              <w:keepLines w:val="0"/>
              <w:pageBreakBefore w:val="0"/>
              <w:kinsoku/>
              <w:wordWrap/>
              <w:overflowPunct/>
              <w:topLinePunct w:val="0"/>
              <w:autoSpaceDE/>
              <w:autoSpaceDN/>
              <w:bidi w:val="0"/>
              <w:adjustRightInd w:val="0"/>
              <w:snapToGrid w:val="0"/>
              <w:spacing w:before="48" w:line="208" w:lineRule="auto"/>
              <w:ind w:left="156"/>
              <w:rPr>
                <w:rFonts w:asciiTheme="minorEastAsia" w:hAnsiTheme="minorEastAsia" w:eastAsiaTheme="minorEastAsia"/>
                <w:sz w:val="20"/>
                <w:szCs w:val="20"/>
              </w:rPr>
            </w:pPr>
            <w:r>
              <w:rPr>
                <w:rFonts w:asciiTheme="minorEastAsia" w:hAnsiTheme="minorEastAsia" w:eastAsiaTheme="minorEastAsia"/>
                <w:spacing w:val="2"/>
                <w:sz w:val="20"/>
                <w:szCs w:val="20"/>
              </w:rPr>
              <w:t>100分</w:t>
            </w:r>
          </w:p>
        </w:tc>
        <w:tc>
          <w:tcPr>
            <w:tcW w:w="879" w:type="dxa"/>
          </w:tcPr>
          <w:p>
            <w:pPr>
              <w:keepNext w:val="0"/>
              <w:keepLines w:val="0"/>
              <w:pageBreakBefore w:val="0"/>
              <w:kinsoku/>
              <w:wordWrap/>
              <w:overflowPunct/>
              <w:topLinePunct w:val="0"/>
              <w:autoSpaceDE/>
              <w:autoSpaceDN/>
              <w:bidi w:val="0"/>
              <w:adjustRightInd w:val="0"/>
              <w:snapToGrid w:val="0"/>
              <w:jc w:val="center"/>
              <w:rPr>
                <w:rFonts w:asciiTheme="minorEastAsia" w:hAnsiTheme="minorEastAsia" w:eastAsiaTheme="minorEastAsia"/>
                <w:sz w:val="20"/>
                <w:szCs w:val="20"/>
                <w:lang w:eastAsia="zh-CN"/>
              </w:rPr>
            </w:pPr>
            <w:r>
              <w:rPr>
                <w:rFonts w:hint="eastAsia" w:asciiTheme="minorEastAsia" w:hAnsiTheme="minorEastAsia" w:eastAsiaTheme="minorEastAsia"/>
                <w:sz w:val="20"/>
                <w:szCs w:val="20"/>
                <w:lang w:eastAsia="zh-CN"/>
              </w:rPr>
              <w:t>9</w:t>
            </w:r>
            <w:r>
              <w:rPr>
                <w:rFonts w:hint="eastAsia" w:asciiTheme="minorEastAsia" w:hAnsiTheme="minorEastAsia" w:eastAsiaTheme="minorEastAsia"/>
                <w:sz w:val="20"/>
                <w:szCs w:val="20"/>
                <w:lang w:val="en-US" w:eastAsia="zh-CN"/>
              </w:rPr>
              <w:t>8</w:t>
            </w:r>
            <w:r>
              <w:rPr>
                <w:rFonts w:hint="eastAsia" w:asciiTheme="minorEastAsia" w:hAnsiTheme="minorEastAsia" w:eastAsiaTheme="minorEastAsia"/>
                <w:sz w:val="20"/>
                <w:szCs w:val="20"/>
                <w:lang w:eastAsia="zh-CN"/>
              </w:rPr>
              <w:t>分</w:t>
            </w:r>
          </w:p>
        </w:tc>
        <w:tc>
          <w:tcPr>
            <w:tcW w:w="1193" w:type="dxa"/>
          </w:tcPr>
          <w:p>
            <w:pPr>
              <w:keepNext w:val="0"/>
              <w:keepLines w:val="0"/>
              <w:pageBreakBefore w:val="0"/>
              <w:kinsoku/>
              <w:wordWrap/>
              <w:overflowPunct/>
              <w:topLinePunct w:val="0"/>
              <w:autoSpaceDE/>
              <w:autoSpaceDN/>
              <w:bidi w:val="0"/>
              <w:adjustRightInd w:val="0"/>
              <w:snapToGrid w:val="0"/>
              <w:rPr>
                <w:rFonts w:asciiTheme="minorEastAsia" w:hAnsiTheme="minorEastAsia" w:eastAsiaTheme="minorEastAsia"/>
                <w:sz w:val="20"/>
                <w:szCs w:val="20"/>
              </w:rPr>
            </w:pPr>
          </w:p>
        </w:tc>
      </w:tr>
    </w:tbl>
    <w:p>
      <w:pPr>
        <w:pStyle w:val="3"/>
        <w:keepNext w:val="0"/>
        <w:keepLines w:val="0"/>
        <w:pageBreakBefore w:val="0"/>
        <w:kinsoku/>
        <w:wordWrap/>
        <w:overflowPunct/>
        <w:topLinePunct w:val="0"/>
        <w:autoSpaceDE/>
        <w:autoSpaceDN/>
        <w:bidi w:val="0"/>
        <w:adjustRightInd w:val="0"/>
        <w:snapToGrid w:val="0"/>
        <w:spacing w:before="72" w:line="230" w:lineRule="auto"/>
        <w:ind w:left="394"/>
        <w:rPr>
          <w:sz w:val="20"/>
          <w:szCs w:val="20"/>
          <w:lang w:eastAsia="zh-CN"/>
        </w:rPr>
      </w:pPr>
      <w:r>
        <w:rPr>
          <w:spacing w:val="-11"/>
          <w:position w:val="1"/>
          <w:sz w:val="20"/>
          <w:szCs w:val="20"/>
          <w:lang w:eastAsia="zh-CN"/>
        </w:rPr>
        <w:t>填表人：</w:t>
      </w:r>
      <w:r>
        <w:rPr>
          <w:rFonts w:hint="eastAsia"/>
          <w:spacing w:val="1"/>
          <w:position w:val="1"/>
          <w:sz w:val="20"/>
          <w:szCs w:val="20"/>
          <w:lang w:eastAsia="zh-CN"/>
        </w:rPr>
        <w:t>何方莉</w:t>
      </w:r>
      <w:r>
        <w:rPr>
          <w:spacing w:val="1"/>
          <w:position w:val="1"/>
          <w:sz w:val="20"/>
          <w:szCs w:val="20"/>
          <w:lang w:eastAsia="zh-CN"/>
        </w:rPr>
        <w:t xml:space="preserve">   </w:t>
      </w:r>
      <w:r>
        <w:rPr>
          <w:spacing w:val="-11"/>
          <w:sz w:val="20"/>
          <w:szCs w:val="20"/>
          <w:lang w:eastAsia="zh-CN"/>
        </w:rPr>
        <w:t>填报日期：</w:t>
      </w:r>
      <w:r>
        <w:rPr>
          <w:rFonts w:hint="eastAsia"/>
          <w:spacing w:val="-11"/>
          <w:sz w:val="20"/>
          <w:szCs w:val="20"/>
          <w:lang w:eastAsia="zh-CN"/>
        </w:rPr>
        <w:t>2025.5.19</w:t>
      </w:r>
      <w:r>
        <w:rPr>
          <w:spacing w:val="-11"/>
          <w:sz w:val="20"/>
          <w:szCs w:val="20"/>
          <w:lang w:eastAsia="zh-CN"/>
        </w:rPr>
        <w:t xml:space="preserve">联系电话：4322806     </w:t>
      </w:r>
      <w:r>
        <w:rPr>
          <w:spacing w:val="-12"/>
          <w:sz w:val="20"/>
          <w:szCs w:val="20"/>
          <w:lang w:eastAsia="zh-CN"/>
        </w:rPr>
        <w:t>单位负责人签字：</w:t>
      </w:r>
    </w:p>
    <w:p>
      <w:pPr>
        <w:pStyle w:val="2"/>
        <w:rPr>
          <w:lang w:eastAsia="zh-CN"/>
        </w:rPr>
        <w:sectPr>
          <w:footerReference r:id="rId6" w:type="default"/>
          <w:pgSz w:w="11900" w:h="16820"/>
          <w:pgMar w:top="1429" w:right="1202" w:bottom="1471" w:left="1559" w:header="0" w:footer="1172" w:gutter="0"/>
          <w:pgNumType w:fmt="decimal"/>
          <w:cols w:space="720" w:num="1"/>
        </w:sectPr>
      </w:pPr>
    </w:p>
    <w:p>
      <w:pPr>
        <w:keepNext w:val="0"/>
        <w:keepLines w:val="0"/>
        <w:pageBreakBefore w:val="0"/>
        <w:kinsoku/>
        <w:wordWrap/>
        <w:overflowPunct/>
        <w:topLinePunct w:val="0"/>
        <w:autoSpaceDE/>
        <w:autoSpaceDN/>
        <w:bidi w:val="0"/>
        <w:adjustRightInd w:val="0"/>
        <w:snapToGrid w:val="0"/>
        <w:rPr>
          <w:lang w:eastAsia="zh-CN"/>
        </w:rPr>
      </w:pPr>
    </w:p>
    <w:sectPr>
      <w:headerReference r:id="rId7" w:type="default"/>
      <w:footerReference r:id="rId8" w:type="default"/>
      <w:pgSz w:w="11900" w:h="16820"/>
      <w:pgMar w:top="0" w:right="0" w:bottom="0" w:left="0" w:header="0" w:footer="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363"/>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mc:Fallback>
      </mc:AlternateContent>
    </w:r>
    <w:r>
      <w:rPr>
        <w:rFonts w:hint="eastAsia" w:eastAsia="宋体"/>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8704"/>
      <w:rPr>
        <w:rFonts w:ascii="宋体" w:hAnsi="宋体" w:eastAsia="宋体" w:cs="宋体"/>
        <w:sz w:val="26"/>
        <w:szCs w:val="26"/>
      </w:rPr>
    </w:pPr>
    <w:r>
      <w:rPr>
        <w:sz w:val="26"/>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12</w:t>
                    </w:r>
                    <w:r>
                      <w:rPr>
                        <w:rFonts w:hint="eastAsia" w:eastAsia="宋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8664"/>
      <w:rPr>
        <w:rFonts w:ascii="宋体" w:hAnsi="宋体" w:eastAsia="宋体" w:cs="宋体"/>
        <w:sz w:val="30"/>
        <w:szCs w:val="30"/>
      </w:rPr>
    </w:pPr>
    <w:r>
      <w:rPr>
        <w:sz w:val="3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13</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13</w:t>
                    </w:r>
                    <w:r>
                      <w:rPr>
                        <w:rFonts w:hint="eastAsia" w:eastAsia="宋体"/>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w:t>
                    </w:r>
                    <w:r>
                      <w:rPr>
                        <w:rFonts w:hint="eastAsia" w:eastAsia="宋体"/>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28</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28</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104446"/>
    <w:rsid w:val="00002B77"/>
    <w:rsid w:val="00005323"/>
    <w:rsid w:val="00021457"/>
    <w:rsid w:val="00041799"/>
    <w:rsid w:val="00056B36"/>
    <w:rsid w:val="000779C6"/>
    <w:rsid w:val="00092F97"/>
    <w:rsid w:val="000A7509"/>
    <w:rsid w:val="000B5252"/>
    <w:rsid w:val="000D5D25"/>
    <w:rsid w:val="00104446"/>
    <w:rsid w:val="00107F5F"/>
    <w:rsid w:val="00123E25"/>
    <w:rsid w:val="00131113"/>
    <w:rsid w:val="00143E57"/>
    <w:rsid w:val="00161595"/>
    <w:rsid w:val="00166E8E"/>
    <w:rsid w:val="001764E6"/>
    <w:rsid w:val="001873CA"/>
    <w:rsid w:val="0018777F"/>
    <w:rsid w:val="001A69CD"/>
    <w:rsid w:val="001B47BE"/>
    <w:rsid w:val="001D59D1"/>
    <w:rsid w:val="001E2A84"/>
    <w:rsid w:val="001E2E29"/>
    <w:rsid w:val="001E6265"/>
    <w:rsid w:val="00222200"/>
    <w:rsid w:val="00233F43"/>
    <w:rsid w:val="002721C1"/>
    <w:rsid w:val="00285286"/>
    <w:rsid w:val="002B327E"/>
    <w:rsid w:val="002B557B"/>
    <w:rsid w:val="002C0530"/>
    <w:rsid w:val="002F12AB"/>
    <w:rsid w:val="00333599"/>
    <w:rsid w:val="00353DE5"/>
    <w:rsid w:val="003B566B"/>
    <w:rsid w:val="003C4E5E"/>
    <w:rsid w:val="003C4FFB"/>
    <w:rsid w:val="003D59CC"/>
    <w:rsid w:val="003D65E8"/>
    <w:rsid w:val="00461ACC"/>
    <w:rsid w:val="00463A78"/>
    <w:rsid w:val="00491E25"/>
    <w:rsid w:val="004A318D"/>
    <w:rsid w:val="004B4A0F"/>
    <w:rsid w:val="004D7DEA"/>
    <w:rsid w:val="004F08BC"/>
    <w:rsid w:val="005557D1"/>
    <w:rsid w:val="00564A94"/>
    <w:rsid w:val="0056617C"/>
    <w:rsid w:val="005861FE"/>
    <w:rsid w:val="005953E9"/>
    <w:rsid w:val="005D65B9"/>
    <w:rsid w:val="005F60B0"/>
    <w:rsid w:val="00617B70"/>
    <w:rsid w:val="00630502"/>
    <w:rsid w:val="00650D94"/>
    <w:rsid w:val="00677A6E"/>
    <w:rsid w:val="00696D2D"/>
    <w:rsid w:val="006A6FDA"/>
    <w:rsid w:val="006D42F1"/>
    <w:rsid w:val="006D6AAC"/>
    <w:rsid w:val="006E2FB4"/>
    <w:rsid w:val="006E4B18"/>
    <w:rsid w:val="006F1CEC"/>
    <w:rsid w:val="006F68FD"/>
    <w:rsid w:val="00720F8D"/>
    <w:rsid w:val="00740B97"/>
    <w:rsid w:val="007415B9"/>
    <w:rsid w:val="00780898"/>
    <w:rsid w:val="007921E1"/>
    <w:rsid w:val="007A31AC"/>
    <w:rsid w:val="007A7393"/>
    <w:rsid w:val="007D17E2"/>
    <w:rsid w:val="007F1018"/>
    <w:rsid w:val="007F6F56"/>
    <w:rsid w:val="00805CB1"/>
    <w:rsid w:val="00806D80"/>
    <w:rsid w:val="00821C9F"/>
    <w:rsid w:val="00825AC7"/>
    <w:rsid w:val="008402EC"/>
    <w:rsid w:val="00843335"/>
    <w:rsid w:val="00865518"/>
    <w:rsid w:val="008665F6"/>
    <w:rsid w:val="0087442B"/>
    <w:rsid w:val="00897742"/>
    <w:rsid w:val="008A6E25"/>
    <w:rsid w:val="008B6E32"/>
    <w:rsid w:val="008C5BCD"/>
    <w:rsid w:val="008D798D"/>
    <w:rsid w:val="00906760"/>
    <w:rsid w:val="009270A5"/>
    <w:rsid w:val="00936538"/>
    <w:rsid w:val="00937BE5"/>
    <w:rsid w:val="00962EB8"/>
    <w:rsid w:val="009D534A"/>
    <w:rsid w:val="009E0B28"/>
    <w:rsid w:val="009E1377"/>
    <w:rsid w:val="009F47B7"/>
    <w:rsid w:val="00A02EFE"/>
    <w:rsid w:val="00A4361B"/>
    <w:rsid w:val="00A936B9"/>
    <w:rsid w:val="00A94C1E"/>
    <w:rsid w:val="00AA0EB7"/>
    <w:rsid w:val="00AA5747"/>
    <w:rsid w:val="00AE34B2"/>
    <w:rsid w:val="00AE7794"/>
    <w:rsid w:val="00AF1256"/>
    <w:rsid w:val="00B01FD6"/>
    <w:rsid w:val="00B06A1E"/>
    <w:rsid w:val="00B20D1D"/>
    <w:rsid w:val="00B21D36"/>
    <w:rsid w:val="00B30AC1"/>
    <w:rsid w:val="00B4571C"/>
    <w:rsid w:val="00B47D11"/>
    <w:rsid w:val="00B566BE"/>
    <w:rsid w:val="00B672C1"/>
    <w:rsid w:val="00B72041"/>
    <w:rsid w:val="00B76B88"/>
    <w:rsid w:val="00B90DD1"/>
    <w:rsid w:val="00B93D60"/>
    <w:rsid w:val="00BA5573"/>
    <w:rsid w:val="00BB57D8"/>
    <w:rsid w:val="00BC196A"/>
    <w:rsid w:val="00BE1176"/>
    <w:rsid w:val="00BE4868"/>
    <w:rsid w:val="00C00EF3"/>
    <w:rsid w:val="00C26B4D"/>
    <w:rsid w:val="00C3390D"/>
    <w:rsid w:val="00C41C20"/>
    <w:rsid w:val="00C43828"/>
    <w:rsid w:val="00C72705"/>
    <w:rsid w:val="00C734E6"/>
    <w:rsid w:val="00C75127"/>
    <w:rsid w:val="00CB39CF"/>
    <w:rsid w:val="00CD462E"/>
    <w:rsid w:val="00CF2187"/>
    <w:rsid w:val="00D01BC6"/>
    <w:rsid w:val="00D0360D"/>
    <w:rsid w:val="00D1753D"/>
    <w:rsid w:val="00D224E1"/>
    <w:rsid w:val="00D27678"/>
    <w:rsid w:val="00D46289"/>
    <w:rsid w:val="00D7696E"/>
    <w:rsid w:val="00D844DE"/>
    <w:rsid w:val="00DC364D"/>
    <w:rsid w:val="00DE2915"/>
    <w:rsid w:val="00DF7182"/>
    <w:rsid w:val="00E10A72"/>
    <w:rsid w:val="00E1615C"/>
    <w:rsid w:val="00EA4467"/>
    <w:rsid w:val="00F10798"/>
    <w:rsid w:val="00F229A5"/>
    <w:rsid w:val="00F64788"/>
    <w:rsid w:val="00F955A7"/>
    <w:rsid w:val="00FA5E5C"/>
    <w:rsid w:val="00FF2F7E"/>
    <w:rsid w:val="02BB5CCB"/>
    <w:rsid w:val="02CD6E13"/>
    <w:rsid w:val="03EC1D9D"/>
    <w:rsid w:val="04CF6E4E"/>
    <w:rsid w:val="073C6BBC"/>
    <w:rsid w:val="07C55358"/>
    <w:rsid w:val="08A5668F"/>
    <w:rsid w:val="09327D51"/>
    <w:rsid w:val="095A15FA"/>
    <w:rsid w:val="097C1C19"/>
    <w:rsid w:val="09EDD20F"/>
    <w:rsid w:val="0BC47DCC"/>
    <w:rsid w:val="0DE3516E"/>
    <w:rsid w:val="0E037D4A"/>
    <w:rsid w:val="0FA37408"/>
    <w:rsid w:val="0FDC1EB9"/>
    <w:rsid w:val="104F3056"/>
    <w:rsid w:val="10694309"/>
    <w:rsid w:val="12606EDC"/>
    <w:rsid w:val="127F3EC9"/>
    <w:rsid w:val="128F07D9"/>
    <w:rsid w:val="1320377E"/>
    <w:rsid w:val="135339F3"/>
    <w:rsid w:val="13685402"/>
    <w:rsid w:val="15A970B3"/>
    <w:rsid w:val="16B596E2"/>
    <w:rsid w:val="17857CA3"/>
    <w:rsid w:val="191315D9"/>
    <w:rsid w:val="191F229E"/>
    <w:rsid w:val="19E90E64"/>
    <w:rsid w:val="1AA959A0"/>
    <w:rsid w:val="1ACC69EE"/>
    <w:rsid w:val="1ADC362F"/>
    <w:rsid w:val="1B553B23"/>
    <w:rsid w:val="1B58231E"/>
    <w:rsid w:val="1B8B5845"/>
    <w:rsid w:val="1B9D795A"/>
    <w:rsid w:val="1CA63EF5"/>
    <w:rsid w:val="1D040DA1"/>
    <w:rsid w:val="1D4D56BA"/>
    <w:rsid w:val="1D8E2EC4"/>
    <w:rsid w:val="1DC65B03"/>
    <w:rsid w:val="1DE15011"/>
    <w:rsid w:val="1E000FA7"/>
    <w:rsid w:val="1E3548DF"/>
    <w:rsid w:val="1E6F4683"/>
    <w:rsid w:val="1EC62923"/>
    <w:rsid w:val="1EEE4E29"/>
    <w:rsid w:val="1EF9C725"/>
    <w:rsid w:val="1F69614C"/>
    <w:rsid w:val="1F94796D"/>
    <w:rsid w:val="201B7747"/>
    <w:rsid w:val="20990CD2"/>
    <w:rsid w:val="25BFB6CC"/>
    <w:rsid w:val="25C31E1B"/>
    <w:rsid w:val="25E4664F"/>
    <w:rsid w:val="25F645F9"/>
    <w:rsid w:val="265B53A5"/>
    <w:rsid w:val="27645323"/>
    <w:rsid w:val="2795658C"/>
    <w:rsid w:val="2882498C"/>
    <w:rsid w:val="29710215"/>
    <w:rsid w:val="2A846520"/>
    <w:rsid w:val="2DE663CC"/>
    <w:rsid w:val="2E1F7C36"/>
    <w:rsid w:val="2E33327E"/>
    <w:rsid w:val="2E953896"/>
    <w:rsid w:val="2EEB0C01"/>
    <w:rsid w:val="2F110C44"/>
    <w:rsid w:val="2F3E3C20"/>
    <w:rsid w:val="2FA65C28"/>
    <w:rsid w:val="2FE75855"/>
    <w:rsid w:val="3012525B"/>
    <w:rsid w:val="30127FDE"/>
    <w:rsid w:val="30EB1321"/>
    <w:rsid w:val="312B3692"/>
    <w:rsid w:val="33110520"/>
    <w:rsid w:val="33130C8A"/>
    <w:rsid w:val="33400217"/>
    <w:rsid w:val="34040810"/>
    <w:rsid w:val="34E6082C"/>
    <w:rsid w:val="36365154"/>
    <w:rsid w:val="36DF294B"/>
    <w:rsid w:val="375D5EBF"/>
    <w:rsid w:val="394775B8"/>
    <w:rsid w:val="39E63D51"/>
    <w:rsid w:val="39F53CC1"/>
    <w:rsid w:val="3B742E24"/>
    <w:rsid w:val="3CDC1257"/>
    <w:rsid w:val="3D0F4919"/>
    <w:rsid w:val="3D98115E"/>
    <w:rsid w:val="3E0940D1"/>
    <w:rsid w:val="3E1A5A95"/>
    <w:rsid w:val="3E742BD1"/>
    <w:rsid w:val="3EEA2BCB"/>
    <w:rsid w:val="3EED57A9"/>
    <w:rsid w:val="3FA972A6"/>
    <w:rsid w:val="3FD7302F"/>
    <w:rsid w:val="3FFD295B"/>
    <w:rsid w:val="40454873"/>
    <w:rsid w:val="40BF2AE1"/>
    <w:rsid w:val="41A30623"/>
    <w:rsid w:val="43357390"/>
    <w:rsid w:val="435E04D2"/>
    <w:rsid w:val="44B51D64"/>
    <w:rsid w:val="458829B9"/>
    <w:rsid w:val="458F20A6"/>
    <w:rsid w:val="463F5317"/>
    <w:rsid w:val="4775479A"/>
    <w:rsid w:val="48A73FB7"/>
    <w:rsid w:val="48AB6C1D"/>
    <w:rsid w:val="490C486B"/>
    <w:rsid w:val="4BC5243F"/>
    <w:rsid w:val="4C765085"/>
    <w:rsid w:val="4CCF6058"/>
    <w:rsid w:val="4D0F0952"/>
    <w:rsid w:val="4D1B1F85"/>
    <w:rsid w:val="4D3F058E"/>
    <w:rsid w:val="4D934BE9"/>
    <w:rsid w:val="4DCA6B5D"/>
    <w:rsid w:val="4F5B64F7"/>
    <w:rsid w:val="502D472E"/>
    <w:rsid w:val="526F1C7C"/>
    <w:rsid w:val="52A746C3"/>
    <w:rsid w:val="52F51636"/>
    <w:rsid w:val="536A754B"/>
    <w:rsid w:val="540B3635"/>
    <w:rsid w:val="56156531"/>
    <w:rsid w:val="57101950"/>
    <w:rsid w:val="5829478B"/>
    <w:rsid w:val="58681681"/>
    <w:rsid w:val="588264E9"/>
    <w:rsid w:val="58B66DD6"/>
    <w:rsid w:val="58D8135D"/>
    <w:rsid w:val="591B6FCD"/>
    <w:rsid w:val="59263EFB"/>
    <w:rsid w:val="59E60D87"/>
    <w:rsid w:val="5BBFA767"/>
    <w:rsid w:val="5C752BFC"/>
    <w:rsid w:val="5D4875C3"/>
    <w:rsid w:val="5D66730F"/>
    <w:rsid w:val="5D7BB5E9"/>
    <w:rsid w:val="5DF7558C"/>
    <w:rsid w:val="5DFE7FD4"/>
    <w:rsid w:val="5E3C633F"/>
    <w:rsid w:val="5E577D0D"/>
    <w:rsid w:val="5EEE2038"/>
    <w:rsid w:val="5EFFADEE"/>
    <w:rsid w:val="5FC84DAA"/>
    <w:rsid w:val="5FF30D69"/>
    <w:rsid w:val="603761E9"/>
    <w:rsid w:val="609B15E9"/>
    <w:rsid w:val="60F15613"/>
    <w:rsid w:val="612C6C36"/>
    <w:rsid w:val="628C54E0"/>
    <w:rsid w:val="62BC7FA8"/>
    <w:rsid w:val="63FD9D21"/>
    <w:rsid w:val="64884E6F"/>
    <w:rsid w:val="64982A43"/>
    <w:rsid w:val="65645D20"/>
    <w:rsid w:val="65875BDF"/>
    <w:rsid w:val="65EA50DF"/>
    <w:rsid w:val="66B45385"/>
    <w:rsid w:val="67C044FA"/>
    <w:rsid w:val="67E74B3D"/>
    <w:rsid w:val="6892162E"/>
    <w:rsid w:val="6A6C6CA1"/>
    <w:rsid w:val="6AF6B7EE"/>
    <w:rsid w:val="6BCEBE67"/>
    <w:rsid w:val="6D536C2C"/>
    <w:rsid w:val="6DD269F0"/>
    <w:rsid w:val="6E0F775B"/>
    <w:rsid w:val="6E5C7440"/>
    <w:rsid w:val="6E7799DC"/>
    <w:rsid w:val="6E9C0947"/>
    <w:rsid w:val="6F741E55"/>
    <w:rsid w:val="6F7FC84B"/>
    <w:rsid w:val="6F8D391F"/>
    <w:rsid w:val="6FEB5E33"/>
    <w:rsid w:val="6FFF8648"/>
    <w:rsid w:val="70515B57"/>
    <w:rsid w:val="71746415"/>
    <w:rsid w:val="71AB75B2"/>
    <w:rsid w:val="71E003EC"/>
    <w:rsid w:val="71FD17B2"/>
    <w:rsid w:val="72FB5B19"/>
    <w:rsid w:val="739E3A3C"/>
    <w:rsid w:val="73AD2A59"/>
    <w:rsid w:val="73EC14B9"/>
    <w:rsid w:val="740D224F"/>
    <w:rsid w:val="75A7259E"/>
    <w:rsid w:val="760D5B55"/>
    <w:rsid w:val="777EA53C"/>
    <w:rsid w:val="77CBA0F9"/>
    <w:rsid w:val="78CD1C50"/>
    <w:rsid w:val="78F56EE7"/>
    <w:rsid w:val="794F5D1F"/>
    <w:rsid w:val="79FE3E66"/>
    <w:rsid w:val="7AD77B51"/>
    <w:rsid w:val="7B32282B"/>
    <w:rsid w:val="7B789B80"/>
    <w:rsid w:val="7BCC39A8"/>
    <w:rsid w:val="7C81651E"/>
    <w:rsid w:val="7D7C2C2E"/>
    <w:rsid w:val="7DD76D09"/>
    <w:rsid w:val="7DEDE147"/>
    <w:rsid w:val="7DFD5192"/>
    <w:rsid w:val="7E396079"/>
    <w:rsid w:val="7E7EC38D"/>
    <w:rsid w:val="7EA6953A"/>
    <w:rsid w:val="7EE740C1"/>
    <w:rsid w:val="7F543C55"/>
    <w:rsid w:val="7F75C4AD"/>
    <w:rsid w:val="7FB9146B"/>
    <w:rsid w:val="7FC21102"/>
    <w:rsid w:val="7FD2267B"/>
    <w:rsid w:val="7FDA06A8"/>
    <w:rsid w:val="7FF2C243"/>
    <w:rsid w:val="7FF9009D"/>
    <w:rsid w:val="7FFBFDF8"/>
    <w:rsid w:val="7FFE4491"/>
    <w:rsid w:val="8FF35068"/>
    <w:rsid w:val="9F9EB5E3"/>
    <w:rsid w:val="ABBB697A"/>
    <w:rsid w:val="ACBDB345"/>
    <w:rsid w:val="ACFB7EBD"/>
    <w:rsid w:val="ADB58C09"/>
    <w:rsid w:val="AFFDCB24"/>
    <w:rsid w:val="B1BEBE37"/>
    <w:rsid w:val="B7FEEE81"/>
    <w:rsid w:val="BB737A7E"/>
    <w:rsid w:val="BDEE3B27"/>
    <w:rsid w:val="BFBF01DC"/>
    <w:rsid w:val="BFFD0B0B"/>
    <w:rsid w:val="C7EB54A7"/>
    <w:rsid w:val="CAC4257B"/>
    <w:rsid w:val="CE7EF5F0"/>
    <w:rsid w:val="CF7A44E1"/>
    <w:rsid w:val="D717E027"/>
    <w:rsid w:val="DADFFDDD"/>
    <w:rsid w:val="DBF6869E"/>
    <w:rsid w:val="DFBB62B8"/>
    <w:rsid w:val="DFBFC665"/>
    <w:rsid w:val="DFCFB385"/>
    <w:rsid w:val="E1FD0AEF"/>
    <w:rsid w:val="ED3D59D2"/>
    <w:rsid w:val="EEDB4C1D"/>
    <w:rsid w:val="EEF92F82"/>
    <w:rsid w:val="EF7303A4"/>
    <w:rsid w:val="EFBF7A65"/>
    <w:rsid w:val="EFF728DD"/>
    <w:rsid w:val="EFFB16D1"/>
    <w:rsid w:val="EFFDCECC"/>
    <w:rsid w:val="F09FCB8C"/>
    <w:rsid w:val="F32D2264"/>
    <w:rsid w:val="F7074C56"/>
    <w:rsid w:val="F79F1AC4"/>
    <w:rsid w:val="F8A81E4F"/>
    <w:rsid w:val="FA96F6CE"/>
    <w:rsid w:val="FBBD8613"/>
    <w:rsid w:val="FBFF6C31"/>
    <w:rsid w:val="FCDCCC06"/>
    <w:rsid w:val="FDDD999E"/>
    <w:rsid w:val="FDF7213E"/>
    <w:rsid w:val="FDFF0D41"/>
    <w:rsid w:val="FE3F2F30"/>
    <w:rsid w:val="FE75553F"/>
    <w:rsid w:val="FE7B700E"/>
    <w:rsid w:val="FE7E0D51"/>
    <w:rsid w:val="FEF52000"/>
    <w:rsid w:val="FF7FF693"/>
    <w:rsid w:val="FFBB03E8"/>
    <w:rsid w:val="FFBFC5FF"/>
    <w:rsid w:val="FFFEE341"/>
    <w:rsid w:val="FFFFA288"/>
    <w:rsid w:val="FFFFD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100" w:firstLineChars="100"/>
    </w:pPr>
  </w:style>
  <w:style w:type="paragraph" w:styleId="3">
    <w:name w:val="Body Text"/>
    <w:basedOn w:val="1"/>
    <w:next w:val="1"/>
    <w:qFormat/>
    <w:uiPriority w:val="0"/>
    <w:rPr>
      <w:rFonts w:ascii="仿宋" w:hAnsi="仿宋" w:eastAsia="仿宋" w:cs="仿宋"/>
      <w:sz w:val="36"/>
      <w:szCs w:val="36"/>
    </w:r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31"/>
      <w:szCs w:val="31"/>
    </w:rPr>
  </w:style>
  <w:style w:type="character" w:customStyle="1" w:styleId="13">
    <w:name w:val="批注框文本 Char"/>
    <w:basedOn w:val="10"/>
    <w:link w:val="5"/>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27</Pages>
  <Words>2816</Words>
  <Characters>16054</Characters>
  <Lines>133</Lines>
  <Paragraphs>37</Paragraphs>
  <TotalTime>25</TotalTime>
  <ScaleCrop>false</ScaleCrop>
  <LinksUpToDate>false</LinksUpToDate>
  <CharactersWithSpaces>18833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2024-05-25T09:00:00Z</dcterms:created>
  <dc:creator>Administrator</dc:creator>
  <cp:lastModifiedBy>Dolly</cp:lastModifiedBy>
  <cp:lastPrinted>2024-06-21T00:24:00Z</cp:lastPrinted>
  <dcterms:modified xsi:type="dcterms:W3CDTF">2025-09-29T07:09:58Z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2024-05-23T17:00:13Z</vt:filetime>
  </property>
  <property fmtid="{D5CDD505-2E9C-101B-9397-08002B2CF9AE}" pid="4" name="UsrData">
    <vt:lpwstr>664f0594c13cf3001f71d544wl</vt:lpwstr>
  </property>
  <property fmtid="{D5CDD505-2E9C-101B-9397-08002B2CF9AE}" pid="5" name="KSOProductBuildVer">
    <vt:lpwstr>2052-11.1.0.10314</vt:lpwstr>
  </property>
</Properties>
</file>