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14348">
      <w:pPr>
        <w:pStyle w:val="4"/>
        <w:spacing w:before="0" w:after="0" w:line="520" w:lineRule="exact"/>
        <w:rPr>
          <w:rFonts w:hint="eastAsia" w:ascii="宋体" w:hAnsi="宋体" w:cs="宋体"/>
          <w:kern w:val="0"/>
          <w:sz w:val="44"/>
          <w:szCs w:val="44"/>
        </w:rPr>
      </w:pPr>
      <w:r>
        <w:rPr>
          <w:rFonts w:hint="eastAsia" w:ascii="宋体" w:hAnsi="宋体" w:cs="宋体"/>
          <w:kern w:val="0"/>
          <w:sz w:val="44"/>
          <w:szCs w:val="44"/>
        </w:rPr>
        <w:t>湖南益阳长春经济开发区管理委员会</w:t>
      </w:r>
    </w:p>
    <w:p w14:paraId="54242277">
      <w:pPr>
        <w:pStyle w:val="4"/>
        <w:spacing w:before="0" w:after="0" w:line="520" w:lineRule="exact"/>
        <w:rPr>
          <w:rFonts w:hint="eastAsia" w:ascii="宋体" w:hAnsi="宋体" w:cs="宋体"/>
          <w:kern w:val="0"/>
          <w:sz w:val="44"/>
          <w:szCs w:val="44"/>
          <w:lang w:val="en-US" w:eastAsia="zh-CN"/>
        </w:rPr>
      </w:pPr>
      <w:r>
        <w:rPr>
          <w:rFonts w:hint="eastAsia" w:ascii="宋体" w:hAnsi="宋体" w:cs="宋体"/>
          <w:kern w:val="0"/>
          <w:sz w:val="44"/>
          <w:szCs w:val="44"/>
          <w:lang w:val="en-US" w:eastAsia="zh-CN"/>
        </w:rPr>
        <w:t>2024年招商引资项目支出</w:t>
      </w:r>
    </w:p>
    <w:p w14:paraId="5497B2F1">
      <w:pPr>
        <w:pStyle w:val="4"/>
        <w:spacing w:before="0" w:after="0" w:line="520" w:lineRule="exact"/>
        <w:rPr>
          <w:rFonts w:hint="eastAsia" w:ascii="宋体" w:hAnsi="宋体" w:cs="宋体"/>
          <w:kern w:val="0"/>
          <w:sz w:val="44"/>
          <w:szCs w:val="44"/>
          <w:lang w:val="en-US" w:eastAsia="zh-CN"/>
        </w:rPr>
      </w:pPr>
      <w:r>
        <w:rPr>
          <w:rFonts w:hint="eastAsia" w:ascii="宋体" w:hAnsi="宋体" w:cs="宋体"/>
          <w:kern w:val="0"/>
          <w:sz w:val="44"/>
          <w:szCs w:val="44"/>
          <w:lang w:val="en-US" w:eastAsia="zh-CN"/>
        </w:rPr>
        <w:t>绩效自评评价报告</w:t>
      </w:r>
    </w:p>
    <w:p w14:paraId="71416E2A">
      <w:pPr>
        <w:numPr>
          <w:ilvl w:val="0"/>
          <w:numId w:val="0"/>
        </w:numPr>
        <w:rPr>
          <w:rFonts w:hint="eastAsia" w:ascii="宋体" w:hAnsi="宋体" w:eastAsia="宋体" w:cs="宋体"/>
          <w:b/>
          <w:bCs/>
          <w:kern w:val="0"/>
          <w:sz w:val="44"/>
          <w:szCs w:val="44"/>
          <w:lang w:val="en-US" w:eastAsia="zh-CN" w:bidi="ar-SA"/>
        </w:rPr>
      </w:pPr>
      <w:r>
        <w:rPr>
          <w:rFonts w:hint="eastAsia" w:ascii="宋体" w:hAnsi="宋体" w:eastAsia="宋体" w:cs="宋体"/>
          <w:b/>
          <w:bCs/>
          <w:kern w:val="0"/>
          <w:sz w:val="30"/>
          <w:szCs w:val="30"/>
          <w:lang w:val="en-US" w:eastAsia="zh-CN" w:bidi="ar-SA"/>
        </w:rPr>
        <w:t>一、招商引资项目支出基本情况：</w:t>
      </w:r>
    </w:p>
    <w:p w14:paraId="2177BD07">
      <w:pPr>
        <w:numPr>
          <w:ilvl w:val="0"/>
          <w:numId w:val="0"/>
        </w:numPr>
        <w:rPr>
          <w:rFonts w:hint="eastAsia" w:ascii="宋体" w:hAnsi="宋体" w:eastAsia="宋体" w:cs="宋体"/>
          <w:b/>
          <w:bCs/>
          <w:kern w:val="0"/>
          <w:sz w:val="30"/>
          <w:szCs w:val="30"/>
          <w:lang w:val="en-US" w:eastAsia="zh-CN" w:bidi="ar-SA"/>
        </w:rPr>
      </w:pPr>
      <w:r>
        <w:rPr>
          <w:rFonts w:hint="eastAsia" w:ascii="仿宋" w:hAnsi="仿宋" w:eastAsia="仿宋" w:cs="仿宋"/>
          <w:kern w:val="0"/>
          <w:sz w:val="30"/>
          <w:szCs w:val="30"/>
          <w:lang w:val="en-US" w:eastAsia="zh-CN"/>
        </w:rPr>
        <w:t xml:space="preserve">   </w:t>
      </w:r>
      <w:r>
        <w:rPr>
          <w:rFonts w:hint="eastAsia" w:ascii="宋体" w:hAnsi="宋体" w:eastAsia="宋体" w:cs="宋体"/>
          <w:b/>
          <w:bCs/>
          <w:kern w:val="0"/>
          <w:sz w:val="30"/>
          <w:szCs w:val="30"/>
          <w:lang w:val="en-US" w:eastAsia="zh-CN" w:bidi="ar-SA"/>
        </w:rPr>
        <w:t>（一）项目概括：本项目为2024年区本级一般公共预算专项经费，起止日期为2024年1月至12月。主要用于园区招商引资的各项工作经费，接待以园区名义邀请的客商。园区领导带队去省队、境外招商费用。参加或承办各类招商引资活动、经贸洽谈活动、项目策划、中介招商、园区基础设施配套和公共服务平台建设等费用。参加或举办的各类会展宣传招商引资和投资促进活动所产生的场地费、设备租赁费、展位费及综合搭建费等会展宣传费用。开展投资促进工作对外合作项目库、外商投资信息库、经贸活动信息库、规划编制、项目策划、宣传推介、业务培训和咨询服务平台建设及日常维护运行费等投资促进工作基础费。用于开展招商引资工作的办公、差旅、车辆租用等费用，以及相关会务服务、资料印刷、音像制品、项目建议、策划书等制作费用。招商引资工作奖励等。2024年区级招商引资共拨付经费100万元。</w:t>
      </w:r>
    </w:p>
    <w:p w14:paraId="4B9CDAB8">
      <w:pPr>
        <w:numPr>
          <w:ilvl w:val="0"/>
          <w:numId w:val="0"/>
        </w:numPr>
        <w:rPr>
          <w:rFonts w:hint="eastAsia" w:ascii="宋体" w:hAnsi="宋体" w:eastAsia="宋体" w:cs="宋体"/>
          <w:b/>
          <w:bCs/>
          <w:kern w:val="0"/>
          <w:sz w:val="30"/>
          <w:szCs w:val="30"/>
          <w:lang w:val="en-US" w:eastAsia="zh-CN" w:bidi="ar-SA"/>
        </w:rPr>
      </w:pPr>
      <w:r>
        <w:rPr>
          <w:rFonts w:hint="eastAsia" w:ascii="宋体" w:hAnsi="宋体" w:eastAsia="宋体" w:cs="宋体"/>
          <w:b/>
          <w:bCs/>
          <w:kern w:val="0"/>
          <w:sz w:val="30"/>
          <w:szCs w:val="30"/>
          <w:lang w:val="en-US" w:eastAsia="zh-CN" w:bidi="ar-SA"/>
        </w:rPr>
        <w:t xml:space="preserve">  （二）项目绩效目标：拓展招商领域，搭建招商载体，改善和优化投资环境，稳步推进招商引资项目。</w:t>
      </w:r>
    </w:p>
    <w:p w14:paraId="0F53D226">
      <w:pPr>
        <w:numPr>
          <w:ilvl w:val="0"/>
          <w:numId w:val="0"/>
        </w:numPr>
        <w:ind w:firstLine="602" w:firstLineChars="200"/>
        <w:rPr>
          <w:rFonts w:hint="eastAsia" w:ascii="宋体" w:hAnsi="宋体" w:eastAsia="宋体" w:cs="宋体"/>
          <w:b/>
          <w:bCs/>
          <w:kern w:val="0"/>
          <w:sz w:val="30"/>
          <w:szCs w:val="30"/>
          <w:lang w:val="en-US" w:eastAsia="zh-CN" w:bidi="ar-SA"/>
        </w:rPr>
      </w:pPr>
      <w:r>
        <w:rPr>
          <w:rFonts w:hint="eastAsia" w:ascii="宋体" w:hAnsi="宋体" w:eastAsia="宋体" w:cs="宋体"/>
          <w:b/>
          <w:bCs/>
          <w:kern w:val="0"/>
          <w:sz w:val="30"/>
          <w:szCs w:val="30"/>
          <w:lang w:val="en-US" w:eastAsia="zh-CN" w:bidi="ar-SA"/>
        </w:rPr>
        <w:t>1、项目资金安排落实、总投入等情况分析：招商引资实施具体实际，及时保障经费，全年总投入经费100万元，实际支出100万元。</w:t>
      </w:r>
    </w:p>
    <w:p w14:paraId="05E4ED4D">
      <w:pPr>
        <w:numPr>
          <w:ilvl w:val="0"/>
          <w:numId w:val="0"/>
        </w:numPr>
        <w:ind w:firstLine="602" w:firstLineChars="200"/>
        <w:rPr>
          <w:rFonts w:hint="eastAsia" w:ascii="宋体" w:hAnsi="宋体" w:eastAsia="宋体" w:cs="宋体"/>
          <w:b/>
          <w:bCs/>
          <w:kern w:val="0"/>
          <w:sz w:val="30"/>
          <w:szCs w:val="30"/>
          <w:lang w:val="en-US" w:eastAsia="zh-CN" w:bidi="ar-SA"/>
        </w:rPr>
      </w:pPr>
      <w:r>
        <w:rPr>
          <w:rFonts w:hint="eastAsia" w:ascii="宋体" w:hAnsi="宋体" w:eastAsia="宋体" w:cs="宋体"/>
          <w:b/>
          <w:bCs/>
          <w:kern w:val="0"/>
          <w:sz w:val="30"/>
          <w:szCs w:val="30"/>
          <w:lang w:val="en-US" w:eastAsia="zh-CN" w:bidi="ar-SA"/>
        </w:rPr>
        <w:t>2、项目资金管理情况分析：在资金使用过程中，严格按照区级相关文件执行，严格按照商务接待标准，外出考察出行、餐饮和住宿标准支出，确保在符合支出范围内执行标准开支对不符合要求的坚决不予支出和使用经费。</w:t>
      </w:r>
    </w:p>
    <w:p w14:paraId="03D9D736">
      <w:pPr>
        <w:numPr>
          <w:ilvl w:val="0"/>
          <w:numId w:val="0"/>
        </w:numPr>
        <w:rPr>
          <w:rFonts w:hint="eastAsia" w:ascii="宋体" w:hAnsi="宋体" w:eastAsia="宋体" w:cs="宋体"/>
          <w:b/>
          <w:bCs/>
          <w:kern w:val="0"/>
          <w:sz w:val="30"/>
          <w:szCs w:val="30"/>
          <w:lang w:val="en-US" w:eastAsia="zh-CN" w:bidi="ar-SA"/>
        </w:rPr>
      </w:pPr>
      <w:r>
        <w:rPr>
          <w:rFonts w:hint="eastAsia" w:ascii="宋体" w:hAnsi="宋体" w:eastAsia="宋体" w:cs="宋体"/>
          <w:b/>
          <w:bCs/>
          <w:kern w:val="0"/>
          <w:sz w:val="30"/>
          <w:szCs w:val="30"/>
          <w:lang w:val="en-US" w:eastAsia="zh-CN" w:bidi="ar-SA"/>
        </w:rPr>
        <w:t>二、绩效评价工作开展情况：</w:t>
      </w:r>
    </w:p>
    <w:p w14:paraId="48732BC1">
      <w:pPr>
        <w:numPr>
          <w:ilvl w:val="0"/>
          <w:numId w:val="0"/>
        </w:numPr>
        <w:ind w:firstLine="301" w:firstLineChars="100"/>
        <w:rPr>
          <w:rFonts w:hint="default" w:ascii="宋体" w:hAnsi="宋体" w:eastAsia="宋体" w:cs="宋体"/>
          <w:b/>
          <w:bCs/>
          <w:kern w:val="0"/>
          <w:sz w:val="30"/>
          <w:szCs w:val="30"/>
          <w:lang w:val="en-US" w:eastAsia="zh-CN" w:bidi="ar-SA"/>
        </w:rPr>
      </w:pPr>
      <w:r>
        <w:rPr>
          <w:rFonts w:hint="eastAsia" w:ascii="宋体" w:hAnsi="宋体" w:eastAsia="宋体" w:cs="宋体"/>
          <w:b/>
          <w:bCs/>
          <w:kern w:val="0"/>
          <w:sz w:val="30"/>
          <w:szCs w:val="30"/>
          <w:lang w:val="en-US" w:eastAsia="zh-CN" w:bidi="ar-SA"/>
        </w:rPr>
        <w:t>1、</w:t>
      </w:r>
      <w:r>
        <w:rPr>
          <w:rFonts w:hint="default" w:ascii="宋体" w:hAnsi="宋体" w:eastAsia="宋体" w:cs="宋体"/>
          <w:b/>
          <w:bCs/>
          <w:kern w:val="0"/>
          <w:sz w:val="30"/>
          <w:szCs w:val="30"/>
          <w:lang w:val="en-US" w:eastAsia="zh-CN" w:bidi="ar-SA"/>
        </w:rPr>
        <w:t>数据填报和采集</w:t>
      </w:r>
      <w:r>
        <w:rPr>
          <w:rFonts w:hint="eastAsia" w:ascii="宋体" w:hAnsi="宋体" w:eastAsia="宋体" w:cs="宋体"/>
          <w:b/>
          <w:bCs/>
          <w:kern w:val="0"/>
          <w:sz w:val="30"/>
          <w:szCs w:val="30"/>
          <w:lang w:val="en-US" w:eastAsia="zh-CN" w:bidi="ar-SA"/>
        </w:rPr>
        <w:t>：</w:t>
      </w:r>
      <w:r>
        <w:rPr>
          <w:rFonts w:hint="default" w:ascii="宋体" w:hAnsi="宋体" w:eastAsia="宋体" w:cs="宋体"/>
          <w:b/>
          <w:bCs/>
          <w:kern w:val="0"/>
          <w:sz w:val="30"/>
          <w:szCs w:val="30"/>
          <w:lang w:val="en-US" w:eastAsia="zh-CN" w:bidi="ar-SA"/>
        </w:rPr>
        <w:t>根据工作实际</w:t>
      </w:r>
      <w:r>
        <w:rPr>
          <w:rFonts w:hint="eastAsia" w:ascii="宋体" w:hAnsi="宋体" w:eastAsia="宋体" w:cs="宋体"/>
          <w:b/>
          <w:bCs/>
          <w:kern w:val="0"/>
          <w:sz w:val="30"/>
          <w:szCs w:val="30"/>
          <w:lang w:val="en-US" w:eastAsia="zh-CN" w:bidi="ar-SA"/>
        </w:rPr>
        <w:t>情况</w:t>
      </w:r>
      <w:r>
        <w:rPr>
          <w:rFonts w:hint="default" w:ascii="宋体" w:hAnsi="宋体" w:eastAsia="宋体" w:cs="宋体"/>
          <w:b/>
          <w:bCs/>
          <w:kern w:val="0"/>
          <w:sz w:val="30"/>
          <w:szCs w:val="30"/>
          <w:lang w:val="en-US" w:eastAsia="zh-CN" w:bidi="ar-SA"/>
        </w:rPr>
        <w:t>，提供相关法律法规</w:t>
      </w:r>
      <w:r>
        <w:rPr>
          <w:rFonts w:hint="eastAsia" w:ascii="宋体" w:hAnsi="宋体" w:eastAsia="宋体" w:cs="宋体"/>
          <w:b/>
          <w:bCs/>
          <w:kern w:val="0"/>
          <w:sz w:val="30"/>
          <w:szCs w:val="30"/>
          <w:lang w:val="en-US" w:eastAsia="zh-CN" w:bidi="ar-SA"/>
        </w:rPr>
        <w:t>、</w:t>
      </w:r>
      <w:r>
        <w:rPr>
          <w:rFonts w:hint="default" w:ascii="宋体" w:hAnsi="宋体" w:eastAsia="宋体" w:cs="宋体"/>
          <w:b/>
          <w:bCs/>
          <w:kern w:val="0"/>
          <w:sz w:val="30"/>
          <w:szCs w:val="30"/>
          <w:lang w:val="en-US" w:eastAsia="zh-CN" w:bidi="ar-SA"/>
        </w:rPr>
        <w:t>文件制度</w:t>
      </w:r>
      <w:r>
        <w:rPr>
          <w:rFonts w:hint="eastAsia" w:ascii="宋体" w:hAnsi="宋体" w:eastAsia="宋体" w:cs="宋体"/>
          <w:b/>
          <w:bCs/>
          <w:kern w:val="0"/>
          <w:sz w:val="30"/>
          <w:szCs w:val="30"/>
          <w:lang w:val="en-US" w:eastAsia="zh-CN" w:bidi="ar-SA"/>
        </w:rPr>
        <w:t>、</w:t>
      </w:r>
      <w:r>
        <w:rPr>
          <w:rFonts w:hint="default" w:ascii="宋体" w:hAnsi="宋体" w:eastAsia="宋体" w:cs="宋体"/>
          <w:b/>
          <w:bCs/>
          <w:kern w:val="0"/>
          <w:sz w:val="30"/>
          <w:szCs w:val="30"/>
          <w:lang w:val="en-US" w:eastAsia="zh-CN" w:bidi="ar-SA"/>
        </w:rPr>
        <w:t>部门职能</w:t>
      </w:r>
      <w:r>
        <w:rPr>
          <w:rFonts w:hint="eastAsia" w:ascii="宋体" w:hAnsi="宋体" w:eastAsia="宋体" w:cs="宋体"/>
          <w:b/>
          <w:bCs/>
          <w:kern w:val="0"/>
          <w:sz w:val="30"/>
          <w:szCs w:val="30"/>
          <w:lang w:val="en-US" w:eastAsia="zh-CN" w:bidi="ar-SA"/>
        </w:rPr>
        <w:t>、</w:t>
      </w:r>
      <w:r>
        <w:rPr>
          <w:rFonts w:hint="default" w:ascii="宋体" w:hAnsi="宋体" w:eastAsia="宋体" w:cs="宋体"/>
          <w:b/>
          <w:bCs/>
          <w:kern w:val="0"/>
          <w:sz w:val="30"/>
          <w:szCs w:val="30"/>
          <w:lang w:val="en-US" w:eastAsia="zh-CN" w:bidi="ar-SA"/>
        </w:rPr>
        <w:t>年度工作计划、总结等各种资料及财务资料查询等，填报相关数据，提供相关情况。</w:t>
      </w:r>
    </w:p>
    <w:p w14:paraId="11BFF205">
      <w:pPr>
        <w:numPr>
          <w:ilvl w:val="0"/>
          <w:numId w:val="0"/>
        </w:numPr>
        <w:ind w:firstLine="301" w:firstLineChars="1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kern w:val="0"/>
          <w:sz w:val="30"/>
          <w:szCs w:val="30"/>
          <w:lang w:val="en-US" w:eastAsia="zh-CN" w:bidi="ar-SA"/>
        </w:rPr>
        <w:t>2、评价指标体系：本次绩效评价指标体系包括</w:t>
      </w: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项目资金预算执行、产出及效益4个一级指标,9个二级指标和 9个三级指标,满分为 100 分。</w:t>
      </w:r>
    </w:p>
    <w:p w14:paraId="5ECF0533">
      <w:pPr>
        <w:numPr>
          <w:ilvl w:val="0"/>
          <w:numId w:val="0"/>
        </w:numPr>
        <w:ind w:firstLine="301" w:firstLineChars="1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（1）项目资金预算执行率:分值 10 分，用于考核年初预算与全年预算执行情况。</w:t>
      </w:r>
    </w:p>
    <w:p w14:paraId="1650D088">
      <w:pPr>
        <w:numPr>
          <w:ilvl w:val="0"/>
          <w:numId w:val="0"/>
        </w:numPr>
        <w:ind w:firstLine="301" w:firstLineChars="1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（2）产出指标：分值 30分,用于考察该项目资金投入产出数量、产出质质量、产出时效、产出成本等内容。</w:t>
      </w:r>
    </w:p>
    <w:p w14:paraId="5BEBEE9D">
      <w:pPr>
        <w:numPr>
          <w:ilvl w:val="0"/>
          <w:numId w:val="0"/>
        </w:numPr>
        <w:ind w:firstLine="301" w:firstLineChars="1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（3）效益指标：分值 40 分,用于综合评价资金投入使用后产生的经济效益、社会效益、生态效益、可持续影响、服务对象满意度等内容。</w:t>
      </w:r>
    </w:p>
    <w:p w14:paraId="3A36250D">
      <w:pPr>
        <w:numPr>
          <w:ilvl w:val="0"/>
          <w:numId w:val="0"/>
        </w:numPr>
        <w:ind w:firstLine="301" w:firstLineChars="1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(4)成本指标：分值10分，用于项目成本控制额。</w:t>
      </w:r>
    </w:p>
    <w:p w14:paraId="49E6F5C5">
      <w:pPr>
        <w:numPr>
          <w:ilvl w:val="0"/>
          <w:numId w:val="0"/>
        </w:numPr>
        <w:ind w:firstLine="301" w:firstLineChars="1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(5)满意度指标：分值10分，用于社会公众和服务对象满意度指标情况。</w:t>
      </w:r>
    </w:p>
    <w:p w14:paraId="67FDD653">
      <w:pPr>
        <w:ind w:firstLine="301" w:firstLineChars="100"/>
        <w:rPr>
          <w:rFonts w:hint="eastAsia"/>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3、数据分析和撰写报告。根据工作实际和资金实际使用情况，分类、整理、分析和打分，形成了招商引资专项经费自评报告。</w:t>
      </w:r>
    </w:p>
    <w:p w14:paraId="648BBDBC">
      <w:pPr>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三、综合评价结论：综合考虑投入、产出、效果、影响力等各方面因素，通过数据采集及分析，最终评分结果:招商引资项目绩效自评结果为:总得分 100 分，自评为优秀。</w:t>
      </w:r>
    </w:p>
    <w:p w14:paraId="2BAA5BDF">
      <w:pPr>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四、绩效评价指标分析：</w:t>
      </w:r>
    </w:p>
    <w:p w14:paraId="50B68B8B">
      <w:pPr>
        <w:ind w:firstLine="602" w:firstLineChars="2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一）项目决策与过程情况：在绩效评价工作实施过程中，园区要求项目各责任人在预算执行中严格按照年初预算的绩效目标使用资金，严格执行各项经费管理办法，不随意调整变更资金用途或者挪作他用。这些费用的目的是为了吸引和促进外部投资，‌加强园区经济发展，‌通过提供必要的服务和支持，‌降低投资者的风险和成本，‌提高投资项目的成功率和效益。做到专款专用，确保资金不偏离绩效目标。</w:t>
      </w:r>
    </w:p>
    <w:p w14:paraId="3F8C7709">
      <w:pPr>
        <w:ind w:firstLine="602" w:firstLineChars="200"/>
        <w:rPr>
          <w:rFonts w:hint="eastAsia" w:ascii="宋体" w:hAnsi="宋体" w:eastAsia="宋体" w:cs="宋体"/>
          <w:b/>
          <w:bCs/>
          <w:kern w:val="0"/>
          <w:sz w:val="30"/>
          <w:szCs w:val="30"/>
          <w:lang w:val="en-US" w:eastAsia="zh-CN" w:bidi="ar-SA"/>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（二）项目产出与效益情况：</w:t>
      </w:r>
      <w:r>
        <w:rPr>
          <w:rFonts w:hint="eastAsia" w:ascii="宋体" w:hAnsi="宋体" w:eastAsia="宋体" w:cs="宋体"/>
          <w:b/>
          <w:bCs/>
          <w:kern w:val="0"/>
          <w:sz w:val="30"/>
          <w:szCs w:val="30"/>
          <w:lang w:val="en-US" w:eastAsia="zh-CN" w:bidi="ar-SA"/>
        </w:rPr>
        <w:t>全年签定了多个招商引资合同，实现合同引资121.75亿元。储备在谈项目13个，其中明正宏三期、众能电子等优质项目经多轮沟通初步达成共识。推动富佳科技、云萃环保、菲美特、 罗拉等18个项目动工建设，助推联创兴、福源特、群展电子等9个项目顺利投产。</w:t>
      </w:r>
    </w:p>
    <w:p w14:paraId="55091DFD">
      <w:pPr>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五、存在的问题及原因分析：</w:t>
      </w:r>
    </w:p>
    <w:p w14:paraId="07BA8DCE">
      <w:pPr>
        <w:ind w:firstLine="602" w:firstLineChars="2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因招商活动的不可控因素，招商引资工作经费未按进度均衡申报审批,导致支出存在年底集中支付的情况。</w:t>
      </w:r>
    </w:p>
    <w:p w14:paraId="5D69E846">
      <w:pPr>
        <w:numPr>
          <w:ilvl w:val="0"/>
          <w:numId w:val="1"/>
        </w:numPr>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有关建议及工作措施：</w:t>
      </w:r>
    </w:p>
    <w:p w14:paraId="24DB13ED">
      <w:pPr>
        <w:numPr>
          <w:ilvl w:val="0"/>
          <w:numId w:val="0"/>
        </w:numPr>
        <w:ind w:firstLine="602" w:firstLineChars="2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1.做好资金调整工作，制订年度项目资金预算方案，认真好每个项目的绩效目标分析，及时向领导汇报资金使用情况便及时作出调整，实现项目资金利用效率最大化。</w:t>
      </w:r>
    </w:p>
    <w:p w14:paraId="24E12401">
      <w:pPr>
        <w:numPr>
          <w:ilvl w:val="0"/>
          <w:numId w:val="0"/>
        </w:numPr>
        <w:ind w:firstLine="602" w:firstLineChars="2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2.不断提高认识，落实工作责任，确保项目完成质量。</w:t>
      </w:r>
    </w:p>
    <w:p w14:paraId="4B2FE189">
      <w:pPr>
        <w:numPr>
          <w:ilvl w:val="0"/>
          <w:numId w:val="0"/>
        </w:numPr>
        <w:ind w:firstLine="602" w:firstLineChars="200"/>
        <w:rPr>
          <w:rFonts w:hint="eastAsia" w:ascii="宋体" w:hAnsi="宋体" w:eastAsia="宋体" w:cs="宋体"/>
          <w:b/>
          <w:bCs/>
          <w:color w:val="000000" w:themeColor="text1"/>
          <w:kern w:val="0"/>
          <w:sz w:val="30"/>
          <w:szCs w:val="30"/>
          <w:lang w:val="en-US" w:eastAsia="zh-CN" w:bidi="ar-SA"/>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3.加大招商宣传推介力度，‌制作宣传材料，创新招商引资方式，利用产业集群招商，‌通过上下游产业的关联吸引投资。‌采用市场招商策略，‌提高市场准入门槛吸引企业投资建厂。通过政策调整降低税费、‌物业成本、‌物流成本、‌要素成本和融资成本，‌优化投资环境‌。</w:t>
      </w:r>
      <w:bookmarkStart w:id="0" w:name="_GoBack"/>
      <w:bookmarkEnd w:id="0"/>
      <w:r>
        <w:rPr>
          <w:rFonts w:hint="eastAsia" w:ascii="宋体" w:hAnsi="宋体" w:eastAsia="宋体" w:cs="宋体"/>
          <w:b/>
          <w:bCs/>
          <w:color w:val="000000" w:themeColor="text1"/>
          <w:kern w:val="0"/>
          <w:sz w:val="30"/>
          <w:szCs w:val="30"/>
          <w:lang w:val="en-US" w:eastAsia="zh-CN" w:bidi="ar-SA"/>
          <w14:textFill>
            <w14:solidFill>
              <w14:schemeClr w14:val="tx1"/>
            </w14:solidFill>
          </w14:textFill>
        </w:rPr>
        <w:t>实施精准招商，‌调整招商思路，‌加强产业招商研究，‌优选项目。优化服务，‌提供高标准的政策保障和高效率的要素保障，从而加快项目落地。招商引资是促进园区经济发展的重要手段，‌通过吸引外部投资，‌可以带动PCB产业升级、‌创造就业机会、‌增加财政收入。</w:t>
      </w:r>
    </w:p>
    <w:p w14:paraId="0BAA77FE">
      <w:pPr>
        <w:numPr>
          <w:ilvl w:val="0"/>
          <w:numId w:val="0"/>
        </w:numPr>
        <w:rPr>
          <w:rFonts w:hint="default" w:ascii="宋体" w:hAnsi="宋体" w:eastAsia="宋体" w:cs="宋体"/>
          <w:b/>
          <w:bCs/>
          <w:color w:val="000000" w:themeColor="text1"/>
          <w:kern w:val="0"/>
          <w:sz w:val="30"/>
          <w:szCs w:val="30"/>
          <w:lang w:val="en-US" w:eastAsia="zh-CN" w:bidi="ar-SA"/>
          <w14:textFill>
            <w14:solidFill>
              <w14:schemeClr w14:val="tx1"/>
            </w14:solidFill>
          </w14:textFill>
        </w:rPr>
      </w:pPr>
    </w:p>
    <w:p w14:paraId="61282097">
      <w:pPr>
        <w:numPr>
          <w:ilvl w:val="0"/>
          <w:numId w:val="0"/>
        </w:numPr>
        <w:ind w:firstLine="301" w:firstLineChars="100"/>
        <w:rPr>
          <w:rFonts w:hint="default" w:ascii="宋体" w:hAnsi="宋体" w:eastAsia="宋体" w:cs="宋体"/>
          <w:b/>
          <w:bCs/>
          <w:color w:val="000000" w:themeColor="text1"/>
          <w:kern w:val="0"/>
          <w:sz w:val="30"/>
          <w:szCs w:val="30"/>
          <w:lang w:val="en-US" w:eastAsia="zh-CN" w:bidi="ar-SA"/>
          <w14:textFill>
            <w14:solidFill>
              <w14:schemeClr w14:val="tx1"/>
            </w14:solidFill>
          </w14:textFill>
        </w:rPr>
      </w:pPr>
    </w:p>
    <w:p w14:paraId="68D4939C">
      <w:pPr>
        <w:numPr>
          <w:ilvl w:val="0"/>
          <w:numId w:val="0"/>
        </w:numPr>
        <w:ind w:firstLine="301" w:firstLineChars="100"/>
        <w:rPr>
          <w:rFonts w:hint="default" w:ascii="宋体" w:hAnsi="宋体" w:eastAsia="宋体" w:cs="宋体"/>
          <w:b/>
          <w:bCs/>
          <w:color w:val="000000" w:themeColor="text1"/>
          <w:kern w:val="0"/>
          <w:sz w:val="30"/>
          <w:szCs w:val="30"/>
          <w:lang w:val="en-US" w:eastAsia="zh-CN" w:bidi="ar-SA"/>
          <w14:textFill>
            <w14:solidFill>
              <w14:schemeClr w14:val="tx1"/>
            </w14:solidFill>
          </w14:textFill>
        </w:rPr>
      </w:pPr>
    </w:p>
    <w:p w14:paraId="2AD898C3">
      <w:pPr>
        <w:numPr>
          <w:ilvl w:val="0"/>
          <w:numId w:val="0"/>
        </w:numPr>
        <w:ind w:firstLine="301" w:firstLineChars="100"/>
        <w:rPr>
          <w:rFonts w:hint="default" w:ascii="宋体" w:hAnsi="宋体" w:eastAsia="宋体" w:cs="宋体"/>
          <w:b/>
          <w:bCs/>
          <w:color w:val="000000" w:themeColor="text1"/>
          <w:kern w:val="0"/>
          <w:sz w:val="30"/>
          <w:szCs w:val="30"/>
          <w:lang w:val="en-US" w:eastAsia="zh-CN" w:bidi="ar-SA"/>
          <w14:textFill>
            <w14:solidFill>
              <w14:schemeClr w14:val="tx1"/>
            </w14:solidFill>
          </w14:textFill>
        </w:rPr>
      </w:pPr>
    </w:p>
    <w:p w14:paraId="157FEC8C">
      <w:pPr>
        <w:numPr>
          <w:ilvl w:val="0"/>
          <w:numId w:val="0"/>
        </w:numPr>
        <w:rPr>
          <w:rFonts w:hint="default" w:ascii="宋体" w:hAnsi="宋体" w:eastAsia="宋体" w:cs="宋体"/>
          <w:b/>
          <w:bCs/>
          <w:kern w:val="0"/>
          <w:sz w:val="30"/>
          <w:szCs w:val="30"/>
          <w:lang w:val="en-US" w:eastAsia="zh-CN" w:bidi="ar-S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26B9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46D0EF">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846D0EF">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C2207E"/>
    <w:multiLevelType w:val="singleLevel"/>
    <w:tmpl w:val="4BC2207E"/>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A07D7C"/>
    <w:rsid w:val="005A7830"/>
    <w:rsid w:val="00CF5500"/>
    <w:rsid w:val="0127533C"/>
    <w:rsid w:val="021F6154"/>
    <w:rsid w:val="02C60B85"/>
    <w:rsid w:val="03E012B9"/>
    <w:rsid w:val="03E2379C"/>
    <w:rsid w:val="04324803"/>
    <w:rsid w:val="054A1540"/>
    <w:rsid w:val="05A86320"/>
    <w:rsid w:val="05D9472B"/>
    <w:rsid w:val="061045A1"/>
    <w:rsid w:val="061E0B8A"/>
    <w:rsid w:val="0671705A"/>
    <w:rsid w:val="068B011B"/>
    <w:rsid w:val="06C54019"/>
    <w:rsid w:val="076646E5"/>
    <w:rsid w:val="0782145E"/>
    <w:rsid w:val="0AC41E4E"/>
    <w:rsid w:val="0B32225B"/>
    <w:rsid w:val="0BA47589"/>
    <w:rsid w:val="0C5E3BDC"/>
    <w:rsid w:val="0CE75980"/>
    <w:rsid w:val="0CF84031"/>
    <w:rsid w:val="0CFA1B57"/>
    <w:rsid w:val="0D40503E"/>
    <w:rsid w:val="0DD00B0A"/>
    <w:rsid w:val="0E0E0013"/>
    <w:rsid w:val="10066A65"/>
    <w:rsid w:val="109C4CD3"/>
    <w:rsid w:val="10C83D1A"/>
    <w:rsid w:val="11401B02"/>
    <w:rsid w:val="11C36E4C"/>
    <w:rsid w:val="12BB3B36"/>
    <w:rsid w:val="12DD1CFF"/>
    <w:rsid w:val="12EC1F42"/>
    <w:rsid w:val="13E71E54"/>
    <w:rsid w:val="142179C9"/>
    <w:rsid w:val="163B0AEA"/>
    <w:rsid w:val="16663DB9"/>
    <w:rsid w:val="17233A97"/>
    <w:rsid w:val="175822B5"/>
    <w:rsid w:val="17795D6E"/>
    <w:rsid w:val="17B31280"/>
    <w:rsid w:val="18357EE7"/>
    <w:rsid w:val="185D2F9A"/>
    <w:rsid w:val="19BE215E"/>
    <w:rsid w:val="19F142E2"/>
    <w:rsid w:val="1A1F0E4F"/>
    <w:rsid w:val="1A304E0A"/>
    <w:rsid w:val="1C0F6CA1"/>
    <w:rsid w:val="1C570CD7"/>
    <w:rsid w:val="1DDC0E05"/>
    <w:rsid w:val="1E4876B1"/>
    <w:rsid w:val="201743BA"/>
    <w:rsid w:val="206375BB"/>
    <w:rsid w:val="20D07F44"/>
    <w:rsid w:val="215D04AF"/>
    <w:rsid w:val="21A1039B"/>
    <w:rsid w:val="23957B07"/>
    <w:rsid w:val="23B343B6"/>
    <w:rsid w:val="23ED3D6C"/>
    <w:rsid w:val="24B30B11"/>
    <w:rsid w:val="25E46904"/>
    <w:rsid w:val="25F807A6"/>
    <w:rsid w:val="263E265D"/>
    <w:rsid w:val="267442D0"/>
    <w:rsid w:val="26EA7E55"/>
    <w:rsid w:val="27CB43C4"/>
    <w:rsid w:val="28307B03"/>
    <w:rsid w:val="28C72DDD"/>
    <w:rsid w:val="2A914C85"/>
    <w:rsid w:val="2ACD3FAF"/>
    <w:rsid w:val="2B381D70"/>
    <w:rsid w:val="2B920D55"/>
    <w:rsid w:val="2B964CE9"/>
    <w:rsid w:val="2C8763E0"/>
    <w:rsid w:val="2C92725E"/>
    <w:rsid w:val="2CFF1D81"/>
    <w:rsid w:val="2DAC0C8D"/>
    <w:rsid w:val="2F041F69"/>
    <w:rsid w:val="300A1801"/>
    <w:rsid w:val="308D7B33"/>
    <w:rsid w:val="30E3277E"/>
    <w:rsid w:val="31172428"/>
    <w:rsid w:val="316F4012"/>
    <w:rsid w:val="32ED6C2C"/>
    <w:rsid w:val="354632DC"/>
    <w:rsid w:val="35B64D10"/>
    <w:rsid w:val="36E903C3"/>
    <w:rsid w:val="37A4253C"/>
    <w:rsid w:val="38B82D3E"/>
    <w:rsid w:val="390D345A"/>
    <w:rsid w:val="394E275F"/>
    <w:rsid w:val="39C944DB"/>
    <w:rsid w:val="3A257964"/>
    <w:rsid w:val="3A5308B9"/>
    <w:rsid w:val="3A7A1325"/>
    <w:rsid w:val="3AF64E5C"/>
    <w:rsid w:val="3B07350D"/>
    <w:rsid w:val="3CF655E7"/>
    <w:rsid w:val="3D1A0A38"/>
    <w:rsid w:val="3E1F291C"/>
    <w:rsid w:val="3F424B14"/>
    <w:rsid w:val="3FF15FEB"/>
    <w:rsid w:val="4013200C"/>
    <w:rsid w:val="40C33A32"/>
    <w:rsid w:val="414C67FE"/>
    <w:rsid w:val="41DC654E"/>
    <w:rsid w:val="425F778B"/>
    <w:rsid w:val="428A4FB2"/>
    <w:rsid w:val="430F11B1"/>
    <w:rsid w:val="43BB6B5C"/>
    <w:rsid w:val="43F56AA3"/>
    <w:rsid w:val="442C5D93"/>
    <w:rsid w:val="44531571"/>
    <w:rsid w:val="445C09D8"/>
    <w:rsid w:val="45967968"/>
    <w:rsid w:val="45A258DE"/>
    <w:rsid w:val="46911B6D"/>
    <w:rsid w:val="469320F9"/>
    <w:rsid w:val="47060B1D"/>
    <w:rsid w:val="47282841"/>
    <w:rsid w:val="47CA1B4A"/>
    <w:rsid w:val="47D14C87"/>
    <w:rsid w:val="481728B6"/>
    <w:rsid w:val="489B7043"/>
    <w:rsid w:val="4921579A"/>
    <w:rsid w:val="4961347E"/>
    <w:rsid w:val="4A117BFE"/>
    <w:rsid w:val="4A2A2D74"/>
    <w:rsid w:val="4CFE5DF2"/>
    <w:rsid w:val="4D5A3970"/>
    <w:rsid w:val="4D730618"/>
    <w:rsid w:val="4D897DB2"/>
    <w:rsid w:val="4DF1285B"/>
    <w:rsid w:val="4F9D5D96"/>
    <w:rsid w:val="4F9D77BD"/>
    <w:rsid w:val="50081462"/>
    <w:rsid w:val="50DD2090"/>
    <w:rsid w:val="513B7615"/>
    <w:rsid w:val="513D15DF"/>
    <w:rsid w:val="5187285A"/>
    <w:rsid w:val="52262073"/>
    <w:rsid w:val="53FC752F"/>
    <w:rsid w:val="54BC6CBF"/>
    <w:rsid w:val="56290384"/>
    <w:rsid w:val="56A63783"/>
    <w:rsid w:val="56CB143B"/>
    <w:rsid w:val="578A4E52"/>
    <w:rsid w:val="578E4942"/>
    <w:rsid w:val="579B2BBB"/>
    <w:rsid w:val="57C93BCD"/>
    <w:rsid w:val="58A07D7C"/>
    <w:rsid w:val="58FC3B2E"/>
    <w:rsid w:val="5A2A6479"/>
    <w:rsid w:val="5AB81CD6"/>
    <w:rsid w:val="5C0E3A02"/>
    <w:rsid w:val="5C2018E1"/>
    <w:rsid w:val="5D2D69AC"/>
    <w:rsid w:val="5E0E5A3B"/>
    <w:rsid w:val="5E36363E"/>
    <w:rsid w:val="5E84084D"/>
    <w:rsid w:val="5EB01642"/>
    <w:rsid w:val="5F4F0E5B"/>
    <w:rsid w:val="5FC52ECB"/>
    <w:rsid w:val="607448F1"/>
    <w:rsid w:val="60E43117"/>
    <w:rsid w:val="610C6769"/>
    <w:rsid w:val="61271964"/>
    <w:rsid w:val="612A032F"/>
    <w:rsid w:val="61C84EF5"/>
    <w:rsid w:val="62BD60DC"/>
    <w:rsid w:val="62EB1054"/>
    <w:rsid w:val="62FA46DB"/>
    <w:rsid w:val="630A5BB9"/>
    <w:rsid w:val="63360EFD"/>
    <w:rsid w:val="6342098A"/>
    <w:rsid w:val="639C5F67"/>
    <w:rsid w:val="63B63F59"/>
    <w:rsid w:val="63CB4828"/>
    <w:rsid w:val="64591E34"/>
    <w:rsid w:val="658B79BE"/>
    <w:rsid w:val="65D73958"/>
    <w:rsid w:val="66216982"/>
    <w:rsid w:val="66CF63DE"/>
    <w:rsid w:val="682B3AE8"/>
    <w:rsid w:val="686D5EAE"/>
    <w:rsid w:val="68A65864"/>
    <w:rsid w:val="68F61C13"/>
    <w:rsid w:val="694372D8"/>
    <w:rsid w:val="6A9C6F1F"/>
    <w:rsid w:val="6AA67D9D"/>
    <w:rsid w:val="6B347157"/>
    <w:rsid w:val="6B453112"/>
    <w:rsid w:val="6C326A9A"/>
    <w:rsid w:val="6C7F30D3"/>
    <w:rsid w:val="6E6C623F"/>
    <w:rsid w:val="6EB034E3"/>
    <w:rsid w:val="6FB62831"/>
    <w:rsid w:val="707B5B4C"/>
    <w:rsid w:val="708E2E66"/>
    <w:rsid w:val="716215E6"/>
    <w:rsid w:val="716A5681"/>
    <w:rsid w:val="727B1B10"/>
    <w:rsid w:val="731D326A"/>
    <w:rsid w:val="73472096"/>
    <w:rsid w:val="73E536E4"/>
    <w:rsid w:val="73F331BB"/>
    <w:rsid w:val="74C96B62"/>
    <w:rsid w:val="74E7523A"/>
    <w:rsid w:val="752330FE"/>
    <w:rsid w:val="75483F2B"/>
    <w:rsid w:val="75FC6AC3"/>
    <w:rsid w:val="7634625D"/>
    <w:rsid w:val="781E71C5"/>
    <w:rsid w:val="78232A2D"/>
    <w:rsid w:val="78E26444"/>
    <w:rsid w:val="7A3C3932"/>
    <w:rsid w:val="7AFD57B8"/>
    <w:rsid w:val="7BA56056"/>
    <w:rsid w:val="7CC73937"/>
    <w:rsid w:val="7D15192A"/>
    <w:rsid w:val="7D690EE2"/>
    <w:rsid w:val="7E8F4979"/>
    <w:rsid w:val="7F127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itle"/>
    <w:basedOn w:val="1"/>
    <w:next w:val="1"/>
    <w:qFormat/>
    <w:uiPriority w:val="99"/>
    <w:pPr>
      <w:spacing w:before="240" w:after="60"/>
      <w:jc w:val="center"/>
      <w:outlineLvl w:val="0"/>
    </w:pPr>
    <w:rPr>
      <w:rFonts w:ascii="Cambria" w:hAnsi="Cambria" w:eastAsia="宋体" w:cs="Cambria"/>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1907</Words>
  <Characters>1956</Characters>
  <Lines>0</Lines>
  <Paragraphs>0</Paragraphs>
  <TotalTime>1</TotalTime>
  <ScaleCrop>false</ScaleCrop>
  <LinksUpToDate>false</LinksUpToDate>
  <CharactersWithSpaces>1973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2025-04-15T01:43:00Z</dcterms:created>
  <dc:creator>小小</dc:creator>
  <cp:lastModifiedBy>小小</cp:lastModifiedBy>
  <dcterms:modified xsi:type="dcterms:W3CDTF">2025-04-25T07:34:12Z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4730FAA52D10413987F54E5C9AEC4528_11</vt:lpwstr>
  </property>
  <property fmtid="{D5CDD505-2E9C-101B-9397-08002B2CF9AE}" pid="4" name="KSOTemplateDocerSaveRecord">
    <vt:lpwstr>eyJoZGlkIjoiMTg1ZTc0M2E4OThkOWIxZGViODQwOGViZWU3ODg0ZmMiLCJ1c2VySWQiOiI1MTg5MjY5NDIifQ==</vt:lpwstr>
  </property>
</Properties>
</file>