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14348">
      <w:pPr>
        <w:pStyle w:val="5"/>
        <w:spacing w:before="0" w:after="0" w:line="520" w:lineRule="exact"/>
        <w:rPr>
          <w:rFonts w:hint="eastAsia" w:ascii="宋体" w:hAnsi="宋体" w:cs="宋体"/>
          <w:kern w:val="0"/>
          <w:sz w:val="44"/>
          <w:szCs w:val="44"/>
        </w:rPr>
      </w:pPr>
      <w:r>
        <w:rPr>
          <w:rFonts w:hint="eastAsia" w:ascii="宋体" w:hAnsi="宋体" w:cs="宋体"/>
          <w:kern w:val="0"/>
          <w:sz w:val="44"/>
          <w:szCs w:val="44"/>
        </w:rPr>
        <w:t>湖南益阳长春经济开发区管理委员会</w:t>
      </w:r>
    </w:p>
    <w:p w14:paraId="54242277">
      <w:pPr>
        <w:pStyle w:val="5"/>
        <w:spacing w:before="0" w:after="0" w:line="520" w:lineRule="exact"/>
        <w:rPr>
          <w:rFonts w:hint="eastAsia" w:ascii="宋体" w:hAnsi="宋体" w:cs="宋体"/>
          <w:kern w:val="0"/>
          <w:sz w:val="44"/>
          <w:szCs w:val="44"/>
          <w:lang w:val="en-US" w:eastAsia="zh-CN"/>
        </w:rPr>
      </w:pPr>
      <w:r>
        <w:rPr>
          <w:rFonts w:hint="eastAsia" w:ascii="宋体" w:hAnsi="宋体" w:cs="宋体"/>
          <w:kern w:val="0"/>
          <w:sz w:val="44"/>
          <w:szCs w:val="44"/>
          <w:lang w:val="en-US" w:eastAsia="zh-CN"/>
        </w:rPr>
        <w:t>2024年运转经费项目支出</w:t>
      </w:r>
    </w:p>
    <w:p w14:paraId="5497B2F1">
      <w:pPr>
        <w:pStyle w:val="5"/>
        <w:spacing w:before="0" w:after="0" w:line="520" w:lineRule="exact"/>
        <w:rPr>
          <w:rFonts w:hint="eastAsia" w:ascii="宋体" w:hAnsi="宋体" w:cs="宋体"/>
          <w:kern w:val="0"/>
          <w:sz w:val="44"/>
          <w:szCs w:val="44"/>
          <w:lang w:val="en-US" w:eastAsia="zh-CN"/>
        </w:rPr>
      </w:pPr>
      <w:r>
        <w:rPr>
          <w:rFonts w:hint="eastAsia" w:ascii="宋体" w:hAnsi="宋体" w:cs="宋体"/>
          <w:kern w:val="0"/>
          <w:sz w:val="44"/>
          <w:szCs w:val="44"/>
          <w:lang w:val="en-US" w:eastAsia="zh-CN"/>
        </w:rPr>
        <w:t>绩效自评评价报告</w:t>
      </w:r>
    </w:p>
    <w:p w14:paraId="71416E2A">
      <w:pPr>
        <w:numPr>
          <w:ilvl w:val="0"/>
          <w:numId w:val="0"/>
        </w:numPr>
        <w:rPr>
          <w:rFonts w:hint="eastAsia" w:ascii="宋体" w:hAnsi="宋体" w:eastAsia="宋体" w:cs="宋体"/>
          <w:b/>
          <w:bCs/>
          <w:kern w:val="0"/>
          <w:sz w:val="44"/>
          <w:szCs w:val="44"/>
          <w:lang w:val="en-US" w:eastAsia="zh-CN" w:bidi="ar-SA"/>
        </w:rPr>
      </w:pPr>
      <w:r>
        <w:rPr>
          <w:rFonts w:hint="eastAsia" w:ascii="宋体" w:hAnsi="宋体" w:eastAsia="宋体" w:cs="宋体"/>
          <w:b/>
          <w:bCs/>
          <w:kern w:val="0"/>
          <w:sz w:val="30"/>
          <w:szCs w:val="30"/>
          <w:lang w:val="en-US" w:eastAsia="zh-CN" w:bidi="ar-SA"/>
        </w:rPr>
        <w:t>一、运转经费项目支出基本情况：</w:t>
      </w:r>
    </w:p>
    <w:p w14:paraId="2177BD07">
      <w:pPr>
        <w:rPr>
          <w:rFonts w:hint="default" w:ascii="宋体" w:hAnsi="宋体" w:eastAsia="宋体" w:cs="宋体"/>
          <w:b/>
          <w:bCs/>
          <w:kern w:val="0"/>
          <w:sz w:val="30"/>
          <w:szCs w:val="30"/>
          <w:lang w:val="en-US" w:eastAsia="zh-CN" w:bidi="ar-SA"/>
        </w:rPr>
      </w:pPr>
      <w:r>
        <w:rPr>
          <w:rFonts w:hint="eastAsia" w:ascii="仿宋" w:hAnsi="仿宋" w:eastAsia="仿宋" w:cs="仿宋"/>
          <w:kern w:val="0"/>
          <w:sz w:val="30"/>
          <w:szCs w:val="30"/>
          <w:lang w:val="en-US" w:eastAsia="zh-CN"/>
        </w:rPr>
        <w:t xml:space="preserve">   </w:t>
      </w:r>
      <w:r>
        <w:rPr>
          <w:rFonts w:hint="eastAsia" w:ascii="宋体" w:hAnsi="宋体" w:eastAsia="宋体" w:cs="宋体"/>
          <w:b/>
          <w:bCs/>
          <w:kern w:val="0"/>
          <w:sz w:val="30"/>
          <w:szCs w:val="30"/>
          <w:lang w:val="en-US" w:eastAsia="zh-CN" w:bidi="ar-SA"/>
        </w:rPr>
        <w:t>（一）项目概括：本项目为2024年区本级一般公共预算专项经费，起止日期为2024年1月至12月。主要用于保障其履行公共管理和服务职能，如维持部门的办公运转、开展公共服务项目、进行基础设施建设与维护等。2024年区级年初-运转经费共拨付经费200万元，基本用于支持园区的正常经营运行，支持人员的稳定，保障工作顺利开展。</w:t>
      </w:r>
    </w:p>
    <w:p w14:paraId="4B9CDAB8">
      <w:pPr>
        <w:numPr>
          <w:ilvl w:val="0"/>
          <w:numId w:val="0"/>
        </w:num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kern w:val="0"/>
          <w:sz w:val="30"/>
          <w:szCs w:val="30"/>
          <w:lang w:val="en-US" w:eastAsia="zh-CN" w:bidi="ar-SA"/>
        </w:rPr>
        <w:t xml:space="preserve">  （二）项目绩效目标：</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保障园区基础设施安全稳定运行，提升管理服务效能，优化资源配置，降低运维成本，实现园区环境改善、服务对象满意度提升，为入驻单位提供优质公共服务平台，推动园区可持续发展。</w:t>
      </w:r>
    </w:p>
    <w:p w14:paraId="0F53D226">
      <w:pPr>
        <w:numPr>
          <w:ilvl w:val="0"/>
          <w:numId w:val="0"/>
        </w:numPr>
        <w:ind w:firstLine="602" w:firstLineChars="200"/>
        <w:rPr>
          <w:rFonts w:hint="eastAsia"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1、项目资金安排落实、总投入等情况分析：运转经费实施具体实际，及时保障经费，全年总投入经费200万元，实际支出200万元。</w:t>
      </w:r>
    </w:p>
    <w:p w14:paraId="05E4ED4D">
      <w:pPr>
        <w:numPr>
          <w:ilvl w:val="0"/>
          <w:numId w:val="0"/>
        </w:numPr>
        <w:ind w:firstLine="602" w:firstLineChars="200"/>
        <w:rPr>
          <w:rFonts w:hint="eastAsia"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2、项目资金管理情况分析：在资金使用过程中，严格按照区级相关文件执行，严格按照园区日常工作开展，确保在符合支出范围内执行标准开支，对不符合要求的坚决不予支出和使用经费。</w:t>
      </w:r>
    </w:p>
    <w:p w14:paraId="03D9D736">
      <w:pPr>
        <w:numPr>
          <w:ilvl w:val="0"/>
          <w:numId w:val="0"/>
        </w:numPr>
        <w:rPr>
          <w:rFonts w:hint="eastAsia"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二、绩效评价工作开展情况：</w:t>
      </w:r>
    </w:p>
    <w:p w14:paraId="48732BC1">
      <w:pPr>
        <w:numPr>
          <w:ilvl w:val="0"/>
          <w:numId w:val="0"/>
        </w:numPr>
        <w:ind w:firstLine="301" w:firstLineChars="100"/>
        <w:rPr>
          <w:rFonts w:hint="default"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1、</w:t>
      </w:r>
      <w:r>
        <w:rPr>
          <w:rFonts w:hint="default" w:ascii="宋体" w:hAnsi="宋体" w:eastAsia="宋体" w:cs="宋体"/>
          <w:b/>
          <w:bCs/>
          <w:kern w:val="0"/>
          <w:sz w:val="30"/>
          <w:szCs w:val="30"/>
          <w:lang w:val="en-US" w:eastAsia="zh-CN" w:bidi="ar-SA"/>
        </w:rPr>
        <w:t>数据填报和采集</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根据工作实际</w:t>
      </w:r>
      <w:r>
        <w:rPr>
          <w:rFonts w:hint="eastAsia" w:ascii="宋体" w:hAnsi="宋体" w:eastAsia="宋体" w:cs="宋体"/>
          <w:b/>
          <w:bCs/>
          <w:kern w:val="0"/>
          <w:sz w:val="30"/>
          <w:szCs w:val="30"/>
          <w:lang w:val="en-US" w:eastAsia="zh-CN" w:bidi="ar-SA"/>
        </w:rPr>
        <w:t>情况</w:t>
      </w:r>
      <w:r>
        <w:rPr>
          <w:rFonts w:hint="default" w:ascii="宋体" w:hAnsi="宋体" w:eastAsia="宋体" w:cs="宋体"/>
          <w:b/>
          <w:bCs/>
          <w:kern w:val="0"/>
          <w:sz w:val="30"/>
          <w:szCs w:val="30"/>
          <w:lang w:val="en-US" w:eastAsia="zh-CN" w:bidi="ar-SA"/>
        </w:rPr>
        <w:t>，提供相关法律法规</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文件制度</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部门职能</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年度工作计划、总结等各种资料及财务资料查询等，填报相关数据，提供相关情况。</w:t>
      </w:r>
    </w:p>
    <w:p w14:paraId="11BFF205">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kern w:val="0"/>
          <w:sz w:val="30"/>
          <w:szCs w:val="30"/>
          <w:lang w:val="en-US" w:eastAsia="zh-CN" w:bidi="ar-SA"/>
        </w:rPr>
        <w:t>2、评价指标体系：本次绩效评价指标体系包括</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项目资金预算执行、产出及效益4个一级指标,9个二级指标和 9个三级指标,满分为 100 分。</w:t>
      </w:r>
    </w:p>
    <w:p w14:paraId="5ECF0533">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（1）项目资金预算执行率:分值 10 分，用于考核年初预算与全年预算执行情况。</w:t>
      </w:r>
    </w:p>
    <w:p w14:paraId="1650D088">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（2）产出指标：分值 30分,用于考察该项目资金投入产出数量、产出质量、产出时效、产出成本等内容。其中又分为运转经费支付率、预定标准完成率以及经费使用的完成限额。</w:t>
      </w:r>
    </w:p>
    <w:p w14:paraId="5BEBEE9D">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（3）效益指标：分值 40 分,用于综合评价资金投入使用后产生的经济效益、社会效益、生态效益、可持续影响、服务对象满意度等内容。其中又分为能否有效保障园区正常运行、园区公共服务覆盖率、园区节能减排环保以及人民生活水平是否有效提高。</w:t>
      </w:r>
    </w:p>
    <w:p w14:paraId="3A36250D">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(4)成本指标：分值10分，用于项目成本控制额。</w:t>
      </w:r>
    </w:p>
    <w:p w14:paraId="49E6F5C5">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(5)满意度指标：分值10分，用于社会公众和服务对象满意度指标情况。</w:t>
      </w:r>
    </w:p>
    <w:p w14:paraId="67FDD653">
      <w:pPr>
        <w:ind w:firstLine="301" w:firstLineChars="100"/>
        <w:rPr>
          <w:rFonts w:hint="eastAsia"/>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3、数据分析和撰写报告。根据工作实际和资金实际使用情况，分类、整理、分析和打分，形成了运转经费自评报告。</w:t>
      </w:r>
    </w:p>
    <w:p w14:paraId="648BBDBC">
      <w:p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三、综合评价结论：综合考虑稳定、环境、发展、改革等各方面因素，通过数据采集及分析，最终评分结果:运转经费项目绩效自评结果为:总得分 100 分，自评为优秀。</w:t>
      </w:r>
    </w:p>
    <w:p w14:paraId="2BAA5BDF">
      <w:p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四、绩效评价指标分析：</w:t>
      </w:r>
    </w:p>
    <w:p w14:paraId="50B68B8B">
      <w:p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一）项目决策与过程情况：在绩效评价工作实施过程中，园区要求项目各责任人在预算执行中严格按照年初预算的绩效目标使用资金，严格执行各项经费管理办法，不随意调整变更资金用途或者挪作他用。这些费用的目的是‌加强园区经济发展，‌通过提供必要的服务和支持，做到专款专用，确保资金不偏离绩效目标。</w:t>
      </w:r>
    </w:p>
    <w:p w14:paraId="3F8C7709">
      <w:p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（二）项目产出与效益情况：</w:t>
      </w: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202</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4</w:t>
      </w: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年，面对复杂严峻的外部环境和国内多重困难挑战，</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我们</w:t>
      </w: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迎难而上，奋发有为，始终坚持推进高质量发展主题不褪色，政策精准发力，企业主动作为，积极开拓市场，全力激发活力，园区各项经济指标稳中有进。</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湖南省产业园建设领导小组印发《关于2024年“五好”园区创建综合评价的情况通报》，益阳长春经济开发区获评省“五好”园区创建综合评价先进园区，位列全省第22名，在洞庭湖地区排名第二。这也是长春经开区在“五好”园区创建工作中连续第四年获得佳绩。</w:t>
      </w:r>
    </w:p>
    <w:p w14:paraId="6E7FE7C2">
      <w:p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五、存在的问题及原因分析：</w:t>
      </w:r>
    </w:p>
    <w:p w14:paraId="035E1D31">
      <w:pPr>
        <w:ind w:firstLine="602" w:firstLineChars="2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园区发展面临的问题和困难依然比较突出：</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一是园区的运转经费</w:t>
      </w: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主要依赖于政府财政拨款。一旦政府财政紧张，资金来源就会受到影响，导致园区在基础设施建设、公共服务提供、企业扶持等方面的投入受限，进而影响园区的整体发展。</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二</w:t>
      </w: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是园区在预算编制过程中，对各项费用的估算不够准确，缺乏科学的预测和分析。可能会出现对基础设施建设和维护费用估计不足，导致后期工程超支或设施老化无法及时修缮；或者对招商引资和企业服务费用预算不合理，影响园区的吸引力和企业的发展环境。</w:t>
      </w:r>
    </w:p>
    <w:p w14:paraId="5D69E846">
      <w:pPr>
        <w:numPr>
          <w:ilvl w:val="0"/>
          <w:numId w:val="1"/>
        </w:num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有关建议及工作措施：</w:t>
      </w:r>
    </w:p>
    <w:p w14:paraId="24DB13ED">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1、做好资金调整工作，制订年度项目资金预算方案，认真做好每个项目的绩效目标分析，及时向领导汇报资金使用情况以</w:t>
      </w:r>
      <w:bookmarkStart w:id="0" w:name="_GoBack"/>
      <w:bookmarkEnd w:id="0"/>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便及时作出调整，实现项目资金利用效率最大化。</w:t>
      </w:r>
    </w:p>
    <w:p w14:paraId="24E12401">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2、不断提高认识，落实工作责任，确保项目完成质量。</w:t>
      </w:r>
    </w:p>
    <w:p w14:paraId="327E33B7">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3、争取政府政策支持与专项资金</w:t>
      </w: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：积极与政府相关部门沟通协调，争取更多的财政补贴、税收优惠政策以及专项扶持资金。例如，申请国家和地方的产业发展专项资金、科技创新基金等，用于园区的基础设施建设、公共服务平台搭建等方面。</w:t>
      </w:r>
    </w:p>
    <w:p w14:paraId="41C80161">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4、</w:t>
      </w:r>
      <w:r>
        <w:rPr>
          <w:rFonts w:hint="default" w:ascii="宋体" w:hAnsi="宋体" w:eastAsia="宋体" w:cs="宋体"/>
          <w:b/>
          <w:bCs/>
          <w:color w:val="000000" w:themeColor="text1"/>
          <w:kern w:val="0"/>
          <w:sz w:val="30"/>
          <w:szCs w:val="30"/>
          <w:lang w:val="en-US" w:eastAsia="zh-CN" w:bidi="ar-SA"/>
          <w14:textFill>
            <w14:solidFill>
              <w14:schemeClr w14:val="tx1"/>
            </w14:solidFill>
          </w14:textFill>
        </w:rPr>
        <w:t>推动园区企业融资：加强与金融机构的合作，搭建银企对接平台，帮助园区内企业解决融资难题。鼓励企业通过股权融资、债券发行、知识产权质押融资等方式筹集资金，促进企业发展壮大，从而增加园区的税收收入和租金收入。</w:t>
      </w:r>
    </w:p>
    <w:p w14:paraId="166CAE3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right="0"/>
        <w:jc w:val="both"/>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p>
    <w:p w14:paraId="6B8A450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 w:lineRule="atLeast"/>
        <w:ind w:left="0" w:right="0" w:firstLine="420"/>
        <w:jc w:val="both"/>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p>
    <w:p w14:paraId="6BD66C1F">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p>
    <w:p w14:paraId="0BAA77FE">
      <w:pPr>
        <w:numPr>
          <w:ilvl w:val="0"/>
          <w:numId w:val="0"/>
        </w:numPr>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p>
    <w:p w14:paraId="61282097">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p>
    <w:p w14:paraId="157FEC8C">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Courier New">
    <w:panose1 w:val="020703090202050204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031D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4C8C3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34C8C3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C2207E"/>
    <w:multiLevelType w:val="singleLevel"/>
    <w:tmpl w:val="4BC2207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07D7C"/>
    <w:rsid w:val="00005402"/>
    <w:rsid w:val="005A7830"/>
    <w:rsid w:val="0067722F"/>
    <w:rsid w:val="00CF5500"/>
    <w:rsid w:val="0127533C"/>
    <w:rsid w:val="015E0632"/>
    <w:rsid w:val="01FF1E15"/>
    <w:rsid w:val="020B640B"/>
    <w:rsid w:val="021F6154"/>
    <w:rsid w:val="023D0B8F"/>
    <w:rsid w:val="02693733"/>
    <w:rsid w:val="02C60B85"/>
    <w:rsid w:val="02D36DFE"/>
    <w:rsid w:val="031F3DF1"/>
    <w:rsid w:val="034443F1"/>
    <w:rsid w:val="036571F6"/>
    <w:rsid w:val="03CC5D27"/>
    <w:rsid w:val="03E012B9"/>
    <w:rsid w:val="03E2379C"/>
    <w:rsid w:val="04324803"/>
    <w:rsid w:val="048D195A"/>
    <w:rsid w:val="04AE7B23"/>
    <w:rsid w:val="05137986"/>
    <w:rsid w:val="054A1540"/>
    <w:rsid w:val="05831C1A"/>
    <w:rsid w:val="05A86320"/>
    <w:rsid w:val="05BD7A72"/>
    <w:rsid w:val="05D9472B"/>
    <w:rsid w:val="05E25CD6"/>
    <w:rsid w:val="061045A1"/>
    <w:rsid w:val="061E0B8A"/>
    <w:rsid w:val="0671705A"/>
    <w:rsid w:val="068648B3"/>
    <w:rsid w:val="068B011B"/>
    <w:rsid w:val="06F4321E"/>
    <w:rsid w:val="076646E5"/>
    <w:rsid w:val="0782145E"/>
    <w:rsid w:val="082C4FE6"/>
    <w:rsid w:val="08320A23"/>
    <w:rsid w:val="09540C99"/>
    <w:rsid w:val="09A454D4"/>
    <w:rsid w:val="0A6F565E"/>
    <w:rsid w:val="0AA51080"/>
    <w:rsid w:val="0AC41E4E"/>
    <w:rsid w:val="0B32225B"/>
    <w:rsid w:val="0B63507A"/>
    <w:rsid w:val="0B705B32"/>
    <w:rsid w:val="0BA47589"/>
    <w:rsid w:val="0BCA69D0"/>
    <w:rsid w:val="0C281F69"/>
    <w:rsid w:val="0C4A0131"/>
    <w:rsid w:val="0C5E3BDC"/>
    <w:rsid w:val="0C923886"/>
    <w:rsid w:val="0CA37841"/>
    <w:rsid w:val="0CD90D88"/>
    <w:rsid w:val="0CE75980"/>
    <w:rsid w:val="0CF84031"/>
    <w:rsid w:val="0CFA1B57"/>
    <w:rsid w:val="0D40503E"/>
    <w:rsid w:val="0D5F5E5E"/>
    <w:rsid w:val="0DD00B0A"/>
    <w:rsid w:val="0E0E0013"/>
    <w:rsid w:val="0E26072A"/>
    <w:rsid w:val="0E625C06"/>
    <w:rsid w:val="0ED14B39"/>
    <w:rsid w:val="0F4B4955"/>
    <w:rsid w:val="0F6E4136"/>
    <w:rsid w:val="0FAB7138"/>
    <w:rsid w:val="0FFD54BA"/>
    <w:rsid w:val="10505F32"/>
    <w:rsid w:val="109C4CD3"/>
    <w:rsid w:val="10C83D1A"/>
    <w:rsid w:val="110F5425"/>
    <w:rsid w:val="113373E5"/>
    <w:rsid w:val="11401B02"/>
    <w:rsid w:val="11651569"/>
    <w:rsid w:val="11B5429E"/>
    <w:rsid w:val="11C36E4C"/>
    <w:rsid w:val="122961C5"/>
    <w:rsid w:val="12BB3B36"/>
    <w:rsid w:val="12DD1CFF"/>
    <w:rsid w:val="12EC1F42"/>
    <w:rsid w:val="133E2072"/>
    <w:rsid w:val="13994B64"/>
    <w:rsid w:val="13E71E54"/>
    <w:rsid w:val="142179C9"/>
    <w:rsid w:val="14D40EDF"/>
    <w:rsid w:val="14D94748"/>
    <w:rsid w:val="15DF7B3C"/>
    <w:rsid w:val="16361726"/>
    <w:rsid w:val="16663DB9"/>
    <w:rsid w:val="16D57A17"/>
    <w:rsid w:val="17424826"/>
    <w:rsid w:val="175822B5"/>
    <w:rsid w:val="17B31280"/>
    <w:rsid w:val="18357EE7"/>
    <w:rsid w:val="185D2F9A"/>
    <w:rsid w:val="18EF1EAC"/>
    <w:rsid w:val="192B4E46"/>
    <w:rsid w:val="19BE215E"/>
    <w:rsid w:val="19F142E2"/>
    <w:rsid w:val="1A1F0E4F"/>
    <w:rsid w:val="1A246465"/>
    <w:rsid w:val="1A304E0A"/>
    <w:rsid w:val="1A976C37"/>
    <w:rsid w:val="1B132036"/>
    <w:rsid w:val="1B6A212A"/>
    <w:rsid w:val="1BCE2A30"/>
    <w:rsid w:val="1C0F6CA1"/>
    <w:rsid w:val="1C4C1CA3"/>
    <w:rsid w:val="1C525907"/>
    <w:rsid w:val="1C570CD7"/>
    <w:rsid w:val="1C597F1C"/>
    <w:rsid w:val="1C8F393E"/>
    <w:rsid w:val="1CF06AD2"/>
    <w:rsid w:val="1D0165EA"/>
    <w:rsid w:val="1D3369BF"/>
    <w:rsid w:val="1DB00010"/>
    <w:rsid w:val="1DB4365C"/>
    <w:rsid w:val="1DDC0E05"/>
    <w:rsid w:val="1E4876B1"/>
    <w:rsid w:val="1E8C45D9"/>
    <w:rsid w:val="1F672950"/>
    <w:rsid w:val="1F7A08D5"/>
    <w:rsid w:val="1F7A2683"/>
    <w:rsid w:val="1F974FE3"/>
    <w:rsid w:val="1FA37E2C"/>
    <w:rsid w:val="1FCF29CF"/>
    <w:rsid w:val="201743BA"/>
    <w:rsid w:val="204333BD"/>
    <w:rsid w:val="206375BB"/>
    <w:rsid w:val="20D07F44"/>
    <w:rsid w:val="211B39F2"/>
    <w:rsid w:val="215D04AF"/>
    <w:rsid w:val="21A1039B"/>
    <w:rsid w:val="221F7512"/>
    <w:rsid w:val="231D1CA3"/>
    <w:rsid w:val="23737B15"/>
    <w:rsid w:val="23957B07"/>
    <w:rsid w:val="23B343B6"/>
    <w:rsid w:val="23ED3D6C"/>
    <w:rsid w:val="242D5F16"/>
    <w:rsid w:val="24410DB7"/>
    <w:rsid w:val="24973CD7"/>
    <w:rsid w:val="24B30B11"/>
    <w:rsid w:val="250749B9"/>
    <w:rsid w:val="25513E86"/>
    <w:rsid w:val="2584600A"/>
    <w:rsid w:val="25B368EF"/>
    <w:rsid w:val="25F25669"/>
    <w:rsid w:val="25F807A6"/>
    <w:rsid w:val="263E265D"/>
    <w:rsid w:val="264E4600"/>
    <w:rsid w:val="2662412D"/>
    <w:rsid w:val="267442D0"/>
    <w:rsid w:val="27CB43C4"/>
    <w:rsid w:val="27EE00B2"/>
    <w:rsid w:val="27F60D15"/>
    <w:rsid w:val="28307B03"/>
    <w:rsid w:val="28C72DDD"/>
    <w:rsid w:val="29177195"/>
    <w:rsid w:val="2959155B"/>
    <w:rsid w:val="29E65A85"/>
    <w:rsid w:val="2A005E7B"/>
    <w:rsid w:val="2A697EC4"/>
    <w:rsid w:val="2A914C85"/>
    <w:rsid w:val="2A992557"/>
    <w:rsid w:val="2ACD3FAF"/>
    <w:rsid w:val="2B381D70"/>
    <w:rsid w:val="2B920D55"/>
    <w:rsid w:val="2B964CE9"/>
    <w:rsid w:val="2BA03472"/>
    <w:rsid w:val="2BB331A5"/>
    <w:rsid w:val="2C672430"/>
    <w:rsid w:val="2C6B4037"/>
    <w:rsid w:val="2C8763E0"/>
    <w:rsid w:val="2C92725E"/>
    <w:rsid w:val="2CA47E1C"/>
    <w:rsid w:val="2CD51841"/>
    <w:rsid w:val="2CFF1D81"/>
    <w:rsid w:val="2D0637A8"/>
    <w:rsid w:val="2D0D0FDB"/>
    <w:rsid w:val="2D2A56E9"/>
    <w:rsid w:val="2D8A6187"/>
    <w:rsid w:val="2DAC0C8D"/>
    <w:rsid w:val="2E530C6F"/>
    <w:rsid w:val="2E750BE6"/>
    <w:rsid w:val="2EB947D7"/>
    <w:rsid w:val="2F041F69"/>
    <w:rsid w:val="2F860BD0"/>
    <w:rsid w:val="300216CB"/>
    <w:rsid w:val="300A1801"/>
    <w:rsid w:val="300F506A"/>
    <w:rsid w:val="307A24E3"/>
    <w:rsid w:val="3086532C"/>
    <w:rsid w:val="308D7B33"/>
    <w:rsid w:val="30E3277E"/>
    <w:rsid w:val="31172428"/>
    <w:rsid w:val="311E37B6"/>
    <w:rsid w:val="31350B00"/>
    <w:rsid w:val="316F4012"/>
    <w:rsid w:val="31F462C5"/>
    <w:rsid w:val="3216623C"/>
    <w:rsid w:val="32891103"/>
    <w:rsid w:val="32D86EBB"/>
    <w:rsid w:val="32E20814"/>
    <w:rsid w:val="32ED6C2C"/>
    <w:rsid w:val="341C1B03"/>
    <w:rsid w:val="34306344"/>
    <w:rsid w:val="34605E94"/>
    <w:rsid w:val="346C4839"/>
    <w:rsid w:val="34943D90"/>
    <w:rsid w:val="35284C04"/>
    <w:rsid w:val="354632DC"/>
    <w:rsid w:val="35B64D10"/>
    <w:rsid w:val="36A91D74"/>
    <w:rsid w:val="36E903C3"/>
    <w:rsid w:val="36F31241"/>
    <w:rsid w:val="36F32FEF"/>
    <w:rsid w:val="3701395E"/>
    <w:rsid w:val="37A4253C"/>
    <w:rsid w:val="38B82D3E"/>
    <w:rsid w:val="38CE5AC2"/>
    <w:rsid w:val="390D345A"/>
    <w:rsid w:val="394E275F"/>
    <w:rsid w:val="39C62C3D"/>
    <w:rsid w:val="39C944DB"/>
    <w:rsid w:val="3A257964"/>
    <w:rsid w:val="3A5308B9"/>
    <w:rsid w:val="3A63223A"/>
    <w:rsid w:val="3A7A1325"/>
    <w:rsid w:val="3AF64E5C"/>
    <w:rsid w:val="3B07350D"/>
    <w:rsid w:val="3B0C4D2E"/>
    <w:rsid w:val="3BB23479"/>
    <w:rsid w:val="3CEA09F1"/>
    <w:rsid w:val="3CF655E7"/>
    <w:rsid w:val="3CF8135F"/>
    <w:rsid w:val="3CF96E86"/>
    <w:rsid w:val="3D1A0A38"/>
    <w:rsid w:val="3DE10046"/>
    <w:rsid w:val="3DE1275F"/>
    <w:rsid w:val="3DE418E4"/>
    <w:rsid w:val="3E1F291C"/>
    <w:rsid w:val="3E483C21"/>
    <w:rsid w:val="3F2301EA"/>
    <w:rsid w:val="3F3441A5"/>
    <w:rsid w:val="3F3C12AC"/>
    <w:rsid w:val="3F424B14"/>
    <w:rsid w:val="3FF15FEB"/>
    <w:rsid w:val="4013200C"/>
    <w:rsid w:val="40A1586A"/>
    <w:rsid w:val="40C33A32"/>
    <w:rsid w:val="414C67FE"/>
    <w:rsid w:val="4168282C"/>
    <w:rsid w:val="420C765B"/>
    <w:rsid w:val="425F778B"/>
    <w:rsid w:val="428A4FB2"/>
    <w:rsid w:val="42DA1507"/>
    <w:rsid w:val="430F11B1"/>
    <w:rsid w:val="431C567C"/>
    <w:rsid w:val="43263D34"/>
    <w:rsid w:val="43324E9F"/>
    <w:rsid w:val="43BB6B5C"/>
    <w:rsid w:val="43F56AA3"/>
    <w:rsid w:val="44292A1B"/>
    <w:rsid w:val="442C5D93"/>
    <w:rsid w:val="44531571"/>
    <w:rsid w:val="445C09D8"/>
    <w:rsid w:val="44E64193"/>
    <w:rsid w:val="44FC5765"/>
    <w:rsid w:val="455B692F"/>
    <w:rsid w:val="457176F9"/>
    <w:rsid w:val="45967968"/>
    <w:rsid w:val="45A258DE"/>
    <w:rsid w:val="462F56C6"/>
    <w:rsid w:val="46565349"/>
    <w:rsid w:val="46911B6D"/>
    <w:rsid w:val="469320F9"/>
    <w:rsid w:val="46BD2CD2"/>
    <w:rsid w:val="46EE5581"/>
    <w:rsid w:val="47060B1D"/>
    <w:rsid w:val="47282841"/>
    <w:rsid w:val="47392CA0"/>
    <w:rsid w:val="47A3011A"/>
    <w:rsid w:val="47AB5220"/>
    <w:rsid w:val="47CA1B4A"/>
    <w:rsid w:val="47D14C87"/>
    <w:rsid w:val="47D65BD7"/>
    <w:rsid w:val="489B7043"/>
    <w:rsid w:val="4921579A"/>
    <w:rsid w:val="49601FEE"/>
    <w:rsid w:val="4961347E"/>
    <w:rsid w:val="49A60395"/>
    <w:rsid w:val="4A117BFE"/>
    <w:rsid w:val="4A2A2D74"/>
    <w:rsid w:val="4AE178D7"/>
    <w:rsid w:val="4AFA62A3"/>
    <w:rsid w:val="4AFB201B"/>
    <w:rsid w:val="4B0C025C"/>
    <w:rsid w:val="4B893ACB"/>
    <w:rsid w:val="4B9C37FE"/>
    <w:rsid w:val="4C465518"/>
    <w:rsid w:val="4C9D5A7F"/>
    <w:rsid w:val="4CD314A1"/>
    <w:rsid w:val="4CFE5DF2"/>
    <w:rsid w:val="4D0B0C3B"/>
    <w:rsid w:val="4D5A3970"/>
    <w:rsid w:val="4D730618"/>
    <w:rsid w:val="4DF1285B"/>
    <w:rsid w:val="4E3B72FE"/>
    <w:rsid w:val="4E896D6E"/>
    <w:rsid w:val="4EDA2D48"/>
    <w:rsid w:val="4F9D5D96"/>
    <w:rsid w:val="4F9D77BD"/>
    <w:rsid w:val="4FC663D8"/>
    <w:rsid w:val="4FD42BF3"/>
    <w:rsid w:val="4FFB5FEA"/>
    <w:rsid w:val="50081462"/>
    <w:rsid w:val="50812FC2"/>
    <w:rsid w:val="50C35389"/>
    <w:rsid w:val="50CC248F"/>
    <w:rsid w:val="50DD2090"/>
    <w:rsid w:val="51312C3A"/>
    <w:rsid w:val="513B7615"/>
    <w:rsid w:val="513D15DF"/>
    <w:rsid w:val="5187285A"/>
    <w:rsid w:val="51EE28D9"/>
    <w:rsid w:val="52262073"/>
    <w:rsid w:val="523E560F"/>
    <w:rsid w:val="52A31916"/>
    <w:rsid w:val="52BE22AC"/>
    <w:rsid w:val="52FE6B4C"/>
    <w:rsid w:val="53FC752F"/>
    <w:rsid w:val="5454111A"/>
    <w:rsid w:val="549F7427"/>
    <w:rsid w:val="54BC6CBF"/>
    <w:rsid w:val="55230AEC"/>
    <w:rsid w:val="56290384"/>
    <w:rsid w:val="56356D29"/>
    <w:rsid w:val="56424FA2"/>
    <w:rsid w:val="56764C4B"/>
    <w:rsid w:val="56A33C92"/>
    <w:rsid w:val="56A63783"/>
    <w:rsid w:val="56CB143B"/>
    <w:rsid w:val="572F2FC0"/>
    <w:rsid w:val="578A4E52"/>
    <w:rsid w:val="578E4942"/>
    <w:rsid w:val="579B2BBB"/>
    <w:rsid w:val="57C93BCD"/>
    <w:rsid w:val="57D940C8"/>
    <w:rsid w:val="58555460"/>
    <w:rsid w:val="585A65D3"/>
    <w:rsid w:val="585B234B"/>
    <w:rsid w:val="58A07D7C"/>
    <w:rsid w:val="58F509F1"/>
    <w:rsid w:val="58FC3B2E"/>
    <w:rsid w:val="5919648E"/>
    <w:rsid w:val="597E09E7"/>
    <w:rsid w:val="598D4786"/>
    <w:rsid w:val="59A10231"/>
    <w:rsid w:val="5A2A6479"/>
    <w:rsid w:val="5A623E64"/>
    <w:rsid w:val="5A7D2A4C"/>
    <w:rsid w:val="5A8738CB"/>
    <w:rsid w:val="5AB75F5E"/>
    <w:rsid w:val="5AB81CD6"/>
    <w:rsid w:val="5B82245A"/>
    <w:rsid w:val="5C0E3A02"/>
    <w:rsid w:val="5C2018E1"/>
    <w:rsid w:val="5C2D3FFE"/>
    <w:rsid w:val="5C761E49"/>
    <w:rsid w:val="5CDB3A5A"/>
    <w:rsid w:val="5CF3349A"/>
    <w:rsid w:val="5D101956"/>
    <w:rsid w:val="5D170F36"/>
    <w:rsid w:val="5D2D69AC"/>
    <w:rsid w:val="5D6323CD"/>
    <w:rsid w:val="5D9A3915"/>
    <w:rsid w:val="5DE057CC"/>
    <w:rsid w:val="5E00111F"/>
    <w:rsid w:val="5E0E5A3B"/>
    <w:rsid w:val="5E36363E"/>
    <w:rsid w:val="5EB01642"/>
    <w:rsid w:val="5F4F0E5B"/>
    <w:rsid w:val="5FA647F3"/>
    <w:rsid w:val="5FC52ECB"/>
    <w:rsid w:val="607448F1"/>
    <w:rsid w:val="60885CA7"/>
    <w:rsid w:val="60D333C6"/>
    <w:rsid w:val="60E43117"/>
    <w:rsid w:val="610B7004"/>
    <w:rsid w:val="610C6769"/>
    <w:rsid w:val="61271964"/>
    <w:rsid w:val="612A032F"/>
    <w:rsid w:val="6189617B"/>
    <w:rsid w:val="6211064A"/>
    <w:rsid w:val="6283706E"/>
    <w:rsid w:val="62A0377C"/>
    <w:rsid w:val="62BD60DC"/>
    <w:rsid w:val="62C05BCC"/>
    <w:rsid w:val="62E53885"/>
    <w:rsid w:val="62EB1054"/>
    <w:rsid w:val="62FA46DB"/>
    <w:rsid w:val="630A5BB9"/>
    <w:rsid w:val="632717A7"/>
    <w:rsid w:val="63360EFD"/>
    <w:rsid w:val="6342098A"/>
    <w:rsid w:val="639C5F67"/>
    <w:rsid w:val="63AD0D9E"/>
    <w:rsid w:val="63B63F59"/>
    <w:rsid w:val="63CB4828"/>
    <w:rsid w:val="64591E34"/>
    <w:rsid w:val="64AD2180"/>
    <w:rsid w:val="652E506F"/>
    <w:rsid w:val="658B79BE"/>
    <w:rsid w:val="65A610A9"/>
    <w:rsid w:val="65C74F56"/>
    <w:rsid w:val="65D10D97"/>
    <w:rsid w:val="65D73958"/>
    <w:rsid w:val="660C7AC8"/>
    <w:rsid w:val="66216982"/>
    <w:rsid w:val="66AD290B"/>
    <w:rsid w:val="66CF63DE"/>
    <w:rsid w:val="67627252"/>
    <w:rsid w:val="679A2E90"/>
    <w:rsid w:val="67A1311C"/>
    <w:rsid w:val="682B3AE8"/>
    <w:rsid w:val="686D5EAE"/>
    <w:rsid w:val="686F60CA"/>
    <w:rsid w:val="68A65864"/>
    <w:rsid w:val="68C33D20"/>
    <w:rsid w:val="68F61C13"/>
    <w:rsid w:val="69787200"/>
    <w:rsid w:val="69C87EB5"/>
    <w:rsid w:val="6A696B49"/>
    <w:rsid w:val="6A793230"/>
    <w:rsid w:val="6A8E1FBD"/>
    <w:rsid w:val="6A9C6F1F"/>
    <w:rsid w:val="6AA67D9D"/>
    <w:rsid w:val="6AB9187F"/>
    <w:rsid w:val="6B347157"/>
    <w:rsid w:val="6B453112"/>
    <w:rsid w:val="6B851761"/>
    <w:rsid w:val="6BDD77EF"/>
    <w:rsid w:val="6C326A9A"/>
    <w:rsid w:val="6C47110C"/>
    <w:rsid w:val="6C5555D7"/>
    <w:rsid w:val="6C7F30D3"/>
    <w:rsid w:val="6DAA3701"/>
    <w:rsid w:val="6DB97DE8"/>
    <w:rsid w:val="6DDD5884"/>
    <w:rsid w:val="6E2B2A93"/>
    <w:rsid w:val="6E380D0C"/>
    <w:rsid w:val="6E494CC8"/>
    <w:rsid w:val="6E6C623F"/>
    <w:rsid w:val="6EB034E3"/>
    <w:rsid w:val="6FA523D2"/>
    <w:rsid w:val="6FB62831"/>
    <w:rsid w:val="6FF1003D"/>
    <w:rsid w:val="700A0A64"/>
    <w:rsid w:val="70294DB1"/>
    <w:rsid w:val="704C0A9F"/>
    <w:rsid w:val="70531E2E"/>
    <w:rsid w:val="707B5B4C"/>
    <w:rsid w:val="70891CF3"/>
    <w:rsid w:val="708E2E66"/>
    <w:rsid w:val="71257C6E"/>
    <w:rsid w:val="71461992"/>
    <w:rsid w:val="716215E6"/>
    <w:rsid w:val="716A5681"/>
    <w:rsid w:val="717C2696"/>
    <w:rsid w:val="719426FE"/>
    <w:rsid w:val="72031631"/>
    <w:rsid w:val="720C498A"/>
    <w:rsid w:val="727B1B10"/>
    <w:rsid w:val="72DD1E82"/>
    <w:rsid w:val="73212C43"/>
    <w:rsid w:val="739F35DC"/>
    <w:rsid w:val="73E32D82"/>
    <w:rsid w:val="73E536E4"/>
    <w:rsid w:val="73F331BB"/>
    <w:rsid w:val="74BB2697"/>
    <w:rsid w:val="74E41BEE"/>
    <w:rsid w:val="74E7523A"/>
    <w:rsid w:val="75091655"/>
    <w:rsid w:val="75483F2B"/>
    <w:rsid w:val="75941E05"/>
    <w:rsid w:val="75FC6AC3"/>
    <w:rsid w:val="7634625D"/>
    <w:rsid w:val="76350175"/>
    <w:rsid w:val="766905FD"/>
    <w:rsid w:val="769211D6"/>
    <w:rsid w:val="77456248"/>
    <w:rsid w:val="774E15A1"/>
    <w:rsid w:val="77DD1CAC"/>
    <w:rsid w:val="783E7867"/>
    <w:rsid w:val="784F737E"/>
    <w:rsid w:val="78B97A28"/>
    <w:rsid w:val="78C87131"/>
    <w:rsid w:val="78E26444"/>
    <w:rsid w:val="79160434"/>
    <w:rsid w:val="79CB512B"/>
    <w:rsid w:val="7A266805"/>
    <w:rsid w:val="7A3C3932"/>
    <w:rsid w:val="7A4D5B40"/>
    <w:rsid w:val="7A5F5873"/>
    <w:rsid w:val="7AFD57B8"/>
    <w:rsid w:val="7BA56056"/>
    <w:rsid w:val="7CE87DA1"/>
    <w:rsid w:val="7CEA58C8"/>
    <w:rsid w:val="7D15192A"/>
    <w:rsid w:val="7D5316BF"/>
    <w:rsid w:val="7D690EE2"/>
    <w:rsid w:val="7D6C452F"/>
    <w:rsid w:val="7DAA17CC"/>
    <w:rsid w:val="7E484F9C"/>
    <w:rsid w:val="7E7E3DFC"/>
    <w:rsid w:val="7E8F4979"/>
    <w:rsid w:val="7EB70070"/>
    <w:rsid w:val="7F127358"/>
    <w:rsid w:val="7F9E0ADD"/>
    <w:rsid w:val="7FDB1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Title"/>
    <w:basedOn w:val="1"/>
    <w:next w:val="1"/>
    <w:qFormat/>
    <w:uiPriority w:val="99"/>
    <w:pPr>
      <w:spacing w:before="240" w:after="60"/>
      <w:jc w:val="center"/>
      <w:outlineLvl w:val="0"/>
    </w:pPr>
    <w:rPr>
      <w:rFonts w:ascii="Cambria" w:hAnsi="Cambria" w:eastAsia="宋体" w:cs="Cambria"/>
      <w:b/>
      <w:bCs/>
      <w:sz w:val="32"/>
      <w:szCs w:val="32"/>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2142</Words>
  <Characters>2187</Characters>
  <Lines>0</Lines>
  <Paragraphs>0</Paragraphs>
  <TotalTime>5</TotalTime>
  <ScaleCrop>false</ScaleCrop>
  <LinksUpToDate>false</LinksUpToDate>
  <CharactersWithSpaces>2202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2025-04-15T01:43:00Z</dcterms:created>
  <dc:creator>小小</dc:creator>
  <cp:lastModifiedBy>小小</cp:lastModifiedBy>
  <dcterms:modified xsi:type="dcterms:W3CDTF">2025-04-25T07:22:30Z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4730FAA52D10413987F54E5C9AEC4528_11</vt:lpwstr>
  </property>
  <property fmtid="{D5CDD505-2E9C-101B-9397-08002B2CF9AE}" pid="4" name="KSOTemplateDocerSaveRecord">
    <vt:lpwstr>eyJoZGlkIjoiMTg1ZTc0M2E4OThkOWIxZGViODQwOGViZWU3ODg0ZmMiLCJ1c2VySWQiOiI1MTg5MjY5NDIifQ==</vt:lpwstr>
  </property>
</Properties>
</file>