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beforeLines="50" w:line="450" w:lineRule="atLeast"/>
        <w:jc w:val="center"/>
        <w:outlineLvl w:val="1"/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2024</w:t>
      </w:r>
      <w:r>
        <w:rPr>
          <w:rFonts w:hint="eastAsia" w:ascii="Times New Roman" w:hAnsi="Times New Roman" w:eastAsia="方正小标宋_GBK" w:cs="Times New Roman"/>
          <w:sz w:val="36"/>
          <w:szCs w:val="36"/>
        </w:rPr>
        <w:t>年度</w:t>
      </w:r>
      <w:r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  <w:t>资阳区新桥河镇人民政府</w:t>
      </w:r>
    </w:p>
    <w:p>
      <w:pPr>
        <w:spacing w:line="560" w:lineRule="exact"/>
        <w:jc w:val="center"/>
        <w:rPr>
          <w:rFonts w:hint="eastAsia" w:ascii="Times New Roman" w:hAnsi="Times New Roman" w:eastAsia="方正小标宋_GBK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</w:rPr>
        <w:t>整体支出绩效自评报告</w:t>
      </w:r>
    </w:p>
    <w:p>
      <w:pPr>
        <w:spacing w:line="560" w:lineRule="exact"/>
        <w:jc w:val="both"/>
        <w:rPr>
          <w:rFonts w:hint="eastAsia" w:ascii="Times New Roman" w:hAnsi="Times New Roman" w:eastAsia="方正小标宋_GBK" w:cs="Times New Roman"/>
          <w:sz w:val="36"/>
          <w:szCs w:val="36"/>
        </w:rPr>
      </w:pPr>
    </w:p>
    <w:p>
      <w:pPr>
        <w:pStyle w:val="8"/>
        <w:ind w:firstLine="640" w:firstLineChars="200"/>
        <w:rPr>
          <w:rFonts w:hint="eastAsia" w:ascii="Times New Roman" w:hAnsi="Times New Roman" w:eastAsia="方正小标宋_GBK" w:cs="Times New Roman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根据益阳市资阳区财政局关于开展</w:t>
      </w:r>
      <w:r>
        <w:rPr>
          <w:rFonts w:hint="eastAsia" w:hAnsi="仿宋_GB2312" w:cs="仿宋_GB2312"/>
          <w:kern w:val="2"/>
          <w:sz w:val="32"/>
          <w:szCs w:val="32"/>
          <w:lang w:val="en-US" w:eastAsia="zh-CN" w:bidi="ar-SA"/>
        </w:rPr>
        <w:t>2024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年度预算绩效自评工作的要求，我单位及时布置自评</w:t>
      </w:r>
      <w:r>
        <w:rPr>
          <w:rFonts w:hint="eastAsia" w:hAnsi="仿宋_GB2312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明确分工，落实责任，认真开展自评自查工作，经查阅、核实有关账务及项目等执行情况，形成本评价报告。现将</w:t>
      </w:r>
      <w:r>
        <w:rPr>
          <w:rFonts w:hint="eastAsia" w:hAnsi="仿宋_GB2312" w:cs="仿宋_GB2312"/>
          <w:kern w:val="2"/>
          <w:sz w:val="32"/>
          <w:szCs w:val="32"/>
          <w:lang w:val="en-US" w:eastAsia="zh-CN" w:bidi="ar-SA"/>
        </w:rPr>
        <w:t>2024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年度益阳市资阳区</w:t>
      </w:r>
      <w:r>
        <w:rPr>
          <w:rFonts w:hint="eastAsia" w:hAnsi="仿宋_GB2312" w:cs="仿宋_GB2312"/>
          <w:kern w:val="2"/>
          <w:sz w:val="32"/>
          <w:szCs w:val="32"/>
          <w:lang w:val="en-US" w:eastAsia="zh-CN" w:bidi="ar-SA"/>
        </w:rPr>
        <w:t>新桥河镇人民政府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整体支出绩效自评报告如下：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一、部门基本情况</w:t>
      </w:r>
    </w:p>
    <w:p>
      <w:pPr>
        <w:pStyle w:val="6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职能职责</w:t>
      </w:r>
    </w:p>
    <w:p>
      <w:pPr>
        <w:spacing w:beforeLines="50" w:afterLines="50"/>
        <w:ind w:firstLine="64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（1）执行本级人民代表大会的决议和上级国家行政机关的决定和命令，发布决定和命令；  </w:t>
      </w:r>
    </w:p>
    <w:p>
      <w:pPr>
        <w:spacing w:beforeLines="50" w:afterLines="50"/>
        <w:ind w:firstLine="64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（2）执行本行政区域内的经济和社会发展计划、预算，管理本行政区域内的经济、教育、科学、文化、卫生、体育事业和财政、民政、公安、司法行政、计划生育等行政工作；</w:t>
      </w:r>
    </w:p>
    <w:p>
      <w:pPr>
        <w:spacing w:beforeLines="50" w:afterLines="50"/>
        <w:ind w:firstLine="64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（3）保护社会主义的全民所有的财产和劳动群众集体所有的财产，保护公民私人所有的合法财产，维护社会秩序，保障公民的人身权利、民主权利和其他权利； </w:t>
      </w:r>
    </w:p>
    <w:p>
      <w:pPr>
        <w:spacing w:beforeLines="50" w:afterLines="50"/>
        <w:ind w:firstLine="64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（4）保护各种经济组织的合法权益； </w:t>
      </w:r>
    </w:p>
    <w:p>
      <w:pPr>
        <w:spacing w:beforeLines="50" w:afterLines="50"/>
        <w:ind w:firstLine="64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（5）保障少数民族的权利和尊重少数民族的风俗习惯； </w:t>
      </w:r>
    </w:p>
    <w:p>
      <w:pPr>
        <w:spacing w:beforeLines="50" w:afterLines="50"/>
        <w:ind w:firstLine="64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（6）保障宪法和法律赋予妇女的男女平等、同工同酬和婚姻自由等各项权利；</w:t>
      </w:r>
    </w:p>
    <w:p>
      <w:pPr>
        <w:spacing w:beforeLines="50" w:afterLines="50"/>
        <w:ind w:firstLine="640"/>
        <w:jc w:val="lef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（7）办理上级人民政府交办的其他事项。</w:t>
      </w:r>
    </w:p>
    <w:p>
      <w:pPr>
        <w:pStyle w:val="6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机构设置</w:t>
      </w:r>
    </w:p>
    <w:p>
      <w:pPr>
        <w:spacing w:beforeLines="50" w:afterLines="50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新桥河镇人民政府设</w:t>
      </w:r>
      <w:r>
        <w:rPr>
          <w:rFonts w:hint="eastAsia" w:ascii="宋体" w:hAnsi="宋体" w:cs="宋体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sz w:val="32"/>
          <w:szCs w:val="32"/>
        </w:rPr>
        <w:t>个办公室和</w:t>
      </w:r>
      <w:r>
        <w:rPr>
          <w:rFonts w:hint="eastAsia" w:ascii="宋体" w:hAnsi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sz w:val="32"/>
          <w:szCs w:val="32"/>
        </w:rPr>
        <w:t>个站所，分别为：党政办公室、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党建办公室、</w:t>
      </w:r>
      <w:r>
        <w:rPr>
          <w:rFonts w:hint="eastAsia" w:ascii="宋体" w:hAnsi="宋体" w:cs="宋体"/>
          <w:sz w:val="32"/>
          <w:szCs w:val="32"/>
        </w:rPr>
        <w:t>经济发展办公室、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生态</w:t>
      </w:r>
      <w:r>
        <w:rPr>
          <w:rFonts w:hint="eastAsia" w:ascii="宋体" w:hAnsi="宋体" w:cs="宋体"/>
          <w:sz w:val="32"/>
          <w:szCs w:val="32"/>
        </w:rPr>
        <w:t>办公室、财政办公室、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综合行政执法大队、纪委、退役军人服务站、平安法治和应急管理</w:t>
      </w:r>
      <w:r>
        <w:rPr>
          <w:rFonts w:hint="eastAsia" w:ascii="宋体" w:hAnsi="宋体" w:cs="宋体"/>
          <w:sz w:val="32"/>
          <w:szCs w:val="32"/>
        </w:rPr>
        <w:t>办公室、社会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事务</w:t>
      </w:r>
      <w:r>
        <w:rPr>
          <w:rFonts w:hint="eastAsia" w:ascii="宋体" w:hAnsi="宋体" w:cs="宋体"/>
          <w:sz w:val="32"/>
          <w:szCs w:val="32"/>
        </w:rPr>
        <w:t>综合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服务中心</w:t>
      </w:r>
      <w:r>
        <w:rPr>
          <w:rFonts w:hint="eastAsia" w:ascii="宋体" w:hAnsi="宋体" w:cs="宋体"/>
          <w:sz w:val="32"/>
          <w:szCs w:val="32"/>
        </w:rPr>
        <w:t>、</w:t>
      </w:r>
      <w:r>
        <w:rPr>
          <w:rFonts w:hint="eastAsia" w:ascii="宋体" w:hAnsi="宋体" w:cs="宋体"/>
          <w:sz w:val="32"/>
          <w:szCs w:val="32"/>
          <w:lang w:val="en-US" w:eastAsia="zh-CN"/>
        </w:rPr>
        <w:t>自然资源和村镇建设事务中心</w:t>
      </w:r>
      <w:r>
        <w:rPr>
          <w:rFonts w:hint="eastAsia" w:ascii="宋体" w:hAnsi="宋体" w:cs="宋体"/>
          <w:sz w:val="32"/>
          <w:szCs w:val="32"/>
        </w:rPr>
        <w:t>、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农业综合服务中心</w:t>
      </w:r>
      <w:r>
        <w:rPr>
          <w:rFonts w:hint="eastAsia" w:ascii="宋体" w:hAnsi="宋体" w:cs="宋体"/>
          <w:sz w:val="32"/>
          <w:szCs w:val="32"/>
        </w:rPr>
        <w:t>。</w:t>
      </w:r>
    </w:p>
    <w:p>
      <w:pPr>
        <w:pStyle w:val="12"/>
      </w:pPr>
    </w:p>
    <w:p>
      <w:pPr>
        <w:pStyle w:val="14"/>
        <w:numPr>
          <w:numId w:val="0"/>
        </w:numPr>
        <w:rPr>
          <w:rFonts w:hint="eastAsia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二、一般公共预算支出情况</w:t>
      </w:r>
    </w:p>
    <w:p>
      <w:pPr>
        <w:widowControl w:val="0"/>
        <w:numPr>
          <w:numId w:val="0"/>
        </w:numPr>
        <w:wordWrap/>
        <w:autoSpaceDE w:val="0"/>
        <w:autoSpaceDN w:val="0"/>
        <w:adjustRightInd/>
        <w:snapToGrid/>
        <w:spacing w:after="0" w:line="600" w:lineRule="exact"/>
        <w:ind w:firstLine="321" w:firstLineChars="100"/>
        <w:jc w:val="both"/>
        <w:textAlignment w:val="auto"/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（一）基本支出情况</w:t>
      </w:r>
    </w:p>
    <w:p>
      <w:pPr>
        <w:widowControl/>
        <w:ind w:firstLine="640" w:firstLineChars="200"/>
        <w:jc w:val="left"/>
        <w:rPr>
          <w:rFonts w:hint="eastAsia"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cs="仿宋"/>
          <w:sz w:val="32"/>
          <w:szCs w:val="32"/>
          <w:lang w:val="en-US" w:eastAsia="zh-CN"/>
        </w:rPr>
        <w:t>2024年度</w:t>
      </w:r>
      <w:r>
        <w:rPr>
          <w:rFonts w:hint="eastAsia" w:ascii="仿宋_GB2312" w:hAnsi="仿宋" w:eastAsia="仿宋_GB2312" w:cs="仿宋"/>
          <w:sz w:val="32"/>
          <w:szCs w:val="32"/>
        </w:rPr>
        <w:t>基本支出</w:t>
      </w:r>
      <w:r>
        <w:rPr>
          <w:rFonts w:hint="eastAsia" w:ascii="仿宋_GB2312" w:hAnsi="仿宋" w:cs="仿宋"/>
          <w:color w:val="auto"/>
          <w:sz w:val="32"/>
          <w:szCs w:val="32"/>
          <w:lang w:val="en-US" w:eastAsia="zh-CN"/>
        </w:rPr>
        <w:t>3147.05</w:t>
      </w:r>
      <w:r>
        <w:rPr>
          <w:rFonts w:hint="eastAsia" w:ascii="仿宋_GB2312" w:hAnsi="仿宋" w:eastAsia="仿宋_GB2312" w:cs="仿宋"/>
          <w:sz w:val="32"/>
          <w:szCs w:val="32"/>
        </w:rPr>
        <w:t>万元，其中人员经费支出</w:t>
      </w:r>
      <w:r>
        <w:rPr>
          <w:rFonts w:hint="eastAsia" w:ascii="仿宋_GB2312" w:hAnsi="仿宋" w:cs="仿宋"/>
          <w:sz w:val="32"/>
          <w:szCs w:val="32"/>
          <w:lang w:val="en-US" w:eastAsia="zh-CN"/>
        </w:rPr>
        <w:t>2489.62</w:t>
      </w:r>
      <w:r>
        <w:rPr>
          <w:rFonts w:hint="eastAsia" w:ascii="仿宋_GB2312" w:hAnsi="仿宋" w:eastAsia="仿宋_GB2312" w:cs="仿宋"/>
          <w:sz w:val="32"/>
          <w:szCs w:val="32"/>
        </w:rPr>
        <w:t>万元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 w:cs="仿宋"/>
          <w:sz w:val="32"/>
          <w:szCs w:val="32"/>
        </w:rPr>
        <w:t>主要用于人员基本工资、津贴补贴、绩效工资、奖金、机关事业单位养老保险金缴费、职业年金缴费、</w:t>
      </w:r>
      <w:r>
        <w:rPr>
          <w:rFonts w:hint="eastAsia" w:ascii="仿宋_GB2312" w:hAnsi="宋体" w:eastAsia="仿宋_GB2312" w:cs="宋体"/>
          <w:sz w:val="32"/>
          <w:szCs w:val="32"/>
        </w:rPr>
        <w:t>医疗保险缴费、其他</w:t>
      </w:r>
      <w:r>
        <w:rPr>
          <w:rFonts w:hint="eastAsia" w:ascii="仿宋_GB2312" w:hAnsi="仿宋" w:eastAsia="仿宋_GB2312" w:cs="仿宋"/>
          <w:sz w:val="32"/>
          <w:szCs w:val="32"/>
        </w:rPr>
        <w:t>社会</w:t>
      </w:r>
      <w:r>
        <w:rPr>
          <w:rFonts w:hint="eastAsia" w:ascii="仿宋_GB2312" w:hAnsi="宋体" w:eastAsia="仿宋_GB2312" w:cs="宋体"/>
          <w:sz w:val="32"/>
          <w:szCs w:val="32"/>
        </w:rPr>
        <w:t>保障缴费、其他工资福利支出、住房公积金等</w:t>
      </w:r>
      <w:r>
        <w:rPr>
          <w:rFonts w:hint="eastAsia" w:ascii="仿宋_GB2312" w:hAnsi="仿宋" w:eastAsia="仿宋_GB2312" w:cs="仿宋"/>
          <w:sz w:val="32"/>
          <w:szCs w:val="32"/>
        </w:rPr>
        <w:t>；日常公用经费支出</w:t>
      </w:r>
      <w:r>
        <w:rPr>
          <w:rFonts w:hint="eastAsia" w:ascii="仿宋_GB2312" w:hAnsi="仿宋" w:cs="仿宋"/>
          <w:sz w:val="32"/>
          <w:szCs w:val="32"/>
          <w:lang w:val="en-US" w:eastAsia="zh-CN"/>
        </w:rPr>
        <w:t>657.43万</w:t>
      </w:r>
      <w:r>
        <w:rPr>
          <w:rFonts w:hint="eastAsia" w:ascii="仿宋_GB2312" w:hAnsi="仿宋" w:eastAsia="仿宋_GB2312" w:cs="仿宋"/>
          <w:sz w:val="32"/>
          <w:szCs w:val="32"/>
        </w:rPr>
        <w:t>元，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主要用于办公费、印</w:t>
      </w:r>
      <w:r>
        <w:rPr>
          <w:rFonts w:ascii="UMingTW" w:hAnsi="UMingTW" w:eastAsia="UMingTW" w:cs="UMingTW"/>
          <w:color w:val="000000"/>
          <w:kern w:val="0"/>
          <w:sz w:val="32"/>
          <w:szCs w:val="32"/>
          <w:lang w:val="en-US" w:eastAsia="zh-CN"/>
        </w:rPr>
        <w:t>刷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费、办公设备购置等日常办公所需要的经费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，以及项目咨询费等</w:t>
      </w:r>
      <w:r>
        <w:rPr>
          <w:rFonts w:hint="eastAsia" w:ascii="仿宋_GB2312" w:hAnsi="仿宋" w:eastAsia="仿宋_GB2312" w:cs="仿宋"/>
          <w:b/>
          <w:sz w:val="32"/>
          <w:szCs w:val="32"/>
        </w:rPr>
        <w:t>。</w:t>
      </w:r>
    </w:p>
    <w:p>
      <w:pPr>
        <w:pStyle w:val="12"/>
        <w:rPr>
          <w:rFonts w:hint="eastAsia" w:ascii="仿宋_GB2312" w:hAnsi="仿宋" w:eastAsia="仿宋_GB2312" w:cs="仿宋"/>
          <w:b/>
          <w:sz w:val="32"/>
          <w:szCs w:val="32"/>
        </w:rPr>
      </w:pPr>
    </w:p>
    <w:p>
      <w:pPr>
        <w:pStyle w:val="12"/>
        <w:rPr>
          <w:rFonts w:hint="eastAsia" w:ascii="仿宋_GB2312" w:hAnsi="仿宋" w:eastAsia="仿宋_GB2312" w:cs="仿宋"/>
          <w:b/>
          <w:sz w:val="32"/>
          <w:szCs w:val="32"/>
        </w:rPr>
      </w:pPr>
    </w:p>
    <w:p>
      <w:pPr>
        <w:widowControl w:val="0"/>
        <w:numPr>
          <w:numId w:val="0"/>
        </w:numPr>
        <w:wordWrap/>
        <w:adjustRightInd/>
        <w:snapToGrid/>
        <w:spacing w:line="640" w:lineRule="exact"/>
        <w:ind w:left="0" w:leftChars="0" w:firstLine="321" w:firstLineChars="100"/>
        <w:textAlignment w:val="auto"/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（二）项目支出情况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cs="仿宋"/>
          <w:sz w:val="32"/>
          <w:szCs w:val="32"/>
          <w:lang w:val="en-US" w:eastAsia="zh-CN"/>
        </w:rPr>
        <w:t>2024年度</w:t>
      </w:r>
      <w:r>
        <w:rPr>
          <w:rFonts w:hint="eastAsia" w:ascii="仿宋_GB2312" w:hAnsi="仿宋" w:eastAsia="仿宋_GB2312" w:cs="仿宋"/>
          <w:sz w:val="32"/>
          <w:szCs w:val="32"/>
        </w:rPr>
        <w:t>项目支出工作经费</w:t>
      </w:r>
      <w:r>
        <w:rPr>
          <w:rFonts w:hint="eastAsia" w:ascii="仿宋_GB2312" w:hAnsi="仿宋" w:cs="仿宋"/>
          <w:sz w:val="32"/>
          <w:szCs w:val="32"/>
          <w:lang w:val="en-US" w:eastAsia="zh-CN"/>
        </w:rPr>
        <w:t>5734.93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万元</w:t>
      </w:r>
      <w:r>
        <w:rPr>
          <w:rFonts w:hint="eastAsia" w:ascii="仿宋_GB2312" w:hAnsi="仿宋" w:cs="仿宋"/>
          <w:sz w:val="32"/>
          <w:szCs w:val="32"/>
          <w:lang w:val="en-US" w:eastAsia="zh-CN"/>
        </w:rPr>
        <w:t>。主要用于农村环境保护、其他城乡社区支出、其他巩固脱贫攻坚成果衔接乡村振兴支出等方面的专项支出。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4"/>
      </w:pPr>
      <w:r>
        <w:rPr>
          <w:rFonts w:hint="eastAsia"/>
          <w:lang w:eastAsia="zh-CN"/>
        </w:rPr>
        <w:t>三</w:t>
      </w:r>
      <w:r>
        <w:t>、部门整体支出绩效情况</w:t>
      </w:r>
    </w:p>
    <w:p>
      <w:pPr>
        <w:numPr>
          <w:numId w:val="0"/>
        </w:numPr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Style w:val="10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根据年初计划的重点工作，本单位通过对财政资金的使用，取得了如下绩效： 一是全面做好本镇建设规划，充分发挥财政调节作用，积极争取各项优惠政策，并积极带动社会资金的投入，引导和支持企业进行产业转型提升和发展生产，以培养财政收入新的增长点。二是加强财政支出管理，促进经济全面发展，严格实行“收支两条线”政策，严肃财经纪律、规范财政支出行为和细化部门预算编制。三是进一步完善各种经费使用办法，压缩行政管理开支和各种非生产性开支，严格控制部分增支因素。四是合理利用财力，保障重点项目及重点费用和社会公益事业的正常开支。五是落实好中央各项惠农政策，促进农业生产、农民增收和各项社会事业的发展，认真落实好中央各项惠农政策，进一步增加对农业的投入和各项涉农补贴资金，不断稳定发展农业生产，促进农民增收。六是继续推行城乡居民新型合作医疗制度和新农保制度，切实解决了广大农民看病难、看病贵的热点问题。七是继续实行国库集中支付制度，严格资金支出范围和审批程序，严格执行公用经费定额标准，使财政总预算真实反映了财政资金的实际支出数,进一步加强了对财政资金来源和去向的管理。八是切实抓好债务管理工作，严格控制新增债务。九是加强完善村级财务管理的“村账镇代管”制度，全力推进“互联网+监督”制度，推动了资金使用的公开度、透明度。十是加强财政队伍建设，完善财政管理机制，推进财务人员依法行政，依法理财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仿宋_GB2312" w:hAnsi="宋体" w:eastAsia="仿宋_GB2312" w:cs="宋体"/>
          <w:color w:val="414141"/>
          <w:kern w:val="0"/>
          <w:sz w:val="32"/>
          <w:szCs w:val="32"/>
        </w:rPr>
      </w:pPr>
    </w:p>
    <w:p>
      <w:pPr>
        <w:pStyle w:val="14"/>
        <w:rPr>
          <w:rFonts w:hint="eastAsia"/>
          <w:lang w:eastAsia="zh-CN"/>
        </w:rPr>
      </w:pPr>
    </w:p>
    <w:p>
      <w:pPr>
        <w:pStyle w:val="4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bookmarkStart w:id="0" w:name="bookmark14"/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四、总体评价和自评得分情况</w:t>
      </w:r>
    </w:p>
    <w:p>
      <w:pPr>
        <w:spacing w:line="600" w:lineRule="exact"/>
        <w:ind w:firstLine="627" w:firstLineChars="196"/>
        <w:jc w:val="left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2024年，我镇强化制度建设、增强内部管理，较好地完成了年度工作目标。</w:t>
      </w:r>
      <w:r>
        <w:rPr>
          <w:rFonts w:hint="eastAsia" w:ascii="仿宋_GB2312" w:hAnsi="仿宋_GB2312" w:cs="仿宋_GB2312"/>
          <w:kern w:val="0"/>
          <w:szCs w:val="32"/>
        </w:rPr>
        <w:t>根据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部门整体支出绩效</w:t>
      </w:r>
      <w:r>
        <w:rPr>
          <w:rFonts w:hint="eastAsia" w:ascii="仿宋_GB2312" w:hAnsi="仿宋_GB2312" w:cs="仿宋_GB2312"/>
          <w:kern w:val="0"/>
          <w:szCs w:val="32"/>
        </w:rPr>
        <w:t>评价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指标</w:t>
      </w:r>
      <w:r>
        <w:rPr>
          <w:rFonts w:hint="eastAsia" w:ascii="仿宋_GB2312" w:hAnsi="仿宋_GB2312" w:cs="仿宋_GB2312"/>
          <w:kern w:val="0"/>
          <w:szCs w:val="32"/>
        </w:rPr>
        <w:t>体系，我单位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2024年度</w:t>
      </w:r>
      <w:r>
        <w:rPr>
          <w:rFonts w:hint="eastAsia" w:ascii="仿宋_GB2312" w:hAnsi="仿宋_GB2312" w:cs="仿宋_GB2312"/>
          <w:kern w:val="0"/>
          <w:szCs w:val="32"/>
        </w:rPr>
        <w:t>自评得分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为</w:t>
      </w:r>
      <w:r>
        <w:rPr>
          <w:rFonts w:hint="eastAsia" w:ascii="仿宋_GB2312" w:hAnsi="仿宋_GB2312" w:cs="仿宋_GB2312"/>
          <w:kern w:val="0"/>
          <w:szCs w:val="32"/>
        </w:rPr>
        <w:t>98</w:t>
      </w:r>
      <w:bookmarkStart w:id="2" w:name="_GoBack"/>
      <w:bookmarkEnd w:id="2"/>
      <w:r>
        <w:rPr>
          <w:rFonts w:hint="eastAsia" w:ascii="仿宋_GB2312" w:hAnsi="仿宋_GB2312" w:cs="仿宋_GB2312"/>
          <w:kern w:val="0"/>
          <w:szCs w:val="32"/>
        </w:rPr>
        <w:t>分，自评结果为优秀。</w:t>
      </w:r>
    </w:p>
    <w:p>
      <w:pPr>
        <w:spacing w:line="600" w:lineRule="exact"/>
        <w:ind w:firstLine="627" w:firstLineChars="196"/>
        <w:jc w:val="left"/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</w:pPr>
      <w:r>
        <w:rPr>
          <w:rFonts w:hint="eastAsia" w:ascii="仿宋_GB2312" w:hAnsi="仿宋_GB2312" w:cs="仿宋_GB2312"/>
          <w:kern w:val="0"/>
          <w:szCs w:val="32"/>
          <w:lang w:eastAsia="zh-CN"/>
        </w:rPr>
        <w:t>通过绩效自评，进一步掌握了资金使用情况和取得的效果，总结了专项资金管理经验，认识到了工作中存在的问题和不足，为今后完善预算编制、加强资金使用管理、健全资金支出项目、提高资金绩效管理、加大资金使用效益工作提供了重要的参考依据。</w:t>
      </w:r>
    </w:p>
    <w:p>
      <w:pPr>
        <w:pStyle w:val="4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五、部门整体支出使用存在的主要问</w:t>
      </w:r>
      <w:bookmarkEnd w:id="0"/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题</w:t>
      </w:r>
      <w:bookmarkStart w:id="1" w:name="bookmark19"/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1.监督管理机制还有待加强，财务管理制度还有待健全。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2.会计基础工作还需要不断完善，进一步提高会计核算水平和质量。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3.预算编制不够精准，调整幅度较大。编制基础薄弱，部分支出缺乏标准和定额依据，主要依靠历史数据和经验估算；对年度重点工作、突发任务的预判和规划不够充分，未能预留合理的弹性空间。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4.部分资金分配存在不合理，使用效率不佳。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default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5.部分资金例如村管费，无法在2024年12月全部拨付完成，说明项目资金的支付流程存在滞后，需要在2025年1月支付剩余资金。</w:t>
      </w:r>
    </w:p>
    <w:p>
      <w:pPr>
        <w:pStyle w:val="4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六、下一步改进措施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1.加强监管，做到监管机制环环相扣，不出现断层、漏洞，坚决把权力关进制度的笼子里。进一步完善财务制度，规范财经纪律，实行会计和报账员一人一岗，钱、账分离。制定效率兼顾公平的规定。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2.财务人员业务能力要与时俱进，不断加强学习，加强财务核算工作，提高财务的精细化管理，确保财务核算的真实、及时、准确、完整。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default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3.严格按照预算编制的相关制度要和要求合理进行预算编制，推进预算编制科学化、准确化。根据年度内单位可遇见的工作任务，确定单位年度预算目标，全面编制预算项目，再根据实际情况，定期做好预算执行分析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4.应严格落实专项资金使用管理规定，做到专款专用。加快项目实施进度的推进，加强项目开展进度的跟踪，开展项目绩效评价，确保项目绩效目标的完成。加强与财政的沟通、加快资金使用效率。将上级专项资金进行分配使用，将有关项目资金拨付到最末级，尽量减少资金结存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仿宋_GB2312" w:hAnsi="宋体" w:eastAsia="仿宋_GB2312" w:cs="宋体"/>
          <w:color w:val="414141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5.加强资金监管，及时进行拨付。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七、部门整体支出绩效自评结果拟应用和公开情况</w:t>
      </w:r>
      <w:bookmarkEnd w:id="1"/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（一）绩效自评结果拟应用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通过绩效自评，进一步掌握了资金使用情况和取得的效果， 总结了专项资金管理经验，认识到了工作中存在的问题和不足，为今后完善年初预算编制、加强资金使用管理、健全资金支出项目、提高资金绩效管理、加大资金使用效益工作提供了重要的参考依据。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（二）绩效自评结果公开情况</w:t>
      </w:r>
    </w:p>
    <w:p>
      <w:pPr>
        <w:widowControl/>
        <w:shd w:val="clear" w:color="auto" w:fill="FFFFFF"/>
        <w:spacing w:before="50" w:after="120" w:line="500" w:lineRule="atLeast"/>
        <w:ind w:firstLine="643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此次绩效自评报告将在资阳区政府官网上予以全文公布，向社会公开，广泛接受群众监督。</w:t>
      </w:r>
    </w:p>
    <w:p>
      <w:pPr>
        <w:pStyle w:val="8"/>
        <w:numPr>
          <w:numId w:val="0"/>
        </w:numPr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七、其他需要说明的情况</w:t>
      </w:r>
    </w:p>
    <w:p>
      <w:pPr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无</w:t>
      </w:r>
    </w:p>
    <w:p>
      <w:pPr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sectPr>
          <w:pgSz w:w="11906" w:h="16838"/>
          <w:pgMar w:top="80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</w:t>
      </w:r>
    </w:p>
    <w:p>
      <w:pPr>
        <w:wordWrap/>
        <w:adjustRightInd/>
        <w:snapToGrid/>
        <w:spacing w:line="600" w:lineRule="exact"/>
        <w:jc w:val="center"/>
        <w:textAlignment w:val="auto"/>
        <w:rPr>
          <w:rFonts w:eastAsia="方正小标宋_GBK"/>
          <w:kern w:val="0"/>
          <w:sz w:val="36"/>
          <w:szCs w:val="36"/>
        </w:rPr>
      </w:pPr>
      <w:r>
        <w:rPr>
          <w:rFonts w:hint="eastAsia" w:eastAsia="方正小标宋_GBK"/>
          <w:kern w:val="0"/>
          <w:sz w:val="36"/>
          <w:szCs w:val="36"/>
          <w:lang w:eastAsia="zh-CN"/>
        </w:rPr>
        <w:t>2024</w:t>
      </w:r>
      <w:r>
        <w:rPr>
          <w:rFonts w:eastAsia="方正小标宋_GBK"/>
          <w:kern w:val="0"/>
          <w:sz w:val="36"/>
          <w:szCs w:val="36"/>
        </w:rPr>
        <w:t>年度部门整体支出绩效评价基础数据表</w:t>
      </w:r>
    </w:p>
    <w:tbl>
      <w:tblPr>
        <w:tblStyle w:val="11"/>
        <w:tblW w:w="9600" w:type="dxa"/>
        <w:tblInd w:w="-6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5"/>
        <w:gridCol w:w="1170"/>
        <w:gridCol w:w="1035"/>
        <w:gridCol w:w="1215"/>
        <w:gridCol w:w="1155"/>
        <w:gridCol w:w="1185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财政供养人员情况（人）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编制数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2024年实际在职人数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控制率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133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121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90.98%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经费控制情况(万元)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2023年决算数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2024年预算数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2024年决算数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三公经费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3.298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4.5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 1、公务用车购置和维护经费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3.298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其中：公车购置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          公车运行维护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3.298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2、出国经费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3、公务接待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项目支出：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1327.79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5737.93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5734.93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1、业务工作经费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185.69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4544.05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4724.01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2、运行维护经费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156.65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157.88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3、本级专项资金（一个专项一行）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985.45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1193.88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857.04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乡镇街道综合治理经费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20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乡镇团委经费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2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乡镇人大经费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4.08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4.08 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乡镇运转经费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33.7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30.32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30.32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分流人员经费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221.71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221.71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省级社区经费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4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文化站免费开放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1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科技示范基地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5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乡镇社区经费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39.2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39.2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正常离任村干部生活补贴提标扩面资金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47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47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27.43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少数民族事业专项经费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4.18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5.18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村管费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669.6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669.6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430.22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乡镇财政体制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109.09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98.19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社区惠民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2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村级组织服务群众专项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27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27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乡镇政协经费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1.2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1.2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四位一体工作经费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13.5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13.5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党报党刊订阅 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2.9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2.9 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公用经费：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657.43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657.43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其中：办公经费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40.23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24.93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     水费、电费、差旅费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15.36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67.81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 会议费、培训费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13.45    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1.15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 政府采购金额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702.19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550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392.86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部门基本支出预算调整 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——</w:t>
            </w:r>
          </w:p>
        </w:tc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28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楼堂馆所控制情况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（2024年完工项目）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批复规模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（㎡）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实际规模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（㎡）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规模控制率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预算投资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（万元）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实际投资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（万元）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投资概算控制率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13562.00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13562.00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100.00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207.17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207.17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厉行节约保障措施</w:t>
            </w:r>
          </w:p>
        </w:tc>
        <w:tc>
          <w:tcPr>
            <w:tcW w:w="67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办公楼严格控制办公室数量，按照站所人数安排办公面积，对未使用的办公室及时贴封条，避免浪费。禁止办公场所堆放生活用品，合理规划空间、提高空间利用率。            </w:t>
            </w:r>
          </w:p>
        </w:tc>
      </w:tr>
    </w:tbl>
    <w:p>
      <w:pPr>
        <w:rPr>
          <w:rFonts w:hint="eastAsia"/>
          <w:lang w:eastAsia="zh-CN"/>
        </w:rPr>
        <w:sectPr>
          <w:pgSz w:w="11906" w:h="16838"/>
          <w:pgMar w:top="80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/>
          <w:lang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2</w:t>
      </w:r>
    </w:p>
    <w:p>
      <w:pPr>
        <w:widowControl/>
        <w:wordWrap/>
        <w:adjustRightInd/>
        <w:snapToGrid/>
        <w:spacing w:line="400" w:lineRule="exact"/>
        <w:jc w:val="center"/>
        <w:textAlignment w:val="auto"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/>
        </w:rPr>
        <w:t>4</w:t>
      </w: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年度部门整体支出绩效自评表</w:t>
      </w:r>
    </w:p>
    <w:tbl>
      <w:tblPr>
        <w:tblStyle w:val="11"/>
        <w:tblW w:w="97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179"/>
        <w:gridCol w:w="944"/>
        <w:gridCol w:w="1269"/>
        <w:gridCol w:w="95"/>
        <w:gridCol w:w="1224"/>
        <w:gridCol w:w="1288"/>
        <w:gridCol w:w="1"/>
        <w:gridCol w:w="816"/>
        <w:gridCol w:w="992"/>
        <w:gridCol w:w="1"/>
        <w:gridCol w:w="13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预算部门</w:t>
            </w:r>
          </w:p>
        </w:tc>
        <w:tc>
          <w:tcPr>
            <w:tcW w:w="914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资阳区新桥河镇人民政府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算申请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年初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预算数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全年预算数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全年执行数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分值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执行率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2576.59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ab/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8884.98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8881.98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10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99.97%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71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按收入性质分：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8884.98</w:t>
            </w:r>
          </w:p>
        </w:tc>
        <w:tc>
          <w:tcPr>
            <w:tcW w:w="443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按支出性质分：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8881.98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71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 xml:space="preserve">  其中：  一般公共预算：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5422.39</w:t>
            </w:r>
          </w:p>
        </w:tc>
        <w:tc>
          <w:tcPr>
            <w:tcW w:w="443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其中：基本支出：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 3147.05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71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840" w:firstLineChars="40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政府性基金拨款：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51</w:t>
            </w:r>
          </w:p>
        </w:tc>
        <w:tc>
          <w:tcPr>
            <w:tcW w:w="443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项目支出：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 5734.93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71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纳入专户管理的非税收入拨款：</w:t>
            </w:r>
          </w:p>
        </w:tc>
        <w:tc>
          <w:tcPr>
            <w:tcW w:w="443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71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470" w:firstLineChars="70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其他资金：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3411.59</w:t>
            </w:r>
          </w:p>
        </w:tc>
        <w:tc>
          <w:tcPr>
            <w:tcW w:w="443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4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实际完成情况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7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840" w:firstLineChars="40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维持乡镇工作正常运转，落实惠民政策，维护乡镇稳定，促进乡镇经济发展。</w:t>
            </w:r>
          </w:p>
        </w:tc>
        <w:tc>
          <w:tcPr>
            <w:tcW w:w="44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840" w:firstLineChars="40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乡镇财政管理精细科学，乡镇财政队伍建设不断加强，非税收入征管不断强化，非税收入质量更加优化。　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实际完成值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惠及村、社区个数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发放民生资金合规率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＞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85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项目建设合格率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＞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资金及时拨付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2024年12月底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2025年1月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部分项目资金在25年1月进行分配；加强资金监管，按时拨付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公用经费控制率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＞80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采购成本节约率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＞80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0分）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行政成本控制率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＞85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完善基础设施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＞80%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85%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弘扬地方特色文化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ab/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开展回民村文化宣传活动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每季度组织开展活动，扩大回民村文化影响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益指标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改善农村人居环境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开展环境卫生清扫工作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29个村、社区的道路环境和居民房前屋后环境有效改善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廉政建设情况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组织机关干部进行廉政宣传教育、问题自查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有效宣传，机关干部自查问题并改进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群众满意度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＞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95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10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 xml:space="preserve"> 98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p>
      <w:pPr>
        <w:widowControl w:val="0"/>
        <w:wordWrap/>
        <w:adjustRightInd/>
        <w:snapToGrid/>
        <w:spacing w:line="20" w:lineRule="exact"/>
        <w:textAlignment w:val="auto"/>
        <w:rPr>
          <w:rFonts w:hint="default" w:eastAsia="仿宋_GB2312"/>
          <w:lang w:val="en-US" w:eastAsia="zh-CN"/>
        </w:rPr>
      </w:pPr>
    </w:p>
    <w:sectPr>
      <w:pgSz w:w="11906" w:h="16838"/>
      <w:pgMar w:top="80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UMingTW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010992011">
    <w:nsid w:val="77DD4D8B"/>
    <w:multiLevelType w:val="singleLevel"/>
    <w:tmpl w:val="77DD4D8B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0109920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OTIwMWMyZmFlMDE5ZTQ3OGM3ZDRmYjM4NmJkMGMzNmEifQ=="/>
  </w:docVars>
  <w:rsids>
    <w:rsidRoot w:val="65CD72B4"/>
    <w:rsid w:val="03BB328F"/>
    <w:rsid w:val="0B7A10E1"/>
    <w:rsid w:val="0C6D1D6C"/>
    <w:rsid w:val="0FC65D20"/>
    <w:rsid w:val="10F705AA"/>
    <w:rsid w:val="15027348"/>
    <w:rsid w:val="15233A48"/>
    <w:rsid w:val="169522ED"/>
    <w:rsid w:val="169A5928"/>
    <w:rsid w:val="17195606"/>
    <w:rsid w:val="17DA1CDC"/>
    <w:rsid w:val="1CEF7A7B"/>
    <w:rsid w:val="20B3687E"/>
    <w:rsid w:val="20C10579"/>
    <w:rsid w:val="25313210"/>
    <w:rsid w:val="29DC7A96"/>
    <w:rsid w:val="29ED1D04"/>
    <w:rsid w:val="2AC14892"/>
    <w:rsid w:val="2C471A19"/>
    <w:rsid w:val="2C637912"/>
    <w:rsid w:val="2DA17F38"/>
    <w:rsid w:val="2E5F4766"/>
    <w:rsid w:val="2F104054"/>
    <w:rsid w:val="323A4620"/>
    <w:rsid w:val="33B2575C"/>
    <w:rsid w:val="35181F21"/>
    <w:rsid w:val="35211537"/>
    <w:rsid w:val="36DA1F2E"/>
    <w:rsid w:val="3C2D1BDD"/>
    <w:rsid w:val="3D78599F"/>
    <w:rsid w:val="3ED3446D"/>
    <w:rsid w:val="419E13F9"/>
    <w:rsid w:val="441D5480"/>
    <w:rsid w:val="446D2407"/>
    <w:rsid w:val="48AC14EA"/>
    <w:rsid w:val="4E9E6D0A"/>
    <w:rsid w:val="4ED4683C"/>
    <w:rsid w:val="54532EC8"/>
    <w:rsid w:val="55E9299B"/>
    <w:rsid w:val="575F6AA5"/>
    <w:rsid w:val="5B4D6715"/>
    <w:rsid w:val="5C2F21DC"/>
    <w:rsid w:val="5C3B1AA9"/>
    <w:rsid w:val="5C482693"/>
    <w:rsid w:val="5D575037"/>
    <w:rsid w:val="5E5300C8"/>
    <w:rsid w:val="5FA0101A"/>
    <w:rsid w:val="5FDD0E56"/>
    <w:rsid w:val="61D3149D"/>
    <w:rsid w:val="64D66BC1"/>
    <w:rsid w:val="65CD72B4"/>
    <w:rsid w:val="682664D1"/>
    <w:rsid w:val="68460A3D"/>
    <w:rsid w:val="68ED16B3"/>
    <w:rsid w:val="69F65862"/>
    <w:rsid w:val="6E9A41D3"/>
    <w:rsid w:val="715B3690"/>
    <w:rsid w:val="75BF3562"/>
    <w:rsid w:val="777E06DD"/>
    <w:rsid w:val="7B2F16E9"/>
    <w:rsid w:val="7C132813"/>
    <w:rsid w:val="7E5A101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7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Style w:val="1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8">
    <w:name w:val="toc 1"/>
    <w:basedOn w:val="1"/>
    <w:next w:val="1"/>
    <w:qFormat/>
    <w:uiPriority w:val="0"/>
    <w:pPr>
      <w:widowControl w:val="0"/>
      <w:spacing w:after="0"/>
      <w:jc w:val="both"/>
    </w:pPr>
    <w:rPr>
      <w:rFonts w:ascii="仿宋_GB2312" w:hAnsi="Calibri" w:eastAsia="仿宋_GB2312" w:cs="Times New Roman"/>
      <w:kern w:val="2"/>
      <w:sz w:val="21"/>
      <w:szCs w:val="24"/>
      <w:lang w:val="en-US" w:eastAsia="zh-CN" w:bidi="ar-SA"/>
    </w:rPr>
  </w:style>
  <w:style w:type="paragraph" w:styleId="9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">
    <w:name w:val="BodyText1I2"/>
    <w:basedOn w:val="13"/>
    <w:qFormat/>
    <w:uiPriority w:val="0"/>
    <w:pPr>
      <w:ind w:firstLine="420"/>
    </w:pPr>
  </w:style>
  <w:style w:type="paragraph" w:customStyle="1" w:styleId="13">
    <w:name w:val="BodyTextIndent"/>
    <w:basedOn w:val="1"/>
    <w:qFormat/>
    <w:uiPriority w:val="0"/>
    <w:pPr>
      <w:spacing w:after="120"/>
      <w:ind w:left="420" w:leftChars="200" w:firstLine="200" w:firstLineChars="200"/>
      <w:textAlignment w:val="baseline"/>
    </w:pPr>
  </w:style>
  <w:style w:type="paragraph" w:customStyle="1" w:styleId="14">
    <w:name w:val="TOC1"/>
    <w:basedOn w:val="1"/>
    <w:next w:val="1"/>
    <w:unhideWhenUsed/>
    <w:qFormat/>
    <w:uiPriority w:val="0"/>
    <w:rPr>
      <w:rFonts w:hint="default"/>
      <w:sz w:val="21"/>
      <w:szCs w:val="24"/>
    </w:rPr>
  </w:style>
  <w:style w:type="paragraph" w:customStyle="1" w:styleId="15">
    <w:name w:val="标题 #3"/>
    <w:basedOn w:val="1"/>
    <w:qFormat/>
    <w:uiPriority w:val="0"/>
    <w:pPr>
      <w:widowControl w:val="0"/>
      <w:shd w:val="clear" w:color="auto" w:fill="auto"/>
      <w:spacing w:line="449" w:lineRule="exact"/>
      <w:ind w:firstLine="490"/>
      <w:outlineLvl w:val="2"/>
    </w:pPr>
    <w:rPr>
      <w:rFonts w:ascii="宋体" w:hAnsi="宋体" w:eastAsia="宋体" w:cs="宋体"/>
      <w:b/>
      <w:bCs/>
      <w:sz w:val="22"/>
      <w:szCs w:val="22"/>
      <w:u w:val="none"/>
      <w:lang w:val="zh-CN" w:eastAsia="zh-CN" w:bidi="zh-CN"/>
    </w:rPr>
  </w:style>
  <w:style w:type="paragraph" w:customStyle="1" w:styleId="16">
    <w:name w:val="正文文本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22"/>
      <w:szCs w:val="22"/>
      <w:u w:val="none"/>
      <w:lang w:val="zh-CN" w:eastAsia="zh-CN" w:bidi="zh-CN"/>
    </w:rPr>
  </w:style>
  <w:style w:type="character" w:customStyle="1" w:styleId="17">
    <w:name w:val="标题 3 Char"/>
    <w:link w:val="4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3451</Words>
  <Characters>3917</Characters>
  <Lines>0</Lines>
  <Paragraphs>0</Paragraphs>
  <TotalTime>0</TotalTime>
  <ScaleCrop>false</ScaleCrop>
  <LinksUpToDate>false</LinksUpToDate>
  <CharactersWithSpaces>0</CharactersWithSpaces>
  <Application>WPS Office 个人版_9.1.0.4885_{F1E327BC-269C-435d-A152-05C5408002CA}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2023-03-03T00:41:00Z</dcterms:created>
  <dc:creator>vv</dc:creator>
  <cp:lastModifiedBy>Administrator</cp:lastModifiedBy>
  <cp:lastPrinted>2025-06-06T06:49:00Z</cp:lastPrinted>
  <dcterms:modified xsi:type="dcterms:W3CDTF">2025-10-17T09:40:28Z</dcterms:modified>
  <dc:title>2024年度资阳区新桥河镇人民政府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2052-9.1.0.4885</vt:lpwstr>
  </property>
  <property fmtid="{D5CDD505-2E9C-101B-9397-08002B2CF9AE}" pid="3" name="ICV">
    <vt:lpwstr>8C068E6394184D25B3A96E499C6E5058_13</vt:lpwstr>
  </property>
  <property fmtid="{D5CDD505-2E9C-101B-9397-08002B2CF9AE}" pid="4" name="KSOTemplateDocerSaveRecord">
    <vt:lpwstr>eyJoZGlkIjoiMDJkNzYwYzFhMDg5YTIzNmVkOGQ3NmFhNzM2MjFmMGUiLCJ1c2VySWQiOiI5MTA4MTgwNzcifQ==</vt:lpwstr>
  </property>
</Properties>
</file>