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pPr>
        <w:jc w:val="center"/>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2024</w:t>
      </w:r>
      <w:r>
        <w:rPr>
          <w:rFonts w:hint="eastAsia" w:ascii="仿宋" w:hAnsi="仿宋" w:eastAsia="仿宋" w:cs="仿宋"/>
          <w:sz w:val="48"/>
          <w:szCs w:val="48"/>
        </w:rPr>
        <w:t>年度</w:t>
      </w:r>
      <w:r>
        <w:rPr>
          <w:rFonts w:hint="eastAsia" w:ascii="仿宋" w:hAnsi="仿宋" w:eastAsia="仿宋" w:cs="仿宋"/>
          <w:sz w:val="48"/>
          <w:szCs w:val="48"/>
          <w:lang w:val="en-US" w:eastAsia="zh-CN"/>
        </w:rPr>
        <w:t>益阳市资阳区政务服务中心</w:t>
      </w:r>
    </w:p>
    <w:p>
      <w:pPr>
        <w:jc w:val="center"/>
        <w:rPr>
          <w:rFonts w:hint="eastAsia" w:ascii="仿宋" w:hAnsi="仿宋" w:eastAsia="仿宋" w:cs="仿宋"/>
          <w:sz w:val="48"/>
          <w:szCs w:val="48"/>
        </w:rPr>
      </w:pPr>
      <w:r>
        <w:rPr>
          <w:rFonts w:hint="eastAsia" w:ascii="仿宋" w:hAnsi="仿宋" w:eastAsia="仿宋" w:cs="仿宋"/>
          <w:sz w:val="48"/>
          <w:szCs w:val="48"/>
        </w:rPr>
        <w:t>部门整体支出绩效自评报告</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lang w:val="en-US" w:eastAsia="zh-CN"/>
        </w:rPr>
        <w:t>益阳市资阳区政务服务中心</w:t>
      </w:r>
    </w:p>
    <w:p>
      <w:pPr>
        <w:ind w:firstLine="3240" w:firstLineChars="900"/>
        <w:jc w:val="both"/>
        <w:rPr>
          <w:rFonts w:hint="eastAsia" w:ascii="仿宋" w:hAnsi="仿宋" w:eastAsia="仿宋" w:cs="仿宋"/>
          <w:sz w:val="36"/>
          <w:szCs w:val="36"/>
          <w:u w:val="none"/>
          <w:lang w:val="en-US" w:eastAsia="zh-CN"/>
        </w:rPr>
      </w:pPr>
    </w:p>
    <w:p>
      <w:pPr>
        <w:ind w:firstLine="2880" w:firstLineChars="8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 年 5 月 30 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pPr>
        <w:spacing w:line="560" w:lineRule="exact"/>
        <w:ind w:firstLine="360" w:firstLineChars="100"/>
        <w:jc w:val="center"/>
        <w:rPr>
          <w:rFonts w:hint="eastAsia" w:ascii="仿宋" w:hAnsi="仿宋" w:eastAsia="仿宋" w:cs="仿宋"/>
          <w:sz w:val="36"/>
          <w:szCs w:val="36"/>
          <w:lang w:val="en-US" w:eastAsia="zh-CN"/>
        </w:rPr>
      </w:pPr>
    </w:p>
    <w:p>
      <w:pPr>
        <w:spacing w:line="600" w:lineRule="exact"/>
        <w:ind w:firstLine="321" w:firstLineChars="100"/>
        <w:jc w:val="center"/>
        <w:rPr>
          <w:rFonts w:hint="eastAsia" w:ascii="仿宋_GB2312" w:hAnsi="仿宋_GB2312" w:cs="仿宋_GB2312"/>
          <w:b/>
          <w:bCs/>
          <w:kern w:val="0"/>
          <w:sz w:val="32"/>
          <w:szCs w:val="32"/>
          <w:lang w:val="en-US" w:eastAsia="zh-CN" w:bidi="ar-SA"/>
        </w:rPr>
      </w:pPr>
    </w:p>
    <w:p>
      <w:pPr>
        <w:spacing w:line="600" w:lineRule="exact"/>
        <w:ind w:firstLine="321" w:firstLineChars="100"/>
        <w:jc w:val="center"/>
        <w:rPr>
          <w:rFonts w:hint="eastAsia" w:ascii="仿宋_GB2312" w:hAnsi="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2024</w:t>
      </w:r>
      <w:r>
        <w:rPr>
          <w:rFonts w:hint="eastAsia" w:ascii="仿宋_GB2312" w:hAnsi="仿宋_GB2312" w:eastAsia="仿宋_GB2312" w:cs="仿宋_GB2312"/>
          <w:b/>
          <w:bCs/>
          <w:kern w:val="0"/>
          <w:sz w:val="32"/>
          <w:szCs w:val="32"/>
          <w:lang w:val="en-US" w:eastAsia="zh-CN" w:bidi="ar-SA"/>
        </w:rPr>
        <w:t>年度</w:t>
      </w:r>
      <w:r>
        <w:rPr>
          <w:rFonts w:hint="eastAsia" w:ascii="仿宋_GB2312" w:hAnsi="仿宋_GB2312" w:cs="仿宋_GB2312"/>
          <w:b/>
          <w:bCs/>
          <w:kern w:val="0"/>
          <w:sz w:val="32"/>
          <w:szCs w:val="32"/>
          <w:lang w:val="en-US" w:eastAsia="zh-CN" w:bidi="ar-SA"/>
        </w:rPr>
        <w:t>益阳市资阳区政务服务中心</w:t>
      </w:r>
    </w:p>
    <w:p>
      <w:pPr>
        <w:spacing w:line="600" w:lineRule="exact"/>
        <w:ind w:firstLine="321" w:firstLineChars="100"/>
        <w:jc w:val="center"/>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部门整体支出绩效自评报告</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p>
    <w:p>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w:t>
      </w:r>
      <w:r>
        <w:rPr>
          <w:rFonts w:hint="eastAsia" w:ascii="仿宋_GB2312" w:hAnsi="仿宋_GB2312" w:cs="仿宋_GB2312"/>
          <w:kern w:val="0"/>
          <w:sz w:val="32"/>
          <w:szCs w:val="32"/>
          <w:lang w:val="en-US" w:eastAsia="zh-CN" w:bidi="ar-SA"/>
        </w:rPr>
        <w:t>2024</w:t>
      </w:r>
      <w:r>
        <w:rPr>
          <w:rFonts w:hint="eastAsia" w:ascii="仿宋_GB2312" w:hAnsi="仿宋_GB2312" w:eastAsia="仿宋_GB2312" w:cs="仿宋_GB2312"/>
          <w:kern w:val="0"/>
          <w:sz w:val="32"/>
          <w:szCs w:val="32"/>
          <w:lang w:val="en-US" w:eastAsia="zh-CN" w:bidi="ar-SA"/>
        </w:rPr>
        <w:t>年度重点工作计划；</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2024年6月29日，</w:t>
      </w:r>
      <w:r>
        <w:rPr>
          <w:rFonts w:hint="eastAsia" w:ascii="仿宋_GB2312" w:hAnsi="仿宋_GB2312" w:cs="仿宋_GB2312"/>
          <w:color w:val="auto"/>
          <w:sz w:val="32"/>
          <w:szCs w:val="32"/>
          <w:highlight w:val="none"/>
          <w:lang w:val="en-US" w:eastAsia="zh-CN"/>
        </w:rPr>
        <w:t>政务服务中心机构改革，</w:t>
      </w:r>
      <w:r>
        <w:rPr>
          <w:rFonts w:hint="eastAsia" w:ascii="仿宋_GB2312" w:hAnsi="仿宋_GB2312" w:eastAsia="仿宋_GB2312" w:cs="仿宋_GB2312"/>
          <w:color w:val="auto"/>
          <w:sz w:val="32"/>
          <w:szCs w:val="32"/>
          <w:highlight w:val="none"/>
          <w:lang w:val="en-US" w:eastAsia="zh-CN"/>
        </w:rPr>
        <w:t>区数据局正式挂牌成立。自成立以来，我局坚持以习近平新时代中国特色社会主义思想和党的二十大精神为指引，紧紧围绕区委、区政府中心工作，以机构改革为契机，聚焦群众企业所需所盼，推进数字政府和数字经济建设，持续优化政务服务推动“高效办成一件事”，不断优化营商环境，提升政务服务质量，各项工作取得了明显成效。</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（二）部门整体支出规模、使用方向、主要内容和涉及范围。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仿宋_GB2312" w:hAnsi="仿宋_GB2312" w:eastAsia="仿宋_GB2312" w:cs="仿宋_GB2312"/>
          <w:kern w:val="0"/>
          <w:sz w:val="32"/>
          <w:szCs w:val="32"/>
          <w:lang w:val="en-US" w:eastAsia="zh-CN" w:bidi="ar-SA"/>
        </w:rPr>
      </w:pPr>
      <w:r>
        <w:rPr>
          <w:rFonts w:hint="default" w:ascii="仿宋_GB2312" w:hAnsi="仿宋_GB2312" w:eastAsia="仿宋_GB2312" w:cs="仿宋_GB2312"/>
          <w:kern w:val="0"/>
          <w:sz w:val="32"/>
          <w:szCs w:val="32"/>
          <w:lang w:val="en-US" w:eastAsia="zh-CN" w:bidi="ar-SA"/>
        </w:rPr>
        <w:t>1.</w:t>
      </w:r>
      <w:r>
        <w:rPr>
          <w:rFonts w:hint="eastAsia" w:ascii="仿宋_GB2312" w:hAnsi="仿宋_GB2312" w:eastAsia="仿宋_GB2312" w:cs="仿宋_GB2312"/>
          <w:kern w:val="0"/>
          <w:sz w:val="32"/>
          <w:szCs w:val="32"/>
          <w:lang w:val="en-US" w:eastAsia="zh-CN" w:bidi="ar-SA"/>
        </w:rPr>
        <w:t>决算收支完成情况。</w:t>
      </w:r>
      <w:r>
        <w:rPr>
          <w:rFonts w:hint="eastAsia" w:ascii="仿宋_GB2312" w:hAnsi="仿宋_GB2312" w:cs="仿宋_GB2312"/>
          <w:kern w:val="0"/>
          <w:sz w:val="32"/>
          <w:szCs w:val="32"/>
          <w:lang w:val="en-US" w:eastAsia="zh-CN" w:bidi="ar-SA"/>
        </w:rPr>
        <w:t>2024</w:t>
      </w:r>
      <w:r>
        <w:rPr>
          <w:rFonts w:hint="eastAsia" w:ascii="仿宋_GB2312" w:hAnsi="仿宋_GB2312" w:eastAsia="仿宋_GB2312" w:cs="仿宋_GB2312"/>
          <w:kern w:val="0"/>
          <w:sz w:val="32"/>
          <w:szCs w:val="32"/>
          <w:lang w:val="en-US" w:eastAsia="zh-CN" w:bidi="ar-SA"/>
        </w:rPr>
        <w:t>年一般公共预算财政拨款收入</w:t>
      </w:r>
      <w:r>
        <w:rPr>
          <w:rFonts w:hint="eastAsia" w:ascii="仿宋_GB2312" w:hAnsi="仿宋_GB2312" w:cs="仿宋_GB2312"/>
          <w:kern w:val="0"/>
          <w:sz w:val="32"/>
          <w:szCs w:val="32"/>
          <w:lang w:val="en-US" w:eastAsia="zh-CN" w:bidi="ar-SA"/>
        </w:rPr>
        <w:t>632.66</w:t>
      </w:r>
      <w:r>
        <w:rPr>
          <w:rFonts w:hint="eastAsia" w:ascii="仿宋_GB2312" w:hAnsi="仿宋_GB2312" w:eastAsia="仿宋_GB2312" w:cs="仿宋_GB2312"/>
          <w:kern w:val="0"/>
          <w:sz w:val="32"/>
          <w:szCs w:val="32"/>
          <w:lang w:val="en-US" w:eastAsia="zh-CN" w:bidi="ar-SA"/>
        </w:rPr>
        <w:t>万元，部门决算支出</w:t>
      </w:r>
      <w:r>
        <w:rPr>
          <w:rFonts w:hint="eastAsia" w:ascii="仿宋_GB2312" w:hAnsi="仿宋_GB2312" w:cs="仿宋_GB2312"/>
          <w:kern w:val="0"/>
          <w:sz w:val="32"/>
          <w:szCs w:val="32"/>
          <w:lang w:val="en-US" w:eastAsia="zh-CN" w:bidi="ar-SA"/>
        </w:rPr>
        <w:t>632.66</w:t>
      </w:r>
      <w:r>
        <w:rPr>
          <w:rFonts w:hint="eastAsia" w:ascii="仿宋_GB2312" w:hAnsi="仿宋_GB2312" w:eastAsia="仿宋_GB2312" w:cs="仿宋_GB2312"/>
          <w:kern w:val="0"/>
          <w:sz w:val="32"/>
          <w:szCs w:val="32"/>
          <w:lang w:val="en-US" w:eastAsia="zh-CN" w:bidi="ar-SA"/>
        </w:rPr>
        <w:t>万元，其中</w:t>
      </w:r>
      <w:r>
        <w:rPr>
          <w:rFonts w:hint="eastAsia" w:ascii="仿宋_GB2312" w:hAnsi="仿宋_GB2312" w:cs="仿宋_GB2312"/>
          <w:kern w:val="0"/>
          <w:sz w:val="32"/>
          <w:szCs w:val="32"/>
          <w:lang w:val="en-US" w:eastAsia="zh-CN" w:bidi="ar-SA"/>
        </w:rPr>
        <w:t>年初预算</w:t>
      </w:r>
      <w:r>
        <w:rPr>
          <w:rFonts w:hint="eastAsia" w:ascii="仿宋_GB2312" w:hAnsi="仿宋_GB2312" w:eastAsia="仿宋_GB2312" w:cs="仿宋_GB2312"/>
          <w:kern w:val="0"/>
          <w:sz w:val="32"/>
          <w:szCs w:val="32"/>
          <w:lang w:val="en-US" w:eastAsia="zh-CN" w:bidi="ar-SA"/>
        </w:rPr>
        <w:t>基本支出</w:t>
      </w:r>
      <w:r>
        <w:rPr>
          <w:rFonts w:hint="eastAsia" w:ascii="仿宋_GB2312" w:hAnsi="仿宋_GB2312" w:cs="仿宋_GB2312"/>
          <w:kern w:val="0"/>
          <w:sz w:val="32"/>
          <w:szCs w:val="32"/>
          <w:lang w:val="en-US" w:eastAsia="zh-CN" w:bidi="ar-SA"/>
        </w:rPr>
        <w:t>110.91</w:t>
      </w:r>
      <w:r>
        <w:rPr>
          <w:rFonts w:hint="eastAsia" w:ascii="仿宋_GB2312" w:hAnsi="仿宋_GB2312" w:eastAsia="仿宋_GB2312" w:cs="仿宋_GB2312"/>
          <w:kern w:val="0"/>
          <w:sz w:val="32"/>
          <w:szCs w:val="32"/>
          <w:lang w:val="en-US" w:eastAsia="zh-CN" w:bidi="ar-SA"/>
        </w:rPr>
        <w:t>万元（</w:t>
      </w:r>
      <w:r>
        <w:rPr>
          <w:rFonts w:hint="eastAsia" w:ascii="仿宋_GB2312" w:hAnsi="仿宋_GB2312" w:cs="仿宋_GB2312"/>
          <w:kern w:val="0"/>
          <w:sz w:val="32"/>
          <w:szCs w:val="32"/>
          <w:lang w:val="en-US" w:eastAsia="zh-CN" w:bidi="ar-SA"/>
        </w:rPr>
        <w:t>人员经费98.47</w:t>
      </w:r>
      <w:r>
        <w:rPr>
          <w:rFonts w:hint="eastAsia" w:ascii="仿宋_GB2312" w:hAnsi="仿宋_GB2312" w:eastAsia="仿宋_GB2312" w:cs="仿宋_GB2312"/>
          <w:kern w:val="0"/>
          <w:sz w:val="32"/>
          <w:szCs w:val="32"/>
          <w:lang w:val="en-US" w:eastAsia="zh-CN" w:bidi="ar-SA"/>
        </w:rPr>
        <w:t>万元，占基本支出</w:t>
      </w:r>
      <w:r>
        <w:rPr>
          <w:rFonts w:hint="eastAsia" w:ascii="仿宋_GB2312" w:hAnsi="仿宋_GB2312" w:cs="仿宋_GB2312"/>
          <w:kern w:val="0"/>
          <w:sz w:val="32"/>
          <w:szCs w:val="32"/>
          <w:lang w:val="en-US" w:eastAsia="zh-CN" w:bidi="ar-SA"/>
        </w:rPr>
        <w:t>88.78</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公用经费12.44</w:t>
      </w:r>
      <w:r>
        <w:rPr>
          <w:rFonts w:hint="eastAsia" w:ascii="仿宋_GB2312" w:hAnsi="仿宋_GB2312" w:eastAsia="仿宋_GB2312" w:cs="仿宋_GB2312"/>
          <w:kern w:val="0"/>
          <w:sz w:val="32"/>
          <w:szCs w:val="32"/>
          <w:lang w:val="en-US" w:eastAsia="zh-CN" w:bidi="ar-SA"/>
        </w:rPr>
        <w:t>万元，占基本支出</w:t>
      </w:r>
      <w:r>
        <w:rPr>
          <w:rFonts w:hint="eastAsia" w:ascii="仿宋_GB2312" w:hAnsi="仿宋_GB2312" w:cs="仿宋_GB2312"/>
          <w:kern w:val="0"/>
          <w:sz w:val="32"/>
          <w:szCs w:val="32"/>
          <w:lang w:val="en-US" w:eastAsia="zh-CN" w:bidi="ar-SA"/>
        </w:rPr>
        <w:t>11.22</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），项目支出</w:t>
      </w:r>
      <w:r>
        <w:rPr>
          <w:rFonts w:hint="eastAsia" w:ascii="仿宋_GB2312" w:hAnsi="仿宋_GB2312" w:cs="仿宋_GB2312"/>
          <w:kern w:val="0"/>
          <w:sz w:val="32"/>
          <w:szCs w:val="32"/>
          <w:lang w:val="en-US" w:eastAsia="zh-CN" w:bidi="ar-SA"/>
        </w:rPr>
        <w:t>521.75</w:t>
      </w:r>
      <w:r>
        <w:rPr>
          <w:rFonts w:hint="eastAsia" w:ascii="仿宋_GB2312" w:hAnsi="仿宋_GB2312" w:eastAsia="仿宋_GB2312" w:cs="仿宋_GB2312"/>
          <w:kern w:val="0"/>
          <w:sz w:val="32"/>
          <w:szCs w:val="32"/>
          <w:lang w:val="en-US" w:eastAsia="zh-CN" w:bidi="ar-SA"/>
        </w:rPr>
        <w:t>万元、年末结转结余</w:t>
      </w:r>
      <w:r>
        <w:rPr>
          <w:rFonts w:hint="default" w:ascii="仿宋_GB2312" w:hAnsi="仿宋_GB2312" w:eastAsia="仿宋_GB2312" w:cs="仿宋_GB2312"/>
          <w:kern w:val="0"/>
          <w:sz w:val="32"/>
          <w:szCs w:val="32"/>
          <w:lang w:val="en-US" w:eastAsia="zh-CN" w:bidi="ar-SA"/>
        </w:rPr>
        <w:t>0</w:t>
      </w:r>
      <w:r>
        <w:rPr>
          <w:rFonts w:hint="eastAsia" w:ascii="仿宋_GB2312" w:hAnsi="仿宋_GB2312" w:eastAsia="仿宋_GB2312" w:cs="仿宋_GB2312"/>
          <w:kern w:val="0"/>
          <w:sz w:val="32"/>
          <w:szCs w:val="32"/>
          <w:lang w:val="en-US" w:eastAsia="zh-CN" w:bidi="ar-SA"/>
        </w:rPr>
        <w:t>万元。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仿宋_GB2312" w:hAnsi="仿宋_GB2312" w:eastAsia="仿宋_GB2312" w:cs="仿宋_GB2312"/>
          <w:kern w:val="0"/>
          <w:sz w:val="32"/>
          <w:szCs w:val="32"/>
          <w:lang w:val="en-US" w:eastAsia="zh-CN" w:bidi="ar-SA"/>
        </w:rPr>
      </w:pPr>
      <w:r>
        <w:rPr>
          <w:rFonts w:hint="default" w:ascii="仿宋_GB2312" w:hAnsi="仿宋_GB2312" w:eastAsia="仿宋_GB2312" w:cs="仿宋_GB2312"/>
          <w:kern w:val="0"/>
          <w:sz w:val="32"/>
          <w:szCs w:val="32"/>
          <w:lang w:val="en-US" w:eastAsia="zh-CN" w:bidi="ar-SA"/>
        </w:rPr>
        <w:t>2. “</w:t>
      </w:r>
      <w:r>
        <w:rPr>
          <w:rFonts w:hint="eastAsia" w:ascii="仿宋_GB2312" w:hAnsi="仿宋_GB2312" w:eastAsia="仿宋_GB2312" w:cs="仿宋_GB2312"/>
          <w:kern w:val="0"/>
          <w:sz w:val="32"/>
          <w:szCs w:val="32"/>
          <w:lang w:val="en-US" w:eastAsia="zh-CN" w:bidi="ar-SA"/>
        </w:rPr>
        <w:t>三公经费</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支出。根据厉行节约原则，</w:t>
      </w:r>
      <w:r>
        <w:rPr>
          <w:rFonts w:hint="eastAsia" w:ascii="仿宋_GB2312" w:hAnsi="仿宋_GB2312" w:cs="仿宋_GB2312"/>
          <w:kern w:val="0"/>
          <w:sz w:val="32"/>
          <w:szCs w:val="32"/>
          <w:lang w:val="en-US" w:eastAsia="zh-CN" w:bidi="ar-SA"/>
        </w:rPr>
        <w:t>2024</w:t>
      </w:r>
      <w:r>
        <w:rPr>
          <w:rFonts w:hint="eastAsia" w:ascii="仿宋_GB2312" w:hAnsi="仿宋_GB2312" w:eastAsia="仿宋_GB2312" w:cs="仿宋_GB2312"/>
          <w:kern w:val="0"/>
          <w:sz w:val="32"/>
          <w:szCs w:val="32"/>
          <w:lang w:val="en-US" w:eastAsia="zh-CN" w:bidi="ar-SA"/>
        </w:rPr>
        <w:t>年我单位严格控制公务招待费、公车用车购置及运行维护费、因公出国（境）费</w:t>
      </w:r>
      <w:r>
        <w:rPr>
          <w:rFonts w:hint="default" w:ascii="仿宋_GB2312" w:hAnsi="仿宋_GB2312" w:eastAsia="仿宋_GB2312" w:cs="仿宋_GB2312"/>
          <w:kern w:val="0"/>
          <w:sz w:val="32"/>
          <w:szCs w:val="32"/>
          <w:lang w:val="en-US" w:eastAsia="zh-CN" w:bidi="ar-SA"/>
        </w:rPr>
        <w:t> “</w:t>
      </w:r>
      <w:r>
        <w:rPr>
          <w:rFonts w:hint="eastAsia" w:ascii="仿宋_GB2312" w:hAnsi="仿宋_GB2312" w:eastAsia="仿宋_GB2312" w:cs="仿宋_GB2312"/>
          <w:kern w:val="0"/>
          <w:sz w:val="32"/>
          <w:szCs w:val="32"/>
          <w:lang w:val="en-US" w:eastAsia="zh-CN" w:bidi="ar-SA"/>
        </w:rPr>
        <w:t>三公</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经费支出，</w:t>
      </w:r>
      <w:r>
        <w:rPr>
          <w:rFonts w:hint="eastAsia" w:ascii="仿宋_GB2312" w:hAnsi="仿宋_GB2312" w:cs="仿宋_GB2312"/>
          <w:kern w:val="0"/>
          <w:sz w:val="32"/>
          <w:szCs w:val="32"/>
          <w:lang w:val="en-US" w:eastAsia="zh-CN" w:bidi="ar-SA"/>
        </w:rPr>
        <w:t>2024</w:t>
      </w:r>
      <w:r>
        <w:rPr>
          <w:rFonts w:hint="eastAsia" w:ascii="仿宋_GB2312" w:hAnsi="仿宋_GB2312" w:eastAsia="仿宋_GB2312" w:cs="仿宋_GB2312"/>
          <w:kern w:val="0"/>
          <w:sz w:val="32"/>
          <w:szCs w:val="32"/>
          <w:lang w:val="en-US" w:eastAsia="zh-CN" w:bidi="ar-SA"/>
        </w:rPr>
        <w:t>年无公务接待费、公车用车购置及运行维护费、公出国（境）费用发生。</w:t>
      </w:r>
    </w:p>
    <w:p>
      <w:pPr>
        <w:pStyle w:val="5"/>
        <w:rPr>
          <w:rFonts w:hint="eastAsia"/>
          <w:lang w:val="en-US" w:eastAsia="zh-CN"/>
        </w:rPr>
      </w:pPr>
    </w:p>
    <w:p>
      <w:pPr>
        <w:pStyle w:val="5"/>
        <w:rPr>
          <w:rFonts w:hint="eastAsia"/>
          <w:lang w:val="en-US" w:eastAsia="zh-CN"/>
        </w:rPr>
      </w:pP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kern w:val="0"/>
          <w:sz w:val="32"/>
          <w:szCs w:val="32"/>
          <w:lang w:val="en-US" w:eastAsia="zh-CN" w:bidi="ar-SA"/>
        </w:rPr>
        <w:t>基本支出</w:t>
      </w:r>
      <w:r>
        <w:rPr>
          <w:rFonts w:hint="eastAsia" w:ascii="仿宋_GB2312" w:hAnsi="仿宋_GB2312" w:cs="仿宋_GB2312"/>
          <w:kern w:val="0"/>
          <w:sz w:val="32"/>
          <w:szCs w:val="32"/>
          <w:lang w:val="en-US" w:eastAsia="zh-CN" w:bidi="ar-SA"/>
        </w:rPr>
        <w:t>110.91</w:t>
      </w:r>
      <w:r>
        <w:rPr>
          <w:rFonts w:hint="eastAsia" w:ascii="仿宋_GB2312" w:hAnsi="仿宋_GB2312" w:eastAsia="仿宋_GB2312" w:cs="仿宋_GB2312"/>
          <w:kern w:val="0"/>
          <w:sz w:val="32"/>
          <w:szCs w:val="32"/>
          <w:lang w:val="en-US" w:eastAsia="zh-CN" w:bidi="ar-SA"/>
        </w:rPr>
        <w:t>万元</w:t>
      </w:r>
      <w:r>
        <w:rPr>
          <w:rFonts w:hint="eastAsia" w:ascii="仿宋_GB2312" w:hAnsi="仿宋_GB2312" w:cs="仿宋_GB2312"/>
          <w:kern w:val="0"/>
          <w:sz w:val="32"/>
          <w:szCs w:val="32"/>
          <w:lang w:val="en-US" w:eastAsia="zh-CN" w:bidi="ar-SA"/>
        </w:rPr>
        <w:t>，其中人员经费98.47</w:t>
      </w:r>
      <w:r>
        <w:rPr>
          <w:rFonts w:hint="eastAsia" w:ascii="仿宋_GB2312" w:hAnsi="仿宋_GB2312" w:eastAsia="仿宋_GB2312" w:cs="仿宋_GB2312"/>
          <w:kern w:val="0"/>
          <w:sz w:val="32"/>
          <w:szCs w:val="32"/>
          <w:lang w:val="en-US" w:eastAsia="zh-CN" w:bidi="ar-SA"/>
        </w:rPr>
        <w:t>万元，</w:t>
      </w:r>
      <w:r>
        <w:rPr>
          <w:rFonts w:hint="eastAsia" w:ascii="仿宋_GB2312" w:hAnsi="仿宋_GB2312" w:cs="仿宋_GB2312"/>
          <w:kern w:val="0"/>
          <w:sz w:val="32"/>
          <w:szCs w:val="32"/>
          <w:lang w:val="en-US" w:eastAsia="zh-CN" w:bidi="ar-SA"/>
        </w:rPr>
        <w:t>公用经费12.44</w:t>
      </w:r>
      <w:r>
        <w:rPr>
          <w:rFonts w:hint="eastAsia" w:ascii="仿宋_GB2312" w:hAnsi="仿宋_GB2312" w:cs="仿宋_GB2312"/>
          <w:b w:val="0"/>
          <w:bCs w:val="0"/>
          <w:kern w:val="0"/>
          <w:sz w:val="32"/>
          <w:szCs w:val="32"/>
          <w:lang w:val="en-US" w:eastAsia="zh-CN" w:bidi="ar-SA"/>
        </w:rPr>
        <w:t>万元。</w:t>
      </w:r>
    </w:p>
    <w:p>
      <w:pPr>
        <w:pStyle w:val="5"/>
        <w:keepNext w:val="0"/>
        <w:keepLines w:val="0"/>
        <w:pageBreakBefore w:val="0"/>
        <w:widowControl w:val="0"/>
        <w:kinsoku/>
        <w:wordWrap/>
        <w:overflowPunct/>
        <w:topLinePunct w:val="0"/>
        <w:autoSpaceDE/>
        <w:autoSpaceDN/>
        <w:bidi w:val="0"/>
        <w:adjustRightInd/>
        <w:snapToGrid w:val="0"/>
        <w:ind w:firstLine="640" w:firstLineChars="20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专项支出</w:t>
      </w:r>
      <w:r>
        <w:rPr>
          <w:rFonts w:hint="eastAsia" w:ascii="仿宋_GB2312" w:hAnsi="仿宋_GB2312" w:cs="仿宋_GB2312"/>
          <w:kern w:val="0"/>
          <w:sz w:val="32"/>
          <w:szCs w:val="32"/>
          <w:lang w:val="en-US" w:eastAsia="zh-CN" w:bidi="ar-SA"/>
        </w:rPr>
        <w:t>521.75</w:t>
      </w:r>
      <w:r>
        <w:rPr>
          <w:rFonts w:hint="eastAsia" w:ascii="仿宋_GB2312" w:hAnsi="仿宋_GB2312" w:eastAsia="仿宋_GB2312" w:cs="仿宋_GB2312"/>
          <w:kern w:val="0"/>
          <w:sz w:val="32"/>
          <w:szCs w:val="32"/>
          <w:lang w:val="en-US" w:eastAsia="zh-CN" w:bidi="ar-SA"/>
        </w:rPr>
        <w:t>万元，</w:t>
      </w:r>
      <w:r>
        <w:rPr>
          <w:rFonts w:hint="eastAsia" w:ascii="Times New Roman" w:hAnsi="Times New Roman" w:cs="Times New Roman"/>
          <w:color w:val="auto"/>
          <w:sz w:val="32"/>
          <w:szCs w:val="32"/>
          <w:lang w:val="en-US" w:eastAsia="zh-CN"/>
        </w:rPr>
        <w:t>主要用于</w:t>
      </w:r>
      <w:r>
        <w:rPr>
          <w:rFonts w:hint="eastAsia" w:ascii="仿宋_GB2312" w:hAnsi="仿宋_GB2312" w:eastAsia="仿宋_GB2312" w:cs="仿宋_GB2312"/>
          <w:kern w:val="0"/>
          <w:sz w:val="32"/>
          <w:szCs w:val="32"/>
          <w:lang w:val="en-US" w:eastAsia="zh-CN" w:bidi="ar-SA"/>
        </w:rPr>
        <w:t>全区政务外网租赁</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“互联网+政务服务”一体化平台聘用人员</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政务中心运转保障</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前台受理后台分类审批综合窗口新增人员</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政务中心政务大厅优化营商环境印章</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全区网络租赁费、主机托管费及维护费</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区政务中心工作经费</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区政务中心大厅打印复印费</w:t>
      </w:r>
      <w:r>
        <w:rPr>
          <w:rFonts w:hint="eastAsia" w:ascii="Times New Roman" w:hAnsi="Times New Roman" w:cs="Times New Roman"/>
          <w:color w:val="auto"/>
          <w:sz w:val="32"/>
          <w:szCs w:val="32"/>
          <w:lang w:val="en-US" w:eastAsia="zh-CN"/>
        </w:rPr>
        <w:t>等项目开支。</w:t>
      </w:r>
    </w:p>
    <w:p>
      <w:pPr>
        <w:widowControl/>
        <w:autoSpaceDN w:val="0"/>
        <w:spacing w:line="54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三、部门整体支出绩效情况</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（一）总结归纳本部门（单位）预算支出的绩效目标完成情况，实现产出和取得效益的情况。</w:t>
      </w:r>
    </w:p>
    <w:p>
      <w:pPr>
        <w:pStyle w:val="2"/>
        <w:rPr>
          <w:rFonts w:hint="eastAsia"/>
          <w:lang w:val="en-US" w:eastAsia="zh-CN"/>
        </w:rPr>
      </w:pPr>
    </w:p>
    <w:p>
      <w:pPr>
        <w:pStyle w:val="5"/>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益阳市资阳区政务服务中心2024</w:t>
      </w:r>
      <w:r>
        <w:rPr>
          <w:rFonts w:hint="eastAsia" w:ascii="仿宋_GB2312" w:hAnsi="仿宋_GB2312" w:eastAsia="仿宋_GB2312" w:cs="仿宋_GB2312"/>
          <w:kern w:val="0"/>
          <w:sz w:val="32"/>
          <w:szCs w:val="32"/>
          <w:lang w:val="en-US" w:eastAsia="zh-CN" w:bidi="ar-SA"/>
        </w:rPr>
        <w:t>年严格执行财政部门预算，全面保障了机关日常正常运转，认真履行好单位职能职责，圆满完成了区委、区政府下达的各项业务目标任务：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ind w:left="0" w:right="0" w:firstLine="42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目标1：完成本年度单位人员经费保障任务和单位日常开支。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ind w:left="0" w:right="0" w:firstLine="739" w:firstLineChars="231"/>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完成情况：为提高干部职工积极性，提升工作效率。足额保障在职人员1</w:t>
      </w:r>
      <w:r>
        <w:rPr>
          <w:rFonts w:hint="eastAsia" w:ascii="仿宋_GB2312" w:hAnsi="仿宋_GB2312" w:cs="仿宋_GB2312"/>
          <w:kern w:val="0"/>
          <w:sz w:val="32"/>
          <w:szCs w:val="32"/>
          <w:lang w:val="en-US" w:eastAsia="zh-CN" w:bidi="ar-SA"/>
        </w:rPr>
        <w:t>9</w:t>
      </w:r>
      <w:r>
        <w:rPr>
          <w:rFonts w:hint="eastAsia" w:ascii="仿宋_GB2312" w:hAnsi="仿宋_GB2312" w:eastAsia="仿宋_GB2312" w:cs="仿宋_GB2312"/>
          <w:kern w:val="0"/>
          <w:sz w:val="32"/>
          <w:szCs w:val="32"/>
          <w:lang w:val="en-US" w:eastAsia="zh-CN" w:bidi="ar-SA"/>
        </w:rPr>
        <w:t>人工资、奖金、补助、五险一金等发放和缴纳</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满意度达到100%。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ind w:left="0" w:right="0" w:firstLine="42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目标2：严格控制三公经费。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ind w:right="0" w:firstLine="640" w:firstLineChars="20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完成情况：</w:t>
      </w:r>
      <w:r>
        <w:rPr>
          <w:rFonts w:hint="eastAsia" w:ascii="仿宋_GB2312" w:hAnsi="仿宋_GB2312" w:cs="仿宋_GB2312"/>
          <w:kern w:val="0"/>
          <w:sz w:val="32"/>
          <w:szCs w:val="32"/>
          <w:lang w:val="en-US" w:eastAsia="zh-CN" w:bidi="ar-SA"/>
        </w:rPr>
        <w:t>2024</w:t>
      </w:r>
      <w:r>
        <w:rPr>
          <w:rFonts w:hint="eastAsia" w:ascii="仿宋_GB2312" w:hAnsi="仿宋_GB2312" w:eastAsia="仿宋_GB2312" w:cs="仿宋_GB2312"/>
          <w:kern w:val="0"/>
          <w:sz w:val="32"/>
          <w:szCs w:val="32"/>
          <w:lang w:val="en-US" w:eastAsia="zh-CN" w:bidi="ar-SA"/>
        </w:rPr>
        <w:t>年我单位严格控制公务招待费、公车用车购置及运行维护费、因公出国（境）费</w:t>
      </w:r>
      <w:r>
        <w:rPr>
          <w:rFonts w:hint="default" w:ascii="仿宋_GB2312" w:hAnsi="仿宋_GB2312" w:eastAsia="仿宋_GB2312" w:cs="仿宋_GB2312"/>
          <w:kern w:val="0"/>
          <w:sz w:val="32"/>
          <w:szCs w:val="32"/>
          <w:lang w:val="en-US" w:eastAsia="zh-CN" w:bidi="ar-SA"/>
        </w:rPr>
        <w:t> “</w:t>
      </w:r>
      <w:r>
        <w:rPr>
          <w:rFonts w:hint="eastAsia" w:ascii="仿宋_GB2312" w:hAnsi="仿宋_GB2312" w:eastAsia="仿宋_GB2312" w:cs="仿宋_GB2312"/>
          <w:kern w:val="0"/>
          <w:sz w:val="32"/>
          <w:szCs w:val="32"/>
          <w:lang w:val="en-US" w:eastAsia="zh-CN" w:bidi="ar-SA"/>
        </w:rPr>
        <w:t>三公</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经费支出，</w:t>
      </w:r>
      <w:r>
        <w:rPr>
          <w:rFonts w:hint="eastAsia" w:ascii="仿宋_GB2312" w:hAnsi="仿宋_GB2312" w:cs="仿宋_GB2312"/>
          <w:kern w:val="0"/>
          <w:sz w:val="32"/>
          <w:szCs w:val="32"/>
          <w:lang w:val="en-US" w:eastAsia="zh-CN" w:bidi="ar-SA"/>
        </w:rPr>
        <w:t>2024</w:t>
      </w:r>
      <w:r>
        <w:rPr>
          <w:rFonts w:hint="eastAsia" w:ascii="仿宋_GB2312" w:hAnsi="仿宋_GB2312" w:eastAsia="仿宋_GB2312" w:cs="仿宋_GB2312"/>
          <w:kern w:val="0"/>
          <w:sz w:val="32"/>
          <w:szCs w:val="32"/>
          <w:lang w:val="en-US" w:eastAsia="zh-CN" w:bidi="ar-SA"/>
        </w:rPr>
        <w:t>年无公务接待费、公车用车购置及运行维护费、公出国（境）费用发生。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75" w:beforeAutospacing="0" w:after="375" w:afterAutospacing="0"/>
        <w:ind w:right="0" w:firstLine="320" w:firstLineChars="10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目标3：切实维护全局干部职工权益，做好工会各项日常工作。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75" w:beforeAutospacing="0" w:after="375" w:afterAutospacing="0"/>
        <w:ind w:left="0" w:right="0" w:firstLine="640" w:firstLineChars="20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完成情况：</w:t>
      </w:r>
      <w:r>
        <w:rPr>
          <w:rFonts w:hint="eastAsia" w:ascii="仿宋_GB2312" w:hAnsi="仿宋_GB2312" w:eastAsia="仿宋_GB2312" w:cs="仿宋_GB2312"/>
          <w:kern w:val="0"/>
          <w:sz w:val="32"/>
          <w:szCs w:val="32"/>
          <w:lang w:val="en-US" w:eastAsia="zh-CN" w:bidi="ar-SA"/>
        </w:rPr>
        <w:t>一是足额保障全年工会经费。二是中心工会组织干部职工开展了</w:t>
      </w:r>
      <w:r>
        <w:rPr>
          <w:rFonts w:hint="eastAsia" w:ascii="仿宋_GB2312" w:hAnsi="仿宋_GB2312" w:cs="仿宋_GB2312"/>
          <w:kern w:val="0"/>
          <w:sz w:val="32"/>
          <w:szCs w:val="32"/>
          <w:lang w:val="en-US" w:eastAsia="zh-CN" w:bidi="ar-SA"/>
        </w:rPr>
        <w:t>“万步有约”</w:t>
      </w:r>
      <w:r>
        <w:rPr>
          <w:rFonts w:hint="eastAsia" w:ascii="仿宋_GB2312" w:hAnsi="仿宋_GB2312" w:eastAsia="仿宋_GB2312" w:cs="仿宋_GB2312"/>
          <w:kern w:val="0"/>
          <w:sz w:val="32"/>
          <w:szCs w:val="32"/>
          <w:lang w:val="en-US" w:eastAsia="zh-CN" w:bidi="ar-SA"/>
        </w:rPr>
        <w:t>、三八节等活动，提升团队意识，增强凝聚力。三是工会按照上级工会部门文件要求落实工会会员节日福利待遇。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75" w:beforeAutospacing="0" w:after="375" w:afterAutospacing="0"/>
        <w:ind w:right="0" w:firstLine="320" w:firstLineChars="10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目标</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保障政务服务中心正常运转</w:t>
      </w:r>
      <w:r>
        <w:rPr>
          <w:rFonts w:hint="eastAsia" w:ascii="仿宋_GB2312" w:hAnsi="仿宋_GB2312" w:eastAsia="仿宋_GB2312" w:cs="仿宋_GB2312"/>
          <w:kern w:val="0"/>
          <w:sz w:val="32"/>
          <w:szCs w:val="32"/>
          <w:lang w:val="en-US" w:eastAsia="zh-CN" w:bidi="ar-SA"/>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75" w:beforeAutospacing="0" w:after="375" w:afterAutospacing="0"/>
        <w:ind w:right="0" w:firstLine="640" w:firstLineChars="200"/>
        <w:jc w:val="both"/>
        <w:textAlignment w:val="baseline"/>
        <w:rPr>
          <w:rFonts w:hint="default"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完成情况：2024年中心在工作日正常运转，接待大批办事群众，办事效率高，取得了群众的满意和认可，群众满意度95%。</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75" w:beforeAutospacing="0" w:after="375" w:afterAutospacing="0"/>
        <w:ind w:right="0" w:firstLine="320" w:firstLineChars="100"/>
        <w:jc w:val="both"/>
        <w:textAlignment w:val="baseline"/>
        <w:rPr>
          <w:rFonts w:hint="eastAsia" w:ascii="仿宋_GB2312" w:hAnsi="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目标</w:t>
      </w:r>
      <w:r>
        <w:rPr>
          <w:rFonts w:hint="eastAsia" w:ascii="仿宋_GB2312" w:hAnsi="仿宋_GB2312" w:cs="仿宋_GB2312"/>
          <w:kern w:val="0"/>
          <w:sz w:val="32"/>
          <w:szCs w:val="32"/>
          <w:lang w:val="en-US" w:eastAsia="zh-CN" w:bidi="ar-SA"/>
        </w:rPr>
        <w:t>5：保证全区政务外网的快捷畅通。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75" w:beforeAutospacing="0" w:after="375" w:afterAutospacing="0"/>
        <w:ind w:right="0" w:firstLine="640" w:firstLineChars="200"/>
        <w:jc w:val="both"/>
        <w:textAlignment w:val="baseline"/>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完成情况：政务服务中心的技术组前往网络故障的单位进行上门维修，确保网络连通率达到100%。</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（二）未实现既定绩效目标或未完成指标任务的分析说明。</w:t>
      </w:r>
    </w:p>
    <w:p>
      <w:pPr>
        <w:pStyle w:val="5"/>
        <w:rPr>
          <w:rFonts w:hint="default"/>
          <w:lang w:val="en-US" w:eastAsia="zh-CN"/>
        </w:rPr>
      </w:pPr>
      <w:r>
        <w:rPr>
          <w:rFonts w:hint="eastAsia" w:ascii="仿宋_GB2312" w:hAnsi="仿宋_GB2312" w:cs="仿宋_GB2312"/>
          <w:kern w:val="0"/>
          <w:sz w:val="32"/>
          <w:szCs w:val="32"/>
          <w:lang w:val="en-US" w:eastAsia="zh-CN" w:bidi="ar-SA"/>
        </w:rPr>
        <w:t xml:space="preserve">    无</w:t>
      </w:r>
    </w:p>
    <w:p>
      <w:pPr>
        <w:spacing w:line="600" w:lineRule="exact"/>
        <w:ind w:firstLine="627" w:firstLineChars="196"/>
        <w:rPr>
          <w:rFonts w:hint="eastAsia" w:ascii="仿宋_GB2312" w:hAnsi="仿宋_GB2312" w:eastAsia="仿宋_GB2312" w:cs="仿宋_GB2312"/>
          <w:spacing w:val="-6"/>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（三）围绕部门（单位）职责、行业发展规划，以预算资金管理为主线，总结部门（单位）资产管理和开展业务情况，从运行成本、管理效率、履职效能、社会效应、可持续发展能力和服</w:t>
      </w:r>
      <w:r>
        <w:rPr>
          <w:rFonts w:hint="eastAsia" w:ascii="仿宋_GB2312" w:hAnsi="仿宋_GB2312" w:eastAsia="仿宋_GB2312" w:cs="仿宋_GB2312"/>
          <w:spacing w:val="-6"/>
          <w:kern w:val="0"/>
          <w:sz w:val="32"/>
          <w:szCs w:val="32"/>
          <w:lang w:val="en-US" w:eastAsia="zh-CN" w:bidi="ar-SA"/>
        </w:rPr>
        <w:t>务对象满意度等方面，衡量部门（单位）整体及核心业务实施效果。</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强化理论武装。</w:t>
      </w:r>
      <w:r>
        <w:rPr>
          <w:rFonts w:hint="eastAsia" w:ascii="仿宋_GB2312" w:hAnsi="仿宋_GB2312" w:eastAsia="仿宋_GB2312" w:cs="仿宋_GB2312"/>
          <w:color w:val="auto"/>
          <w:sz w:val="32"/>
          <w:szCs w:val="32"/>
          <w:highlight w:val="none"/>
        </w:rPr>
        <w:t>严格落实“第一议题”制度，</w:t>
      </w:r>
      <w:r>
        <w:rPr>
          <w:rFonts w:hint="eastAsia" w:ascii="仿宋_GB2312" w:hAnsi="仿宋_GB2312" w:eastAsia="仿宋_GB2312" w:cs="仿宋_GB2312"/>
          <w:color w:val="auto"/>
          <w:sz w:val="32"/>
          <w:szCs w:val="32"/>
          <w:highlight w:val="none"/>
          <w:lang w:val="en-US" w:eastAsia="zh-CN"/>
        </w:rPr>
        <w:t>将重要指示批示和党中央最新重要会议、重要文件精神作为党组会议的第一议题。严格执行中心组学习制度，深入学习贯彻习近平总书记关于党纪学习教育重要讲话精神等。</w:t>
      </w: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rPr>
        <w:t>扎实开展党纪学习教育。深入贯彻全面从严治党战略方针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i w:val="0"/>
          <w:iCs w:val="0"/>
          <w:caps w:val="0"/>
          <w:color w:val="auto"/>
          <w:spacing w:val="0"/>
          <w:sz w:val="32"/>
          <w:szCs w:val="32"/>
          <w:highlight w:val="none"/>
          <w:shd w:val="clear" w:fill="FFFFFF"/>
        </w:rPr>
        <w:t>系统深入学习《中国共产党纪律处分条例》，综合运用集体学习、专题辅导、个人自学、观看专题片等方式，重点领学、精读精讲。强化学用结合聚焦主责主业，坚持靶向施策，把党纪学习教育同中心工作结合起来，围绕数字建设、政务服务重点领域，对标上级决策部署，把握好新形势新要求。</w:t>
      </w: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仿宋_GB2312" w:eastAsia="仿宋_GB2312" w:cs="仿宋_GB2312"/>
          <w:color w:val="auto"/>
          <w:sz w:val="32"/>
          <w:szCs w:val="32"/>
          <w:highlight w:val="none"/>
          <w:lang w:val="en-US" w:eastAsia="zh-CN"/>
        </w:rPr>
        <w:t>加强支部建设。严格落实党的“三会一课”制度，</w:t>
      </w:r>
      <w:r>
        <w:rPr>
          <w:rFonts w:hint="eastAsia" w:ascii="仿宋_GB2312" w:hAnsi="仿宋_GB2312" w:eastAsia="仿宋_GB2312" w:cs="仿宋_GB2312"/>
          <w:color w:val="auto"/>
          <w:sz w:val="32"/>
          <w:szCs w:val="32"/>
          <w:highlight w:val="none"/>
        </w:rPr>
        <w:t>成功培养1名发展对象和2名入党积极分子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积极开展主题党日活动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组织机关单位干部职工集中观看党课电影、开展社会主义核心价值观主题教育实践活动、开展“我们的节日”系列活动等</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四是</w:t>
      </w:r>
      <w:r>
        <w:rPr>
          <w:rFonts w:hint="eastAsia" w:ascii="仿宋_GB2312" w:hAnsi="仿宋_GB2312" w:eastAsia="仿宋_GB2312" w:cs="仿宋_GB2312"/>
          <w:i w:val="0"/>
          <w:iCs w:val="0"/>
          <w:caps w:val="0"/>
          <w:color w:val="auto"/>
          <w:spacing w:val="0"/>
          <w:sz w:val="32"/>
          <w:szCs w:val="32"/>
          <w:highlight w:val="none"/>
          <w:shd w:val="clear" w:fill="FFFFFF"/>
        </w:rPr>
        <w:t>推动特色党建融合发展。</w:t>
      </w:r>
      <w:r>
        <w:rPr>
          <w:rFonts w:hint="eastAsia" w:ascii="仿宋_GB2312" w:hAnsi="仿宋_GB2312" w:eastAsia="仿宋_GB2312" w:cs="仿宋_GB2312"/>
          <w:color w:val="auto"/>
          <w:sz w:val="32"/>
          <w:szCs w:val="32"/>
          <w:highlight w:val="none"/>
          <w:lang w:val="en-US" w:eastAsia="zh-CN"/>
        </w:rPr>
        <w:t>组织</w:t>
      </w:r>
      <w:r>
        <w:rPr>
          <w:rFonts w:hint="eastAsia" w:ascii="仿宋_GB2312" w:hAnsi="仿宋_GB2312" w:eastAsia="仿宋_GB2312" w:cs="仿宋_GB2312"/>
          <w:color w:val="auto"/>
          <w:sz w:val="32"/>
          <w:szCs w:val="32"/>
          <w:highlight w:val="none"/>
        </w:rPr>
        <w:t>开展“思想</w:t>
      </w:r>
      <w:r>
        <w:rPr>
          <w:rFonts w:hint="eastAsia" w:ascii="仿宋_GB2312" w:hAnsi="仿宋_GB2312" w:eastAsia="仿宋_GB2312" w:cs="仿宋_GB2312"/>
          <w:color w:val="auto"/>
          <w:sz w:val="32"/>
          <w:szCs w:val="32"/>
          <w:highlight w:val="none"/>
          <w:lang w:val="en-US" w:eastAsia="zh-CN"/>
        </w:rPr>
        <w:t>解放</w:t>
      </w:r>
      <w:r>
        <w:rPr>
          <w:rFonts w:hint="eastAsia" w:ascii="仿宋_GB2312" w:hAnsi="仿宋_GB2312" w:eastAsia="仿宋_GB2312" w:cs="仿宋_GB2312"/>
          <w:color w:val="auto"/>
          <w:sz w:val="32"/>
          <w:szCs w:val="32"/>
          <w:highlight w:val="none"/>
        </w:rPr>
        <w:t>引领改革突围”专项行动年活动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制定《资阳区政务服务中心“思想解放引领改革突围”专项行动年意见建议征集表》，每周二、四在政务大厅面向办事群众进行表格的发放，收集意见。</w:t>
      </w:r>
      <w:r>
        <w:rPr>
          <w:rFonts w:hint="eastAsia" w:ascii="仿宋_GB2312" w:hAnsi="仿宋_GB2312" w:eastAsia="仿宋_GB2312" w:cs="仿宋_GB2312"/>
          <w:b/>
          <w:bCs/>
          <w:color w:val="auto"/>
          <w:sz w:val="32"/>
          <w:szCs w:val="32"/>
          <w:highlight w:val="none"/>
          <w:lang w:val="en-US" w:eastAsia="zh-CN"/>
        </w:rPr>
        <w:t>五是</w:t>
      </w:r>
      <w:r>
        <w:rPr>
          <w:rFonts w:hint="eastAsia" w:ascii="仿宋_GB2312" w:hAnsi="仿宋_GB2312" w:eastAsia="仿宋_GB2312" w:cs="仿宋_GB2312"/>
          <w:color w:val="auto"/>
          <w:sz w:val="32"/>
          <w:szCs w:val="32"/>
          <w:highlight w:val="none"/>
          <w:lang w:val="en-US" w:eastAsia="zh-CN"/>
        </w:rPr>
        <w:t>切实抓牢安全生产。多次专题研究单位安全生产工作，组织干职工认真学习贯彻落实中央、省、市、区关于安全生产工作的重要指示精神。对单位的安全生产工作进行周密的安排部署，责任落实到人，设置专人对食堂进行监管，防止出现食物中毒、燃气爆炸等安全事故。定期对单位水、电、煤气，尤其是已经老化和设计不科学的电线进行全面排查，确保整体平安。截至年底，暂未发生较大及以上安全生产事故。</w:t>
      </w:r>
      <w:r>
        <w:rPr>
          <w:rFonts w:hint="eastAsia" w:ascii="仿宋_GB2312" w:hAnsi="仿宋_GB2312" w:eastAsia="仿宋_GB2312" w:cs="仿宋_GB2312"/>
          <w:b/>
          <w:bCs/>
          <w:color w:val="auto"/>
          <w:sz w:val="32"/>
          <w:szCs w:val="32"/>
          <w:highlight w:val="none"/>
          <w:lang w:val="en-US" w:eastAsia="zh-CN"/>
        </w:rPr>
        <w:t>六是</w:t>
      </w:r>
      <w:r>
        <w:rPr>
          <w:rFonts w:hint="eastAsia" w:ascii="仿宋_GB2312" w:hAnsi="仿宋_GB2312" w:eastAsia="仿宋_GB2312" w:cs="仿宋_GB2312"/>
          <w:color w:val="auto"/>
          <w:sz w:val="32"/>
          <w:szCs w:val="32"/>
          <w:highlight w:val="none"/>
          <w:lang w:val="en-US" w:eastAsia="zh-CN"/>
        </w:rPr>
        <w:t>全力配合做好创城迎评工作。安排工作人员在一楼步梯口值守，维持群众进出秩序，劝导吸烟行为；在政务大厅加设志愿岗为群众答疑，协助行动不便的群众办理事项；组织青年干部下沉街道，与三圣殿社区携手开展文明创建活动。</w:t>
      </w:r>
    </w:p>
    <w:p>
      <w:pPr>
        <w:pStyle w:val="5"/>
        <w:rPr>
          <w:rFonts w:hint="eastAsia"/>
          <w:lang w:val="en-US" w:eastAsia="zh-CN"/>
        </w:rPr>
      </w:pPr>
    </w:p>
    <w:p>
      <w:pPr>
        <w:spacing w:line="60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（四）加强部门整体支出绩效管理的举措。</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left="0" w:right="0" w:firstLine="48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一、“量身定制”明确绩效管理方向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right="0"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在部门整体支出绩效评价评分框架基础上，立足实际，设置具体部门整体支出评价的过程指标、产出指标、效果指标等的具体指标和评分权重，提高核心指标评分权重，对各项指标进行全面量化的评分，形成“一个部门一套指标”的评分标准。通过“量身定制”指标，部门进一步明确预算绩效管理的方向、重点及工作要求，促进部门预算绩效管理水平提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left="0" w:right="0" w:firstLine="48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二、“对症下药”促进提高履职效能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right="0"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对照部门职能、重点工作任务，结合年度工作计划，将部门职能、工作任务和重点项目串联起来，对部门近三年的重点项目进行系统梳理、归纳、总结，分析存在不足提出改进建议，“对症下药”重点解决部门在预算绩效管理中存在的“想干不会干”“会干效率低”等问题，促进提高部门履职效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left="0" w:right="0" w:firstLine="48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三、“强化约束”压实部门主体责任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right="0"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是认真梳理绩效评价报告扣分情况，以问题清单形式反馈被评价部门在资金使用和项目管理等方面存在的问题，明确整改时限和要求，并督促部门整改落实；二是将评价结果作为下一年度预算安排、完善政策和改进管理的重要依据；三是将部门绩效评价管理环节纳入了2024年部门绩效考评的范围，以评促管，提高绩效评价的约束力。</w:t>
      </w:r>
    </w:p>
    <w:p>
      <w:pPr>
        <w:pStyle w:val="5"/>
        <w:rPr>
          <w:rFonts w:hint="eastAsia"/>
          <w:lang w:val="en-US" w:eastAsia="zh-CN"/>
        </w:rPr>
      </w:pPr>
    </w:p>
    <w:p>
      <w:pPr>
        <w:pStyle w:val="5"/>
        <w:rPr>
          <w:rFonts w:hint="eastAsia"/>
          <w:lang w:val="en-US" w:eastAsia="zh-CN"/>
        </w:rPr>
      </w:pPr>
    </w:p>
    <w:p>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pPr>
        <w:pStyle w:val="5"/>
        <w:keepNext w:val="0"/>
        <w:keepLines w:val="0"/>
        <w:pageBreakBefore w:val="0"/>
        <w:widowControl w:val="0"/>
        <w:kinsoku/>
        <w:wordWrap/>
        <w:overflowPunct/>
        <w:topLinePunct w:val="0"/>
        <w:autoSpaceDE/>
        <w:autoSpaceDN/>
        <w:bidi w:val="0"/>
        <w:adjustRightInd/>
        <w:snapToGrid w:val="0"/>
        <w:spacing w:before="157" w:beforeLines="50" w:after="157" w:afterLines="50"/>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我单位部门整体支出绩效评价指标自评打分得分9</w:t>
      </w:r>
      <w:r>
        <w:rPr>
          <w:rFonts w:hint="eastAsia" w:ascii="仿宋_GB2312" w:hAnsi="仿宋_GB2312" w:cs="仿宋_GB2312"/>
          <w:kern w:val="0"/>
          <w:sz w:val="32"/>
          <w:szCs w:val="32"/>
          <w:lang w:val="en-US" w:eastAsia="zh-CN" w:bidi="ar-SA"/>
        </w:rPr>
        <w:t>7</w:t>
      </w:r>
      <w:r>
        <w:rPr>
          <w:rFonts w:hint="eastAsia" w:ascii="仿宋_GB2312" w:hAnsi="仿宋_GB2312" w:eastAsia="仿宋_GB2312" w:cs="仿宋_GB2312"/>
          <w:kern w:val="0"/>
          <w:sz w:val="32"/>
          <w:szCs w:val="32"/>
          <w:lang w:val="en-US" w:eastAsia="zh-CN" w:bidi="ar-SA"/>
        </w:rPr>
        <w:t>.05分。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w:t>
      </w:r>
    </w:p>
    <w:p>
      <w:pPr>
        <w:pStyle w:val="10"/>
        <w:widowControl/>
        <w:spacing w:line="600" w:lineRule="exact"/>
        <w:ind w:firstLine="640"/>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存在的问题：一是在项目资金的预算执行上，年初未做好项目的整体预算工作，与实际下达预算存在一定的偏差；</w:t>
      </w:r>
      <w:r>
        <w:rPr>
          <w:rFonts w:hint="eastAsia" w:ascii="仿宋_GB2312" w:hAnsi="仿宋_GB2312" w:cs="仿宋_GB2312"/>
          <w:kern w:val="0"/>
          <w:sz w:val="32"/>
          <w:szCs w:val="32"/>
          <w:lang w:val="en-US" w:eastAsia="zh-CN" w:bidi="ar-SA"/>
        </w:rPr>
        <w:t>二</w:t>
      </w:r>
      <w:r>
        <w:rPr>
          <w:rFonts w:hint="eastAsia" w:ascii="仿宋_GB2312" w:hAnsi="仿宋_GB2312" w:eastAsia="仿宋_GB2312" w:cs="仿宋_GB2312"/>
          <w:kern w:val="0"/>
          <w:sz w:val="32"/>
          <w:szCs w:val="32"/>
          <w:lang w:val="en-US" w:eastAsia="zh-CN" w:bidi="ar-SA"/>
        </w:rPr>
        <w:t>是项目支出绩效评价指标体系不完善，给考核评价及评分工作带来一定的困难</w:t>
      </w:r>
      <w:r>
        <w:rPr>
          <w:rFonts w:hint="eastAsia" w:ascii="仿宋_GB2312" w:hAnsi="仿宋_GB2312" w:cs="仿宋_GB2312"/>
          <w:kern w:val="0"/>
          <w:sz w:val="32"/>
          <w:szCs w:val="32"/>
          <w:lang w:val="en-US" w:eastAsia="zh-CN" w:bidi="ar-SA"/>
        </w:rPr>
        <w:t>；三是政务服务办事流程不够人性化，没能完全从群众角度出发考虑办事流程。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原因：对绩效管理工作的重要性认识不到位，财务管理科学化、精细化有待进一步加强</w:t>
      </w:r>
      <w:r>
        <w:rPr>
          <w:rFonts w:hint="eastAsia" w:ascii="仿宋_GB2312" w:hAnsi="仿宋_GB2312" w:cs="仿宋_GB2312"/>
          <w:kern w:val="0"/>
          <w:sz w:val="32"/>
          <w:szCs w:val="32"/>
          <w:lang w:val="en-US" w:eastAsia="zh-CN" w:bidi="ar-SA"/>
        </w:rPr>
        <w:t>；政务大厅办事流程透明度、一次办成率需要提升。</w:t>
      </w:r>
    </w:p>
    <w:p>
      <w:pPr>
        <w:widowControl/>
        <w:spacing w:line="600" w:lineRule="exact"/>
        <w:ind w:firstLine="640" w:firstLineChars="200"/>
        <w:jc w:val="left"/>
        <w:rPr>
          <w:rFonts w:hint="eastAsia" w:eastAsia="黑体"/>
          <w:sz w:val="32"/>
          <w:szCs w:val="32"/>
        </w:rPr>
      </w:pPr>
      <w:r>
        <w:rPr>
          <w:rFonts w:hint="eastAsia" w:eastAsia="黑体"/>
          <w:sz w:val="32"/>
          <w:szCs w:val="32"/>
        </w:rPr>
        <w:t>六、下一步改进措施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1.重视预算执行。一是为保证预算资金使用效益，对所有项目资金实行从申报到执行结束的全过程管理；二是建立考核评价机制，将预算执行进度纳入对各</w:t>
      </w:r>
      <w:r>
        <w:rPr>
          <w:rFonts w:hint="eastAsia" w:ascii="仿宋_GB2312" w:hAnsi="仿宋_GB2312" w:cs="仿宋_GB2312"/>
          <w:kern w:val="0"/>
          <w:sz w:val="32"/>
          <w:szCs w:val="32"/>
          <w:lang w:val="en-US" w:eastAsia="zh-CN" w:bidi="ar-SA"/>
        </w:rPr>
        <w:t>股室</w:t>
      </w:r>
      <w:r>
        <w:rPr>
          <w:rFonts w:hint="eastAsia" w:ascii="仿宋_GB2312" w:hAnsi="仿宋_GB2312" w:eastAsia="仿宋_GB2312" w:cs="仿宋_GB2312"/>
          <w:kern w:val="0"/>
          <w:sz w:val="32"/>
          <w:szCs w:val="32"/>
          <w:lang w:val="en-US" w:eastAsia="zh-CN" w:bidi="ar-SA"/>
        </w:rPr>
        <w:t>的责任目标考核中；三是不定期召开预算执行进度通报会，分析预算执行中存在的问题，对项目资金结余原因进行逐项分析，加快项目预算执行。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提高项目执行质量。经费下达后，及时制定项目实施方案，明晰经费使用内容和范围，督促各项目主管部门加快经费执行进度。涉及物资采购的，提前组织专家论证并提出设备、物资参数，一旦经费下达就可进入政府采购程序，加快采购进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3.落实资金监管。严格落实规范财务运行机制、健全内部控制机制、强化监督检查机制、落实责任追究机制，确保资金使用安全。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4.逐步规范绩效评价工作。</w:t>
      </w:r>
      <w:r>
        <w:rPr>
          <w:rFonts w:hint="eastAsia" w:ascii="仿宋_GB2312" w:hAnsi="仿宋_GB2312" w:cs="仿宋_GB2312"/>
          <w:kern w:val="0"/>
          <w:sz w:val="32"/>
          <w:szCs w:val="32"/>
          <w:lang w:val="en-US" w:eastAsia="zh-CN" w:bidi="ar-SA"/>
        </w:rPr>
        <w:t>2025</w:t>
      </w:r>
      <w:r>
        <w:rPr>
          <w:rFonts w:hint="eastAsia" w:ascii="仿宋_GB2312" w:hAnsi="仿宋_GB2312" w:eastAsia="仿宋_GB2312" w:cs="仿宋_GB2312"/>
          <w:kern w:val="0"/>
          <w:sz w:val="32"/>
          <w:szCs w:val="32"/>
          <w:lang w:val="en-US" w:eastAsia="zh-CN" w:bidi="ar-SA"/>
        </w:rPr>
        <w:t>年，</w:t>
      </w:r>
      <w:r>
        <w:rPr>
          <w:rFonts w:hint="eastAsia" w:ascii="仿宋_GB2312" w:hAnsi="仿宋_GB2312" w:cs="仿宋_GB2312"/>
          <w:kern w:val="0"/>
          <w:sz w:val="32"/>
          <w:szCs w:val="32"/>
          <w:lang w:val="en-US" w:eastAsia="zh-CN" w:bidi="ar-SA"/>
        </w:rPr>
        <w:t>政务服务中心</w:t>
      </w:r>
      <w:r>
        <w:rPr>
          <w:rFonts w:hint="eastAsia" w:ascii="仿宋_GB2312" w:hAnsi="仿宋_GB2312" w:eastAsia="仿宋_GB2312" w:cs="仿宋_GB2312"/>
          <w:kern w:val="0"/>
          <w:sz w:val="32"/>
          <w:szCs w:val="32"/>
          <w:lang w:val="en-US" w:eastAsia="zh-CN" w:bidi="ar-SA"/>
        </w:rPr>
        <w:t>将进一步加强绩效管理</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强化支出责任，提升财政资金使用效益。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5.严格预算执行</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加强资金使用管理，规范财务行为，进一步合理配置资源，完善项目管理办法，切实提高项目管理水平、财政资金使用效益和部门工作效益。</w:t>
      </w:r>
    </w:p>
    <w:p>
      <w:pPr>
        <w:keepNext w:val="0"/>
        <w:keepLines w:val="0"/>
        <w:widowControl/>
        <w:suppressLineNumbers w:val="0"/>
        <w:ind w:firstLine="640" w:firstLineChars="200"/>
        <w:jc w:val="left"/>
        <w:rPr>
          <w:rFonts w:hint="default"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6.优化政务服</w:t>
      </w:r>
      <w:r>
        <w:rPr>
          <w:rFonts w:hint="eastAsia" w:ascii="仿宋_GB2312" w:hAnsi="仿宋_GB2312" w:eastAsia="仿宋_GB2312" w:cs="仿宋_GB2312"/>
          <w:kern w:val="0"/>
          <w:sz w:val="32"/>
          <w:szCs w:val="32"/>
          <w:lang w:val="en-US" w:eastAsia="zh-CN" w:bidi="ar-SA"/>
        </w:rPr>
        <w:t>务流程。严格落实首问责任制、一次性告知、限时办结制度，规范服务行为。线上线下并行提供服务，编制清晰易懂办事指南，梳理惠企政策，线上利用公众号、政务服务网及时发布，线下印制二维码成册，摆放至大厅窗口，精准引导企业群众办理；按办事分类提供个性化办事清单，</w:t>
      </w:r>
      <w:r>
        <w:rPr>
          <w:rFonts w:hint="eastAsia" w:ascii="仿宋_GB2312" w:hAnsi="仿宋_GB2312" w:cs="仿宋_GB2312"/>
          <w:kern w:val="0"/>
          <w:sz w:val="32"/>
          <w:szCs w:val="32"/>
          <w:lang w:val="en-US" w:eastAsia="zh-CN" w:bidi="ar-SA"/>
        </w:rPr>
        <w:t>扫清</w:t>
      </w:r>
      <w:r>
        <w:rPr>
          <w:rFonts w:hint="eastAsia" w:ascii="仿宋_GB2312" w:hAnsi="仿宋_GB2312" w:eastAsia="仿宋_GB2312" w:cs="仿宋_GB2312"/>
          <w:kern w:val="0"/>
          <w:sz w:val="32"/>
          <w:szCs w:val="32"/>
          <w:lang w:val="en-US" w:eastAsia="zh-CN" w:bidi="ar-SA"/>
        </w:rPr>
        <w:t>企业群众办事</w:t>
      </w:r>
      <w:r>
        <w:rPr>
          <w:rFonts w:hint="eastAsia" w:ascii="仿宋_GB2312" w:hAnsi="仿宋_GB2312" w:cs="仿宋_GB2312"/>
          <w:kern w:val="0"/>
          <w:sz w:val="32"/>
          <w:szCs w:val="32"/>
          <w:lang w:val="en-US" w:eastAsia="zh-CN" w:bidi="ar-SA"/>
        </w:rPr>
        <w:t>盲区。</w:t>
      </w:r>
    </w:p>
    <w:p>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我</w:t>
      </w:r>
      <w:r>
        <w:rPr>
          <w:rFonts w:hint="eastAsia" w:ascii="仿宋_GB2312" w:hAnsi="仿宋_GB2312" w:cs="仿宋_GB2312"/>
          <w:kern w:val="0"/>
          <w:sz w:val="32"/>
          <w:szCs w:val="32"/>
          <w:lang w:val="en-US" w:eastAsia="zh-CN" w:bidi="ar-SA"/>
        </w:rPr>
        <w:t>单位</w:t>
      </w:r>
      <w:r>
        <w:rPr>
          <w:rFonts w:hint="eastAsia" w:ascii="仿宋_GB2312" w:hAnsi="仿宋_GB2312" w:eastAsia="仿宋_GB2312" w:cs="仿宋_GB2312"/>
          <w:kern w:val="0"/>
          <w:sz w:val="32"/>
          <w:szCs w:val="32"/>
          <w:lang w:val="en-US" w:eastAsia="zh-CN" w:bidi="ar-SA"/>
        </w:rPr>
        <w:t>将绩效自评结果充分运用到实际工作当中，不断提高资金使用绩效管理水平。一是及时将绩效评价结果反馈给项目</w:t>
      </w:r>
      <w:r>
        <w:rPr>
          <w:rFonts w:hint="eastAsia" w:ascii="仿宋_GB2312" w:hAnsi="仿宋_GB2312" w:cs="仿宋_GB2312"/>
          <w:kern w:val="0"/>
          <w:sz w:val="32"/>
          <w:szCs w:val="32"/>
          <w:lang w:val="en-US" w:eastAsia="zh-CN" w:bidi="ar-SA"/>
        </w:rPr>
        <w:t>股室</w:t>
      </w:r>
      <w:r>
        <w:rPr>
          <w:rFonts w:hint="eastAsia" w:ascii="仿宋_GB2312" w:hAnsi="仿宋_GB2312" w:eastAsia="仿宋_GB2312" w:cs="仿宋_GB2312"/>
          <w:kern w:val="0"/>
          <w:sz w:val="32"/>
          <w:szCs w:val="32"/>
          <w:lang w:val="en-US" w:eastAsia="zh-CN" w:bidi="ar-SA"/>
        </w:rPr>
        <w:t>，提出整改方案，落实整改措施，所有问题全部整改到位;二是将绩效评价结果应用于预算安排和改进管理;三是将绩效目标和绩效评价结果按照政府信息公开要求进行公示，加强社会公众对财政资金使用效益的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640" w:firstLineChars="2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本次绩效评价结果</w:t>
      </w:r>
      <w:r>
        <w:rPr>
          <w:rFonts w:hint="eastAsia" w:ascii="仿宋_GB2312" w:hAnsi="仿宋_GB2312" w:cs="仿宋_GB2312"/>
          <w:kern w:val="0"/>
          <w:sz w:val="32"/>
          <w:szCs w:val="32"/>
          <w:lang w:val="en-US" w:eastAsia="zh-CN" w:bidi="ar-SA"/>
        </w:rPr>
        <w:t>将</w:t>
      </w:r>
      <w:r>
        <w:rPr>
          <w:rFonts w:hint="eastAsia" w:ascii="仿宋_GB2312" w:hAnsi="仿宋_GB2312" w:eastAsia="仿宋_GB2312" w:cs="仿宋_GB2312"/>
          <w:kern w:val="0"/>
          <w:sz w:val="32"/>
          <w:szCs w:val="32"/>
          <w:lang w:val="en-US" w:eastAsia="zh-CN" w:bidi="ar-SA"/>
        </w:rPr>
        <w:t>作为下年度编制部门预算的</w:t>
      </w:r>
      <w:r>
        <w:rPr>
          <w:rFonts w:hint="eastAsia" w:ascii="仿宋_GB2312" w:hAnsi="仿宋_GB2312" w:cs="仿宋_GB2312"/>
          <w:kern w:val="0"/>
          <w:sz w:val="32"/>
          <w:szCs w:val="32"/>
          <w:lang w:val="en-US" w:eastAsia="zh-CN" w:bidi="ar-SA"/>
        </w:rPr>
        <w:t>依据，</w:t>
      </w:r>
      <w:r>
        <w:rPr>
          <w:rFonts w:hint="eastAsia" w:ascii="仿宋_GB2312" w:hAnsi="仿宋_GB2312" w:eastAsia="仿宋_GB2312" w:cs="仿宋_GB2312"/>
          <w:kern w:val="0"/>
          <w:sz w:val="32"/>
          <w:szCs w:val="32"/>
          <w:lang w:val="en-US" w:eastAsia="zh-CN" w:bidi="ar-SA"/>
        </w:rPr>
        <w:t>按相关政策及</w:t>
      </w:r>
      <w:r>
        <w:rPr>
          <w:rFonts w:hint="eastAsia" w:ascii="仿宋_GB2312" w:hAnsi="仿宋_GB2312" w:cs="仿宋_GB2312"/>
          <w:kern w:val="0"/>
          <w:sz w:val="32"/>
          <w:szCs w:val="32"/>
          <w:lang w:val="en-US" w:eastAsia="zh-CN" w:bidi="ar-SA"/>
        </w:rPr>
        <w:t>单位</w:t>
      </w:r>
      <w:r>
        <w:rPr>
          <w:rFonts w:hint="eastAsia" w:ascii="仿宋_GB2312" w:hAnsi="仿宋_GB2312" w:eastAsia="仿宋_GB2312" w:cs="仿宋_GB2312"/>
          <w:kern w:val="0"/>
          <w:sz w:val="32"/>
          <w:szCs w:val="32"/>
          <w:lang w:val="en-US" w:eastAsia="zh-CN" w:bidi="ar-SA"/>
        </w:rPr>
        <w:t>发展规划要求，结合本年度预算变化因素，规范绩效目标、绩效跟踪、绩效评价、结果应用等各项管理流程，确保预算绩效管理与预算编制、执行、监督的有效街接。</w:t>
      </w:r>
    </w:p>
    <w:p>
      <w:pPr>
        <w:pStyle w:val="5"/>
        <w:rPr>
          <w:rFonts w:hint="eastAsia"/>
          <w:lang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2"/>
        <w:ind w:left="0" w:leftChars="0" w:firstLine="0" w:firstLineChars="0"/>
        <w:rPr>
          <w:rFonts w:ascii="Times New Roman" w:hAnsi="Times New Roman" w:eastAsia="黑体"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_GBK" w:cs="Times New Roman"/>
          <w:color w:val="auto"/>
          <w:kern w:val="0"/>
          <w:sz w:val="36"/>
          <w:szCs w:val="36"/>
          <w:lang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Times New Roman" w:hAnsi="Times New Roman" w:eastAsia="方正小标宋_GBK" w:cs="Times New Roman"/>
          <w:color w:val="auto"/>
          <w:kern w:val="0"/>
          <w:sz w:val="36"/>
          <w:szCs w:val="36"/>
        </w:rPr>
      </w:pPr>
      <w:r>
        <w:rPr>
          <w:rFonts w:hint="eastAsia" w:ascii="Times New Roman" w:hAnsi="Times New Roman" w:eastAsia="方正小标宋_GBK" w:cs="Times New Roman"/>
          <w:color w:val="auto"/>
          <w:kern w:val="0"/>
          <w:sz w:val="36"/>
          <w:szCs w:val="36"/>
          <w:lang w:eastAsia="zh-CN"/>
        </w:rPr>
        <w:t>202</w:t>
      </w:r>
      <w:r>
        <w:rPr>
          <w:rFonts w:hint="eastAsia" w:ascii="Times New Roman" w:hAnsi="Times New Roman" w:eastAsia="方正小标宋_GBK" w:cs="Times New Roman"/>
          <w:color w:val="auto"/>
          <w:kern w:val="0"/>
          <w:sz w:val="36"/>
          <w:szCs w:val="36"/>
          <w:lang w:val="en-US" w:eastAsia="zh-CN"/>
        </w:rPr>
        <w:t>4</w:t>
      </w:r>
      <w:r>
        <w:rPr>
          <w:rFonts w:ascii="Times New Roman" w:hAnsi="Times New Roman" w:eastAsia="方正小标宋_GBK" w:cs="Times New Roman"/>
          <w:color w:val="auto"/>
          <w:kern w:val="0"/>
          <w:sz w:val="36"/>
          <w:szCs w:val="36"/>
        </w:rPr>
        <w:t>年度部门整体支出绩效评价基础数据表</w:t>
      </w:r>
    </w:p>
    <w:tbl>
      <w:tblPr>
        <w:tblStyle w:val="8"/>
        <w:tblpPr w:leftFromText="180" w:rightFromText="180" w:vertAnchor="text" w:horzAnchor="page" w:tblpX="1498" w:tblpY="1236"/>
        <w:tblOverlap w:val="never"/>
        <w:tblW w:w="99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16"/>
        <w:gridCol w:w="1078"/>
        <w:gridCol w:w="1016"/>
        <w:gridCol w:w="1351"/>
        <w:gridCol w:w="780"/>
        <w:gridCol w:w="786"/>
        <w:gridCol w:w="16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trPr>
        <w:tc>
          <w:tcPr>
            <w:tcW w:w="3316" w:type="dxa"/>
            <w:vMerge w:val="restart"/>
            <w:tcBorders>
              <w:top w:val="single" w:color="000000" w:sz="8"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财政供养人员情况</w:t>
            </w:r>
          </w:p>
        </w:tc>
        <w:tc>
          <w:tcPr>
            <w:tcW w:w="2094" w:type="dxa"/>
            <w:gridSpan w:val="2"/>
            <w:tcBorders>
              <w:top w:val="single" w:color="000000" w:sz="8"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编制数</w:t>
            </w:r>
          </w:p>
        </w:tc>
        <w:tc>
          <w:tcPr>
            <w:tcW w:w="2131" w:type="dxa"/>
            <w:gridSpan w:val="2"/>
            <w:tcBorders>
              <w:top w:val="single" w:color="000000" w:sz="8"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2023年实际在职人数</w:t>
            </w:r>
          </w:p>
        </w:tc>
        <w:tc>
          <w:tcPr>
            <w:tcW w:w="2408" w:type="dxa"/>
            <w:gridSpan w:val="2"/>
            <w:tcBorders>
              <w:top w:val="single" w:color="000000" w:sz="8"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控制率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4" w:hRule="atLeast"/>
        </w:trPr>
        <w:tc>
          <w:tcPr>
            <w:tcW w:w="3316" w:type="dxa"/>
            <w:vMerge w:val="continue"/>
            <w:tcBorders>
              <w:top w:val="single" w:color="000000" w:sz="8" w:space="0"/>
              <w:left w:val="single" w:color="000000" w:sz="8"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u w:val="none"/>
              </w:rPr>
            </w:pP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31</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19</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61.29%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1"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经费控制情况(万元)</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2022年决算数</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2023年预算数</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1、公务用车购置和维护经费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其中：公车购置</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公车运行维护</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2、出国经费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3、公务接待</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468.75</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588.48</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521.75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1、业务工作经费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56.34</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84.15</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72.97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2、运行维护经费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116.61</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214.13</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158.58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3、本级专项资金（一个专项一行）</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295.8</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290.2</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290.2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政务大厅打印复印费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4.8</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3.2</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运转保障</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152</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152</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网络租赁费、主机托管费及维护费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28.5</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28.5</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政务外网租赁费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36.5</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36.5</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政务大厅优化营商环境印章</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“互联网+政务服务”一体化平台聘用人员经费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36</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36</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前台受理后台分类审批综合窗口新增人员4人</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 xml:space="preserve">  政务中心工作经费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8</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4</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29.91</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12.44</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其中：办公经费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3.76</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4.8</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水费、电费、差旅费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1.75</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会议费、培训费</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1.42</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政府采购金额</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29.91</w:t>
            </w: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12.44</w:t>
            </w: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3316" w:type="dxa"/>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部门基本支出预算调整 </w:t>
            </w:r>
          </w:p>
        </w:tc>
        <w:tc>
          <w:tcPr>
            <w:tcW w:w="209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40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3" w:hRule="atLeast"/>
        </w:trPr>
        <w:tc>
          <w:tcPr>
            <w:tcW w:w="3316" w:type="dxa"/>
            <w:vMerge w:val="restart"/>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 xml:space="preserve">楼堂馆所控制情况 </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（2023年完工项目）</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 xml:space="preserve">批复规模 </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实际规模</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规模控制率</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预算投资</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（万元）</w:t>
            </w:r>
          </w:p>
        </w:tc>
        <w:tc>
          <w:tcPr>
            <w:tcW w:w="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实际投资</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（万元）</w:t>
            </w:r>
          </w:p>
        </w:tc>
        <w:tc>
          <w:tcPr>
            <w:tcW w:w="162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投资概算控制率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trPr>
        <w:tc>
          <w:tcPr>
            <w:tcW w:w="3316" w:type="dxa"/>
            <w:vMerge w:val="continue"/>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5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2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53" w:hRule="atLeast"/>
        </w:trPr>
        <w:tc>
          <w:tcPr>
            <w:tcW w:w="3316" w:type="dxa"/>
            <w:tcBorders>
              <w:top w:val="single" w:color="000000" w:sz="4" w:space="0"/>
              <w:left w:val="single" w:color="000000" w:sz="8"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厉行节约保障措施</w:t>
            </w:r>
          </w:p>
        </w:tc>
        <w:tc>
          <w:tcPr>
            <w:tcW w:w="6633" w:type="dxa"/>
            <w:gridSpan w:val="6"/>
            <w:tcBorders>
              <w:top w:val="single" w:color="000000" w:sz="4" w:space="0"/>
              <w:left w:val="single" w:color="000000" w:sz="4" w:space="0"/>
              <w:bottom w:val="single" w:color="000000" w:sz="8"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加强单位对厉行节俭的督促检查，定期公布各项费用支出情况，对浪费现象严重的及时予以通报批评;2、认真落实上级提出的有关费用实行零增长的要求，严格预算支出管理，降低行政运行成本;3、狠抓各项制度和措施的贯彻落实，对违反规定的，要依据党纪政纪和有关法律法规，严肃追究责任。</w:t>
            </w:r>
          </w:p>
        </w:tc>
      </w:tr>
    </w:tbl>
    <w:p>
      <w:pPr>
        <w:pStyle w:val="2"/>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Times New Roman" w:hAnsi="Times New Roman" w:eastAsia="仿宋_GB2312" w:cs="Times New Roman"/>
          <w:kern w:val="0"/>
          <w:sz w:val="22"/>
          <w:szCs w:val="24"/>
          <w:lang w:eastAsia="zh-CN"/>
        </w:rPr>
      </w:pPr>
      <w:r>
        <w:rPr>
          <w:rFonts w:ascii="Times New Roman" w:hAnsi="Times New Roman" w:eastAsia="仿宋_GB2312" w:cs="Times New Roman"/>
          <w:kern w:val="0"/>
          <w:sz w:val="22"/>
          <w:szCs w:val="24"/>
        </w:rPr>
        <w:t>说明：“公用经费”填报基本支出中的一般商品和服务支出。“项目支出”需要填报基本支出以外的所有项目支出情况，</w:t>
      </w:r>
      <w:r>
        <w:rPr>
          <w:rFonts w:hint="eastAsia" w:ascii="Times New Roman" w:hAnsi="Times New Roman" w:cs="Times New Roman"/>
          <w:kern w:val="0"/>
          <w:sz w:val="22"/>
          <w:szCs w:val="24"/>
          <w:lang w:eastAsia="zh-CN"/>
        </w:rPr>
        <w:t>“运行维护经费”填报项目支出中用于人员类和公用运转类的支出。</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imes New Roman" w:hAnsi="Times New Roman" w:eastAsia="黑体" w:cs="Times New Roman"/>
          <w:sz w:val="32"/>
          <w:szCs w:val="32"/>
          <w:lang w:val="en-US" w:eastAsia="zh-CN"/>
        </w:rPr>
      </w:pPr>
      <w:r>
        <w:rPr>
          <w:rFonts w:ascii="Times New Roman" w:hAnsi="Times New Roman" w:eastAsia="仿宋_GB2312" w:cs="Times New Roman"/>
          <w:kern w:val="0"/>
          <w:sz w:val="22"/>
          <w:szCs w:val="24"/>
        </w:rPr>
        <w:br w:type="page"/>
      </w: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lang w:eastAsia="zh-CN"/>
        </w:rPr>
        <w:t>202</w:t>
      </w:r>
      <w:r>
        <w:rPr>
          <w:rFonts w:hint="eastAsia" w:ascii="Times New Roman" w:hAnsi="Times New Roman" w:eastAsia="方正小标宋_GBK" w:cs="Times New Roman"/>
          <w:color w:val="000000"/>
          <w:kern w:val="0"/>
          <w:sz w:val="36"/>
          <w:szCs w:val="36"/>
          <w:lang w:val="en-US" w:eastAsia="zh-CN"/>
        </w:rPr>
        <w:t>4</w:t>
      </w:r>
      <w:r>
        <w:rPr>
          <w:rFonts w:ascii="Times New Roman" w:hAnsi="Times New Roman" w:eastAsia="方正小标宋_GBK" w:cs="Times New Roman"/>
          <w:color w:val="000000"/>
          <w:kern w:val="0"/>
          <w:sz w:val="36"/>
          <w:szCs w:val="36"/>
        </w:rPr>
        <w:t>年度部门整体支出绩效自评表</w:t>
      </w:r>
    </w:p>
    <w:tbl>
      <w:tblPr>
        <w:tblStyle w:val="8"/>
        <w:tblW w:w="9993" w:type="dxa"/>
        <w:jc w:val="center"/>
        <w:tblInd w:w="0" w:type="dxa"/>
        <w:tblLayout w:type="fixed"/>
        <w:tblCellMar>
          <w:top w:w="0" w:type="dxa"/>
          <w:left w:w="108" w:type="dxa"/>
          <w:bottom w:w="0" w:type="dxa"/>
          <w:right w:w="108" w:type="dxa"/>
        </w:tblCellMar>
      </w:tblPr>
      <w:tblGrid>
        <w:gridCol w:w="774"/>
        <w:gridCol w:w="720"/>
        <w:gridCol w:w="1035"/>
        <w:gridCol w:w="1840"/>
        <w:gridCol w:w="155"/>
        <w:gridCol w:w="990"/>
        <w:gridCol w:w="1125"/>
        <w:gridCol w:w="735"/>
        <w:gridCol w:w="795"/>
        <w:gridCol w:w="1824"/>
      </w:tblGrid>
      <w:tr>
        <w:tblPrEx>
          <w:tblLayout w:type="fixed"/>
          <w:tblCellMar>
            <w:top w:w="0" w:type="dxa"/>
            <w:left w:w="108" w:type="dxa"/>
            <w:bottom w:w="0" w:type="dxa"/>
            <w:right w:w="108" w:type="dxa"/>
          </w:tblCellMar>
        </w:tblPrEx>
        <w:trPr>
          <w:trHeight w:val="325" w:hRule="atLeast"/>
          <w:jc w:val="center"/>
        </w:trPr>
        <w:tc>
          <w:tcPr>
            <w:tcW w:w="77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预算部门</w:t>
            </w:r>
          </w:p>
        </w:tc>
        <w:tc>
          <w:tcPr>
            <w:tcW w:w="9219" w:type="dxa"/>
            <w:gridSpan w:val="9"/>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益阳市资阳区数据局</w:t>
            </w:r>
            <w:r>
              <w:rPr>
                <w:rFonts w:ascii="Times New Roman" w:hAnsi="Times New Roman" w:eastAsia="仿宋_GB2312" w:cs="Times New Roman"/>
                <w:color w:val="000000"/>
                <w:kern w:val="0"/>
                <w:sz w:val="21"/>
                <w:szCs w:val="21"/>
              </w:rPr>
              <w:t>　</w:t>
            </w:r>
          </w:p>
        </w:tc>
      </w:tr>
      <w:tr>
        <w:tblPrEx>
          <w:tblLayout w:type="fixed"/>
          <w:tblCellMar>
            <w:top w:w="0" w:type="dxa"/>
            <w:left w:w="108" w:type="dxa"/>
            <w:bottom w:w="0" w:type="dxa"/>
            <w:right w:w="108" w:type="dxa"/>
          </w:tblCellMar>
        </w:tblPrEx>
        <w:trPr>
          <w:jc w:val="center"/>
        </w:trPr>
        <w:tc>
          <w:tcPr>
            <w:tcW w:w="774"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年度预</w:t>
            </w:r>
          </w:p>
          <w:p>
            <w:pPr>
              <w:widowControl/>
              <w:spacing w:line="240" w:lineRule="exact"/>
              <w:jc w:val="center"/>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算申请</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（万元）</w:t>
            </w:r>
          </w:p>
        </w:tc>
        <w:tc>
          <w:tcPr>
            <w:tcW w:w="1755" w:type="dxa"/>
            <w:gridSpan w:val="2"/>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p>
        </w:tc>
        <w:tc>
          <w:tcPr>
            <w:tcW w:w="1840" w:type="dxa"/>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年初</w:t>
            </w:r>
          </w:p>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预算数</w:t>
            </w:r>
          </w:p>
        </w:tc>
        <w:tc>
          <w:tcPr>
            <w:tcW w:w="1145" w:type="dxa"/>
            <w:gridSpan w:val="2"/>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全年预算数</w:t>
            </w:r>
          </w:p>
        </w:tc>
        <w:tc>
          <w:tcPr>
            <w:tcW w:w="1125" w:type="dxa"/>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全年执行数</w:t>
            </w:r>
          </w:p>
        </w:tc>
        <w:tc>
          <w:tcPr>
            <w:tcW w:w="735" w:type="dxa"/>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分值</w:t>
            </w:r>
          </w:p>
        </w:tc>
        <w:tc>
          <w:tcPr>
            <w:tcW w:w="795" w:type="dxa"/>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执行率</w:t>
            </w:r>
          </w:p>
        </w:tc>
        <w:tc>
          <w:tcPr>
            <w:tcW w:w="1824" w:type="dxa"/>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得分</w:t>
            </w:r>
          </w:p>
        </w:tc>
      </w:tr>
      <w:tr>
        <w:tblPrEx>
          <w:tblLayout w:type="fixed"/>
          <w:tblCellMar>
            <w:top w:w="0" w:type="dxa"/>
            <w:left w:w="108" w:type="dxa"/>
            <w:bottom w:w="0" w:type="dxa"/>
            <w:right w:w="108" w:type="dxa"/>
          </w:tblCellMar>
        </w:tblPrEx>
        <w:trPr>
          <w:jc w:val="center"/>
        </w:trPr>
        <w:tc>
          <w:tcPr>
            <w:tcW w:w="774" w:type="dxa"/>
            <w:vMerge w:val="continue"/>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p>
        </w:tc>
        <w:tc>
          <w:tcPr>
            <w:tcW w:w="1755" w:type="dxa"/>
            <w:gridSpan w:val="2"/>
            <w:tcBorders>
              <w:top w:val="nil"/>
              <w:left w:val="nil"/>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auto"/>
                <w:sz w:val="21"/>
                <w:szCs w:val="21"/>
              </w:rPr>
            </w:pPr>
            <w:r>
              <w:rPr>
                <w:rFonts w:ascii="Times New Roman" w:hAnsi="Times New Roman" w:eastAsia="仿宋_GB2312" w:cs="Times New Roman"/>
                <w:color w:val="auto"/>
                <w:kern w:val="0"/>
                <w:sz w:val="21"/>
                <w:szCs w:val="21"/>
              </w:rPr>
              <w:t>年度资金总额</w:t>
            </w:r>
          </w:p>
        </w:tc>
        <w:tc>
          <w:tcPr>
            <w:tcW w:w="184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宋体" w:cs="Times New Roman"/>
                <w:i w:val="0"/>
                <w:iCs w:val="0"/>
                <w:color w:val="000000"/>
                <w:kern w:val="0"/>
                <w:sz w:val="18"/>
                <w:szCs w:val="18"/>
                <w:u w:val="none"/>
                <w:lang w:val="en-US" w:eastAsia="zh-CN" w:bidi="ar"/>
              </w:rPr>
              <w:t>403.61</w:t>
            </w:r>
          </w:p>
        </w:tc>
        <w:tc>
          <w:tcPr>
            <w:tcW w:w="1145"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宋体" w:cs="Times New Roman"/>
                <w:i w:val="0"/>
                <w:iCs w:val="0"/>
                <w:color w:val="000000"/>
                <w:kern w:val="0"/>
                <w:sz w:val="18"/>
                <w:szCs w:val="18"/>
                <w:u w:val="none"/>
                <w:lang w:val="en-US" w:eastAsia="zh-CN" w:bidi="ar"/>
              </w:rPr>
              <w:t>699.38</w:t>
            </w:r>
          </w:p>
        </w:tc>
        <w:tc>
          <w:tcPr>
            <w:tcW w:w="112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宋体" w:cs="Times New Roman"/>
                <w:i w:val="0"/>
                <w:iCs w:val="0"/>
                <w:color w:val="000000"/>
                <w:kern w:val="0"/>
                <w:sz w:val="18"/>
                <w:szCs w:val="18"/>
                <w:u w:val="none"/>
                <w:lang w:val="en-US" w:eastAsia="zh-CN" w:bidi="ar"/>
              </w:rPr>
              <w:t>632.66</w:t>
            </w:r>
          </w:p>
        </w:tc>
        <w:tc>
          <w:tcPr>
            <w:tcW w:w="73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imes New Roman" w:hAnsi="Times New Roman" w:eastAsia="仿宋_GB2312" w:cs="Times New Roman"/>
                <w:color w:val="auto"/>
                <w:sz w:val="21"/>
                <w:szCs w:val="21"/>
                <w:lang w:eastAsia="zh-CN"/>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宋体" w:cs="Times New Roman"/>
                <w:i w:val="0"/>
                <w:iCs w:val="0"/>
                <w:color w:val="000000"/>
                <w:kern w:val="0"/>
                <w:sz w:val="18"/>
                <w:szCs w:val="18"/>
                <w:u w:val="none"/>
                <w:lang w:val="en-US" w:eastAsia="zh-CN" w:bidi="ar"/>
              </w:rPr>
              <w:t>90.46%</w:t>
            </w:r>
          </w:p>
        </w:tc>
        <w:tc>
          <w:tcPr>
            <w:tcW w:w="182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宋体" w:cs="Times New Roman"/>
                <w:i w:val="0"/>
                <w:iCs w:val="0"/>
                <w:color w:val="000000"/>
                <w:kern w:val="0"/>
                <w:sz w:val="18"/>
                <w:szCs w:val="18"/>
                <w:u w:val="none"/>
                <w:lang w:val="en-US" w:eastAsia="zh-CN" w:bidi="ar"/>
              </w:rPr>
              <w:t>9.05</w:t>
            </w:r>
          </w:p>
        </w:tc>
      </w:tr>
      <w:tr>
        <w:tblPrEx>
          <w:tblLayout w:type="fixed"/>
          <w:tblCellMar>
            <w:top w:w="0" w:type="dxa"/>
            <w:left w:w="108" w:type="dxa"/>
            <w:bottom w:w="0" w:type="dxa"/>
            <w:right w:w="108" w:type="dxa"/>
          </w:tblCellMar>
        </w:tblPrEx>
        <w:trPr>
          <w:jc w:val="center"/>
        </w:trPr>
        <w:tc>
          <w:tcPr>
            <w:tcW w:w="774" w:type="dxa"/>
            <w:vMerge w:val="continue"/>
            <w:tcBorders>
              <w:left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4740" w:type="dxa"/>
            <w:gridSpan w:val="5"/>
            <w:tcBorders>
              <w:top w:val="nil"/>
              <w:left w:val="nil"/>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auto"/>
                <w:kern w:val="0"/>
                <w:sz w:val="21"/>
                <w:szCs w:val="21"/>
              </w:rPr>
            </w:pPr>
            <w:r>
              <w:rPr>
                <w:rFonts w:ascii="Times New Roman" w:hAnsi="Times New Roman" w:eastAsia="仿宋_GB2312" w:cs="Times New Roman"/>
                <w:color w:val="auto"/>
                <w:kern w:val="0"/>
                <w:sz w:val="21"/>
                <w:szCs w:val="21"/>
              </w:rPr>
              <w:t>按收入性质分：</w:t>
            </w:r>
          </w:p>
        </w:tc>
        <w:tc>
          <w:tcPr>
            <w:tcW w:w="447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auto"/>
                <w:kern w:val="0"/>
                <w:sz w:val="21"/>
                <w:szCs w:val="21"/>
              </w:rPr>
            </w:pPr>
            <w:r>
              <w:rPr>
                <w:rFonts w:ascii="Times New Roman" w:hAnsi="Times New Roman" w:eastAsia="仿宋_GB2312" w:cs="Times New Roman"/>
                <w:color w:val="auto"/>
                <w:kern w:val="0"/>
                <w:sz w:val="21"/>
                <w:szCs w:val="21"/>
              </w:rPr>
              <w:t>按支出性质分：</w:t>
            </w:r>
          </w:p>
        </w:tc>
      </w:tr>
      <w:tr>
        <w:tblPrEx>
          <w:tblLayout w:type="fixed"/>
          <w:tblCellMar>
            <w:top w:w="0" w:type="dxa"/>
            <w:left w:w="108" w:type="dxa"/>
            <w:bottom w:w="0" w:type="dxa"/>
            <w:right w:w="108" w:type="dxa"/>
          </w:tblCellMar>
        </w:tblPrEx>
        <w:trPr>
          <w:jc w:val="center"/>
        </w:trPr>
        <w:tc>
          <w:tcPr>
            <w:tcW w:w="774" w:type="dxa"/>
            <w:vMerge w:val="continue"/>
            <w:tcBorders>
              <w:left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4740" w:type="dxa"/>
            <w:gridSpan w:val="5"/>
            <w:tcBorders>
              <w:top w:val="nil"/>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仿宋_GB2312" w:cs="Times New Roman"/>
                <w:color w:val="auto"/>
                <w:kern w:val="0"/>
                <w:sz w:val="21"/>
                <w:szCs w:val="21"/>
                <w:lang w:val="en-US" w:eastAsia="zh-CN"/>
              </w:rPr>
            </w:pPr>
            <w:r>
              <w:rPr>
                <w:rFonts w:ascii="Times New Roman" w:hAnsi="Times New Roman" w:eastAsia="仿宋_GB2312" w:cs="Times New Roman"/>
                <w:color w:val="auto"/>
                <w:kern w:val="0"/>
                <w:sz w:val="21"/>
                <w:szCs w:val="21"/>
              </w:rPr>
              <w:t xml:space="preserve">  其中：  一般公共预算：</w:t>
            </w:r>
            <w:r>
              <w:rPr>
                <w:rFonts w:hint="eastAsia" w:ascii="Times New Roman" w:hAnsi="Times New Roman" w:cs="Times New Roman"/>
                <w:color w:val="auto"/>
                <w:kern w:val="0"/>
                <w:sz w:val="21"/>
                <w:szCs w:val="21"/>
                <w:lang w:val="en-US" w:eastAsia="zh-CN"/>
              </w:rPr>
              <w:t>632.66</w:t>
            </w:r>
          </w:p>
        </w:tc>
        <w:tc>
          <w:tcPr>
            <w:tcW w:w="447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仿宋_GB2312" w:cs="Times New Roman"/>
                <w:color w:val="auto"/>
                <w:kern w:val="0"/>
                <w:sz w:val="21"/>
                <w:szCs w:val="21"/>
                <w:lang w:val="en-US"/>
              </w:rPr>
            </w:pPr>
            <w:r>
              <w:rPr>
                <w:rFonts w:ascii="Times New Roman" w:hAnsi="Times New Roman" w:eastAsia="仿宋_GB2312" w:cs="Times New Roman"/>
                <w:color w:val="auto"/>
                <w:kern w:val="0"/>
                <w:sz w:val="21"/>
                <w:szCs w:val="21"/>
              </w:rPr>
              <w:t>其中：基本支出：</w:t>
            </w:r>
            <w:r>
              <w:rPr>
                <w:rFonts w:hint="eastAsia" w:ascii="Times New Roman" w:hAnsi="Times New Roman" w:cs="Times New Roman"/>
                <w:color w:val="auto"/>
                <w:kern w:val="0"/>
                <w:sz w:val="21"/>
                <w:szCs w:val="21"/>
                <w:lang w:val="en-US" w:eastAsia="zh-CN"/>
              </w:rPr>
              <w:t>110.91</w:t>
            </w:r>
          </w:p>
        </w:tc>
      </w:tr>
      <w:tr>
        <w:tblPrEx>
          <w:tblLayout w:type="fixed"/>
          <w:tblCellMar>
            <w:top w:w="0" w:type="dxa"/>
            <w:left w:w="108" w:type="dxa"/>
            <w:bottom w:w="0" w:type="dxa"/>
            <w:right w:w="108" w:type="dxa"/>
          </w:tblCellMar>
        </w:tblPrEx>
        <w:trPr>
          <w:jc w:val="center"/>
        </w:trPr>
        <w:tc>
          <w:tcPr>
            <w:tcW w:w="774" w:type="dxa"/>
            <w:vMerge w:val="continue"/>
            <w:tcBorders>
              <w:left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4740" w:type="dxa"/>
            <w:gridSpan w:val="5"/>
            <w:tcBorders>
              <w:top w:val="nil"/>
              <w:left w:val="nil"/>
              <w:bottom w:val="single" w:color="auto" w:sz="4" w:space="0"/>
              <w:right w:val="single" w:color="auto" w:sz="4" w:space="0"/>
            </w:tcBorders>
            <w:noWrap w:val="0"/>
            <w:vAlign w:val="center"/>
          </w:tcPr>
          <w:p>
            <w:pPr>
              <w:widowControl/>
              <w:spacing w:line="240" w:lineRule="exact"/>
              <w:ind w:firstLine="840" w:firstLineChars="400"/>
              <w:jc w:val="left"/>
              <w:rPr>
                <w:rFonts w:hint="default" w:ascii="Times New Roman" w:hAnsi="Times New Roman" w:eastAsia="仿宋_GB2312" w:cs="Times New Roman"/>
                <w:color w:val="auto"/>
                <w:kern w:val="0"/>
                <w:sz w:val="21"/>
                <w:szCs w:val="21"/>
                <w:lang w:val="en-US" w:eastAsia="zh-CN"/>
              </w:rPr>
            </w:pPr>
            <w:r>
              <w:rPr>
                <w:rFonts w:ascii="Times New Roman" w:hAnsi="Times New Roman" w:eastAsia="仿宋_GB2312" w:cs="Times New Roman"/>
                <w:color w:val="auto"/>
                <w:kern w:val="0"/>
                <w:sz w:val="21"/>
                <w:szCs w:val="21"/>
              </w:rPr>
              <w:t>政府性基金拨款：</w:t>
            </w:r>
            <w:r>
              <w:rPr>
                <w:rFonts w:hint="eastAsia" w:ascii="Times New Roman" w:hAnsi="Times New Roman" w:cs="Times New Roman"/>
                <w:color w:val="auto"/>
                <w:kern w:val="0"/>
                <w:sz w:val="21"/>
                <w:szCs w:val="21"/>
                <w:lang w:val="en-US" w:eastAsia="zh-CN"/>
              </w:rPr>
              <w:t>0.00</w:t>
            </w:r>
          </w:p>
        </w:tc>
        <w:tc>
          <w:tcPr>
            <w:tcW w:w="4479" w:type="dxa"/>
            <w:gridSpan w:val="4"/>
            <w:tcBorders>
              <w:top w:val="nil"/>
              <w:left w:val="nil"/>
              <w:bottom w:val="single" w:color="auto" w:sz="4" w:space="0"/>
              <w:right w:val="single" w:color="auto" w:sz="4" w:space="0"/>
            </w:tcBorders>
            <w:noWrap w:val="0"/>
            <w:vAlign w:val="center"/>
          </w:tcPr>
          <w:p>
            <w:pPr>
              <w:widowControl/>
              <w:spacing w:line="240" w:lineRule="exact"/>
              <w:ind w:firstLine="630" w:firstLineChars="300"/>
              <w:jc w:val="left"/>
              <w:rPr>
                <w:rFonts w:hint="default" w:ascii="Times New Roman" w:hAnsi="Times New Roman" w:eastAsia="仿宋_GB2312" w:cs="Times New Roman"/>
                <w:color w:val="auto"/>
                <w:kern w:val="0"/>
                <w:sz w:val="21"/>
                <w:szCs w:val="21"/>
                <w:lang w:val="en-US"/>
              </w:rPr>
            </w:pPr>
            <w:r>
              <w:rPr>
                <w:rFonts w:ascii="Times New Roman" w:hAnsi="Times New Roman" w:eastAsia="仿宋_GB2312" w:cs="Times New Roman"/>
                <w:color w:val="auto"/>
                <w:kern w:val="0"/>
                <w:sz w:val="21"/>
                <w:szCs w:val="21"/>
              </w:rPr>
              <w:t>项目支出：</w:t>
            </w:r>
            <w:r>
              <w:rPr>
                <w:rFonts w:hint="eastAsia" w:ascii="Times New Roman" w:hAnsi="Times New Roman" w:cs="Times New Roman"/>
                <w:color w:val="auto"/>
                <w:kern w:val="0"/>
                <w:sz w:val="21"/>
                <w:szCs w:val="21"/>
                <w:lang w:val="en-US" w:eastAsia="zh-CN"/>
              </w:rPr>
              <w:t>521.75</w:t>
            </w:r>
          </w:p>
        </w:tc>
      </w:tr>
      <w:tr>
        <w:tblPrEx>
          <w:tblLayout w:type="fixed"/>
          <w:tblCellMar>
            <w:top w:w="0" w:type="dxa"/>
            <w:left w:w="108" w:type="dxa"/>
            <w:bottom w:w="0" w:type="dxa"/>
            <w:right w:w="108" w:type="dxa"/>
          </w:tblCellMar>
        </w:tblPrEx>
        <w:trPr>
          <w:jc w:val="center"/>
        </w:trPr>
        <w:tc>
          <w:tcPr>
            <w:tcW w:w="774" w:type="dxa"/>
            <w:vMerge w:val="continue"/>
            <w:tcBorders>
              <w:left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4740" w:type="dxa"/>
            <w:gridSpan w:val="5"/>
            <w:tcBorders>
              <w:top w:val="nil"/>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仿宋_GB2312" w:cs="Times New Roman"/>
                <w:color w:val="auto"/>
                <w:kern w:val="0"/>
                <w:sz w:val="21"/>
                <w:szCs w:val="21"/>
                <w:lang w:val="en-US" w:eastAsia="zh-CN"/>
              </w:rPr>
            </w:pPr>
            <w:r>
              <w:rPr>
                <w:rFonts w:ascii="Times New Roman" w:hAnsi="Times New Roman" w:eastAsia="仿宋_GB2312" w:cs="Times New Roman"/>
                <w:color w:val="auto"/>
                <w:kern w:val="0"/>
                <w:sz w:val="21"/>
                <w:szCs w:val="21"/>
              </w:rPr>
              <w:t>纳入专户管理的非税收入拨款：</w:t>
            </w:r>
            <w:r>
              <w:rPr>
                <w:rFonts w:hint="eastAsia" w:ascii="Times New Roman" w:hAnsi="Times New Roman" w:cs="Times New Roman"/>
                <w:color w:val="auto"/>
                <w:kern w:val="0"/>
                <w:sz w:val="21"/>
                <w:szCs w:val="21"/>
                <w:lang w:val="en-US" w:eastAsia="zh-CN"/>
              </w:rPr>
              <w:t>0.00</w:t>
            </w:r>
          </w:p>
        </w:tc>
        <w:tc>
          <w:tcPr>
            <w:tcW w:w="447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auto"/>
                <w:kern w:val="0"/>
                <w:sz w:val="21"/>
                <w:szCs w:val="21"/>
              </w:rPr>
            </w:pPr>
          </w:p>
        </w:tc>
      </w:tr>
      <w:tr>
        <w:tblPrEx>
          <w:tblLayout w:type="fixed"/>
          <w:tblCellMar>
            <w:top w:w="0" w:type="dxa"/>
            <w:left w:w="108" w:type="dxa"/>
            <w:bottom w:w="0" w:type="dxa"/>
            <w:right w:w="108" w:type="dxa"/>
          </w:tblCellMar>
        </w:tblPrEx>
        <w:trPr>
          <w:jc w:val="center"/>
        </w:trPr>
        <w:tc>
          <w:tcPr>
            <w:tcW w:w="77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4740" w:type="dxa"/>
            <w:gridSpan w:val="5"/>
            <w:tcBorders>
              <w:top w:val="nil"/>
              <w:left w:val="nil"/>
              <w:bottom w:val="single" w:color="auto" w:sz="4" w:space="0"/>
              <w:right w:val="single" w:color="auto" w:sz="4" w:space="0"/>
            </w:tcBorders>
            <w:noWrap w:val="0"/>
            <w:vAlign w:val="center"/>
          </w:tcPr>
          <w:p>
            <w:pPr>
              <w:widowControl/>
              <w:spacing w:line="240" w:lineRule="exact"/>
              <w:ind w:firstLine="1470" w:firstLineChars="700"/>
              <w:jc w:val="left"/>
              <w:rPr>
                <w:rFonts w:hint="default" w:ascii="Times New Roman" w:hAnsi="Times New Roman" w:eastAsia="仿宋_GB2312" w:cs="Times New Roman"/>
                <w:color w:val="auto"/>
                <w:kern w:val="0"/>
                <w:sz w:val="21"/>
                <w:szCs w:val="21"/>
                <w:lang w:val="en-US" w:eastAsia="zh-CN"/>
              </w:rPr>
            </w:pPr>
            <w:r>
              <w:rPr>
                <w:rFonts w:ascii="Times New Roman" w:hAnsi="Times New Roman" w:eastAsia="仿宋_GB2312" w:cs="Times New Roman"/>
                <w:color w:val="auto"/>
                <w:kern w:val="0"/>
                <w:sz w:val="21"/>
                <w:szCs w:val="21"/>
              </w:rPr>
              <w:t>其他资金：</w:t>
            </w:r>
            <w:r>
              <w:rPr>
                <w:rFonts w:hint="eastAsia" w:ascii="Times New Roman" w:hAnsi="Times New Roman" w:cs="Times New Roman"/>
                <w:color w:val="auto"/>
                <w:kern w:val="0"/>
                <w:sz w:val="21"/>
                <w:szCs w:val="21"/>
                <w:lang w:val="en-US" w:eastAsia="zh-CN"/>
              </w:rPr>
              <w:t>0.00</w:t>
            </w:r>
          </w:p>
        </w:tc>
        <w:tc>
          <w:tcPr>
            <w:tcW w:w="447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auto"/>
                <w:kern w:val="0"/>
                <w:sz w:val="21"/>
                <w:szCs w:val="21"/>
              </w:rPr>
            </w:pPr>
          </w:p>
        </w:tc>
      </w:tr>
      <w:tr>
        <w:tblPrEx>
          <w:tblLayout w:type="fixed"/>
          <w:tblCellMar>
            <w:top w:w="0" w:type="dxa"/>
            <w:left w:w="108" w:type="dxa"/>
            <w:bottom w:w="0" w:type="dxa"/>
            <w:right w:w="108" w:type="dxa"/>
          </w:tblCellMar>
        </w:tblPrEx>
        <w:trPr>
          <w:jc w:val="center"/>
        </w:trPr>
        <w:tc>
          <w:tcPr>
            <w:tcW w:w="7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年度总体目标</w:t>
            </w:r>
          </w:p>
        </w:tc>
        <w:tc>
          <w:tcPr>
            <w:tcW w:w="4740"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预期目标</w:t>
            </w:r>
          </w:p>
        </w:tc>
        <w:tc>
          <w:tcPr>
            <w:tcW w:w="4479"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实际完成情况　</w:t>
            </w:r>
          </w:p>
        </w:tc>
      </w:tr>
      <w:tr>
        <w:tblPrEx>
          <w:tblLayout w:type="fixed"/>
          <w:tblCellMar>
            <w:top w:w="0" w:type="dxa"/>
            <w:left w:w="108" w:type="dxa"/>
            <w:bottom w:w="0" w:type="dxa"/>
            <w:right w:w="108" w:type="dxa"/>
          </w:tblCellMar>
        </w:tblPrEx>
        <w:trPr>
          <w:trHeight w:val="1535"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4740"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1.保障政务外网网络通畅、主机运行正常、维护有序</w:t>
            </w:r>
          </w:p>
          <w:p>
            <w:pPr>
              <w:widowControl/>
              <w:spacing w:line="240" w:lineRule="exact"/>
              <w:jc w:val="both"/>
              <w:rPr>
                <w:rFonts w:hint="eastAsia"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2.保障政务服务各项工作按时、按质、按量开展</w:t>
            </w:r>
          </w:p>
          <w:p>
            <w:pPr>
              <w:widowControl/>
              <w:spacing w:line="240" w:lineRule="exact"/>
              <w:jc w:val="both"/>
              <w:rPr>
                <w:rFonts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3.保障中心</w:t>
            </w:r>
            <w:r>
              <w:rPr>
                <w:rFonts w:hint="eastAsia" w:ascii="Times New Roman" w:hAnsi="Times New Roman" w:cs="Times New Roman"/>
                <w:color w:val="000000"/>
                <w:kern w:val="0"/>
                <w:sz w:val="18"/>
                <w:szCs w:val="18"/>
                <w:lang w:val="en-US" w:eastAsia="zh-CN"/>
              </w:rPr>
              <w:t>人员</w:t>
            </w:r>
            <w:r>
              <w:rPr>
                <w:rFonts w:hint="eastAsia" w:ascii="Times New Roman" w:hAnsi="Times New Roman" w:eastAsia="仿宋_GB2312" w:cs="Times New Roman"/>
                <w:color w:val="000000"/>
                <w:kern w:val="0"/>
                <w:sz w:val="18"/>
                <w:szCs w:val="18"/>
              </w:rPr>
              <w:t>工资按时发放</w:t>
            </w:r>
          </w:p>
        </w:tc>
        <w:tc>
          <w:tcPr>
            <w:tcW w:w="4479"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1.政务外网正常运行，无网络瘫痪情况</w:t>
            </w:r>
          </w:p>
          <w:p>
            <w:pPr>
              <w:widowControl/>
              <w:spacing w:line="240" w:lineRule="exact"/>
              <w:jc w:val="both"/>
              <w:rPr>
                <w:rFonts w:hint="eastAsia"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2.政务服务中心正常运转，政务服务工作按时完成</w:t>
            </w:r>
          </w:p>
          <w:p>
            <w:pPr>
              <w:widowControl/>
              <w:spacing w:line="240" w:lineRule="exact"/>
              <w:jc w:val="both"/>
              <w:rPr>
                <w:rFonts w:hint="eastAsia" w:eastAsia="仿宋_GB2312"/>
                <w:lang w:val="en-US" w:eastAsia="zh-CN"/>
              </w:rPr>
            </w:pPr>
            <w:r>
              <w:rPr>
                <w:rFonts w:hint="eastAsia" w:ascii="Times New Roman" w:hAnsi="Times New Roman" w:eastAsia="仿宋_GB2312" w:cs="Times New Roman"/>
                <w:color w:val="000000"/>
                <w:kern w:val="0"/>
                <w:sz w:val="18"/>
                <w:szCs w:val="18"/>
              </w:rPr>
              <w:t>3.中心</w:t>
            </w:r>
            <w:r>
              <w:rPr>
                <w:rFonts w:hint="eastAsia" w:ascii="Times New Roman" w:hAnsi="Times New Roman" w:cs="Times New Roman"/>
                <w:color w:val="000000"/>
                <w:kern w:val="0"/>
                <w:sz w:val="18"/>
                <w:szCs w:val="18"/>
                <w:lang w:val="en-US" w:eastAsia="zh-CN"/>
              </w:rPr>
              <w:t>人员</w:t>
            </w:r>
            <w:r>
              <w:rPr>
                <w:rFonts w:hint="eastAsia" w:ascii="Times New Roman" w:hAnsi="Times New Roman" w:eastAsia="仿宋_GB2312" w:cs="Times New Roman"/>
                <w:color w:val="000000"/>
                <w:kern w:val="0"/>
                <w:sz w:val="18"/>
                <w:szCs w:val="18"/>
              </w:rPr>
              <w:t>工资正常发放，无拖欠情况</w:t>
            </w:r>
          </w:p>
        </w:tc>
      </w:tr>
      <w:tr>
        <w:tblPrEx>
          <w:tblLayout w:type="fixed"/>
          <w:tblCellMar>
            <w:top w:w="0" w:type="dxa"/>
            <w:left w:w="108" w:type="dxa"/>
            <w:bottom w:w="0" w:type="dxa"/>
            <w:right w:w="108" w:type="dxa"/>
          </w:tblCellMar>
        </w:tblPrEx>
        <w:trPr>
          <w:jc w:val="center"/>
        </w:trPr>
        <w:tc>
          <w:tcPr>
            <w:tcW w:w="7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绩</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标</w:t>
            </w:r>
          </w:p>
          <w:p>
            <w:pPr>
              <w:widowControl/>
              <w:spacing w:line="240" w:lineRule="exact"/>
              <w:jc w:val="center"/>
              <w:rPr>
                <w:rFonts w:ascii="Times New Roman" w:hAnsi="Times New Roman" w:eastAsia="仿宋_GB2312" w:cs="Times New Roman"/>
                <w:color w:val="000000"/>
                <w:kern w:val="0"/>
                <w:sz w:val="21"/>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一级指标</w:t>
            </w: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二级指标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三级指标</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指标值</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完成值</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分值</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得分</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偏差原因</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分析及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改进措施</w:t>
            </w:r>
          </w:p>
        </w:tc>
      </w:tr>
      <w:tr>
        <w:tblPrEx>
          <w:tblLayout w:type="fixed"/>
          <w:tblCellMar>
            <w:top w:w="0" w:type="dxa"/>
            <w:left w:w="108" w:type="dxa"/>
            <w:bottom w:w="0" w:type="dxa"/>
            <w:right w:w="108" w:type="dxa"/>
          </w:tblCellMar>
        </w:tblPrEx>
        <w:trPr>
          <w:trHeight w:val="358"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产出指标</w:t>
            </w:r>
          </w:p>
          <w:p>
            <w:pPr>
              <w:widowControl/>
              <w:spacing w:line="240" w:lineRule="exact"/>
              <w:jc w:val="center"/>
              <w:rPr>
                <w:rFonts w:ascii="Times New Roman" w:hAnsi="Times New Roman" w:eastAsia="仿宋_GB2312" w:cs="Times New Roman"/>
                <w:color w:val="000000"/>
                <w:kern w:val="0"/>
                <w:sz w:val="21"/>
                <w:szCs w:val="21"/>
              </w:rPr>
            </w:pP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(50分)</w:t>
            </w:r>
          </w:p>
        </w:tc>
        <w:tc>
          <w:tcPr>
            <w:tcW w:w="103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数量</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政务大厅办结事件数</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5000</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5000</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r>
      <w:tr>
        <w:tblPrEx>
          <w:tblLayout w:type="fixed"/>
          <w:tblCellMar>
            <w:top w:w="0" w:type="dxa"/>
            <w:left w:w="108" w:type="dxa"/>
            <w:bottom w:w="0" w:type="dxa"/>
            <w:right w:w="108" w:type="dxa"/>
          </w:tblCellMar>
        </w:tblPrEx>
        <w:trPr>
          <w:trHeight w:val="439"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000000"/>
                <w:kern w:val="0"/>
                <w:sz w:val="21"/>
                <w:szCs w:val="21"/>
              </w:rPr>
            </w:pP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完成区级任务</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12</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12</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r>
      <w:tr>
        <w:tblPrEx>
          <w:tblLayout w:type="fixed"/>
          <w:tblCellMar>
            <w:top w:w="0" w:type="dxa"/>
            <w:left w:w="108" w:type="dxa"/>
            <w:bottom w:w="0" w:type="dxa"/>
            <w:right w:w="108" w:type="dxa"/>
          </w:tblCellMar>
        </w:tblPrEx>
        <w:trPr>
          <w:trHeight w:val="423"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103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质量</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政务外网通畅率</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95%</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rPr>
            </w:pPr>
            <w:r>
              <w:rPr>
                <w:rFonts w:hint="eastAsia" w:ascii="Times New Roman" w:hAnsi="Times New Roman" w:cs="Times New Roman"/>
                <w:color w:val="000000"/>
                <w:kern w:val="0"/>
                <w:sz w:val="18"/>
                <w:szCs w:val="18"/>
                <w:lang w:val="en-US" w:eastAsia="zh-CN"/>
              </w:rPr>
              <w:t>95%</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r>
      <w:tr>
        <w:tblPrEx>
          <w:tblLayout w:type="fixed"/>
          <w:tblCellMar>
            <w:top w:w="0" w:type="dxa"/>
            <w:left w:w="108" w:type="dxa"/>
            <w:bottom w:w="0" w:type="dxa"/>
            <w:right w:w="108" w:type="dxa"/>
          </w:tblCellMar>
        </w:tblPrEx>
        <w:trPr>
          <w:trHeight w:val="404"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Times New Roman" w:hAnsi="Times New Roman" w:eastAsia="仿宋_GB2312" w:cs="Times New Roman"/>
                <w:color w:val="000000"/>
                <w:kern w:val="0"/>
                <w:sz w:val="21"/>
                <w:szCs w:val="21"/>
              </w:rPr>
            </w:pP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群众业务办结率</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95%</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95%</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Times New Roman" w:hAnsi="Times New Roman" w:eastAsia="仿宋_GB2312" w:cs="Times New Roman"/>
                <w:color w:val="000000"/>
                <w:kern w:val="0"/>
                <w:sz w:val="18"/>
                <w:szCs w:val="18"/>
                <w:lang w:eastAsia="zh-CN"/>
              </w:rPr>
            </w:pPr>
          </w:p>
        </w:tc>
      </w:tr>
      <w:tr>
        <w:tblPrEx>
          <w:tblLayout w:type="fixed"/>
          <w:tblCellMar>
            <w:top w:w="0" w:type="dxa"/>
            <w:left w:w="108" w:type="dxa"/>
            <w:bottom w:w="0" w:type="dxa"/>
            <w:right w:w="108" w:type="dxa"/>
          </w:tblCellMar>
        </w:tblPrEx>
        <w:trPr>
          <w:trHeight w:val="579"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1035"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时效</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w:t>
            </w:r>
          </w:p>
        </w:tc>
        <w:tc>
          <w:tcPr>
            <w:tcW w:w="1995"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各项目完成时间</w:t>
            </w:r>
          </w:p>
        </w:tc>
        <w:tc>
          <w:tcPr>
            <w:tcW w:w="990"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2024年1月1日至2024年12月31日</w:t>
            </w:r>
          </w:p>
        </w:tc>
        <w:tc>
          <w:tcPr>
            <w:tcW w:w="112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2024年1月1日至2024年12月31日</w:t>
            </w:r>
          </w:p>
        </w:tc>
        <w:tc>
          <w:tcPr>
            <w:tcW w:w="73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Times New Roman" w:hAnsi="Times New Roman" w:eastAsia="仿宋_GB2312" w:cs="Times New Roman"/>
                <w:color w:val="000000"/>
                <w:kern w:val="0"/>
                <w:sz w:val="18"/>
                <w:szCs w:val="18"/>
                <w:lang w:eastAsia="zh-CN"/>
              </w:rPr>
            </w:pPr>
          </w:p>
        </w:tc>
      </w:tr>
      <w:tr>
        <w:tblPrEx>
          <w:tblLayout w:type="fixed"/>
          <w:tblCellMar>
            <w:top w:w="0" w:type="dxa"/>
            <w:left w:w="108" w:type="dxa"/>
            <w:bottom w:w="0" w:type="dxa"/>
            <w:right w:w="108" w:type="dxa"/>
          </w:tblCellMar>
        </w:tblPrEx>
        <w:trPr>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效益指标</w:t>
            </w:r>
          </w:p>
          <w:p>
            <w:pPr>
              <w:widowControl/>
              <w:spacing w:line="240" w:lineRule="exact"/>
              <w:jc w:val="left"/>
              <w:rPr>
                <w:rFonts w:ascii="Times New Roman" w:hAnsi="Times New Roman" w:eastAsia="仿宋_GB2312" w:cs="Times New Roman"/>
                <w:color w:val="000000"/>
                <w:kern w:val="0"/>
                <w:sz w:val="21"/>
                <w:szCs w:val="21"/>
              </w:rPr>
            </w:pPr>
          </w:p>
          <w:p>
            <w:pPr>
              <w:widowControl/>
              <w:spacing w:line="240" w:lineRule="exact"/>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4</w:t>
            </w:r>
            <w:r>
              <w:rPr>
                <w:rFonts w:ascii="Times New Roman" w:hAnsi="Times New Roman" w:eastAsia="仿宋_GB2312" w:cs="Times New Roman"/>
                <w:color w:val="000000"/>
                <w:kern w:val="0"/>
                <w:sz w:val="21"/>
                <w:szCs w:val="21"/>
              </w:rPr>
              <w:t>0分）</w:t>
            </w:r>
          </w:p>
          <w:p>
            <w:pPr>
              <w:widowControl/>
              <w:spacing w:line="240" w:lineRule="exact"/>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p>
            <w:pPr>
              <w:widowControl/>
              <w:spacing w:line="240" w:lineRule="exact"/>
              <w:jc w:val="center"/>
              <w:rPr>
                <w:rFonts w:ascii="Times New Roman" w:hAnsi="Times New Roman" w:eastAsia="仿宋_GB2312" w:cs="Times New Roman"/>
                <w:color w:val="000000"/>
                <w:kern w:val="0"/>
                <w:sz w:val="21"/>
                <w:szCs w:val="21"/>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经济</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优化营商环境，切实深化“放管服”改革</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bidi="ar-SA"/>
              </w:rPr>
            </w:pPr>
            <w:r>
              <w:rPr>
                <w:rFonts w:hint="eastAsia" w:ascii="Times New Roman" w:hAnsi="Times New Roman" w:cs="Times New Roman"/>
                <w:color w:val="000000"/>
                <w:kern w:val="0"/>
                <w:sz w:val="18"/>
                <w:szCs w:val="18"/>
                <w:lang w:val="en-US" w:eastAsia="zh-CN"/>
              </w:rPr>
              <w:t>基本达成目标</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lang w:val="en-US" w:eastAsia="zh-CN" w:bidi="ar-SA"/>
              </w:rPr>
            </w:pPr>
            <w:r>
              <w:rPr>
                <w:rFonts w:hint="eastAsia" w:ascii="Times New Roman" w:hAnsi="Times New Roman" w:cs="Times New Roman"/>
                <w:color w:val="000000"/>
                <w:kern w:val="0"/>
                <w:sz w:val="18"/>
                <w:szCs w:val="18"/>
                <w:lang w:val="en-US" w:eastAsia="zh-CN"/>
              </w:rPr>
              <w:t>基本达成目标</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bidi="ar-SA"/>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bidi="ar-SA"/>
              </w:rPr>
            </w:pPr>
            <w:r>
              <w:rPr>
                <w:rFonts w:hint="eastAsia" w:ascii="Times New Roman" w:hAnsi="Times New Roman" w:cs="Times New Roman"/>
                <w:color w:val="000000"/>
                <w:kern w:val="0"/>
                <w:sz w:val="18"/>
                <w:szCs w:val="18"/>
                <w:lang w:val="en-US" w:eastAsia="zh-CN"/>
              </w:rPr>
              <w:t>9</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惠企政策告知不明确，办事指南不够清晰。改进措施为线上线下并行提供服务，编制清晰易懂办事指南，梳理惠企政策，线上利用公众号、政务服务网及时发布，线下印制二维码成册，摆放至大厅窗口，精准引导企业群众办理；</w:t>
            </w:r>
          </w:p>
          <w:p>
            <w:pPr>
              <w:widowControl/>
              <w:spacing w:line="240" w:lineRule="exact"/>
              <w:jc w:val="left"/>
              <w:rPr>
                <w:rFonts w:ascii="Times New Roman" w:hAnsi="Times New Roman" w:eastAsia="仿宋_GB2312" w:cs="Times New Roman"/>
                <w:color w:val="000000"/>
                <w:kern w:val="0"/>
                <w:sz w:val="18"/>
                <w:szCs w:val="18"/>
              </w:rPr>
            </w:pPr>
          </w:p>
        </w:tc>
      </w:tr>
      <w:tr>
        <w:tblPrEx>
          <w:tblLayout w:type="fixed"/>
          <w:tblCellMar>
            <w:top w:w="0" w:type="dxa"/>
            <w:left w:w="108" w:type="dxa"/>
            <w:bottom w:w="0" w:type="dxa"/>
            <w:right w:w="108" w:type="dxa"/>
          </w:tblCellMar>
        </w:tblPrEx>
        <w:trPr>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社会</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提升企业和群众的获得感、幸福感和满意度，助力全市各类市场主体高质量发展</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基本达成目标</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val="en-US" w:eastAsia="zh-CN"/>
              </w:rPr>
              <w:t>基本达成目标</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9</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企业群众办事有时需要多跑，政务大厅办事流程透明度、一次办成率需要提升。改进措施为严格落实首问责任制、一次性告知、限时办结制度，规范服务行为。</w:t>
            </w:r>
          </w:p>
          <w:p>
            <w:pPr>
              <w:widowControl/>
              <w:spacing w:line="240" w:lineRule="exact"/>
              <w:jc w:val="left"/>
              <w:rPr>
                <w:rFonts w:ascii="Times New Roman" w:hAnsi="Times New Roman" w:eastAsia="仿宋_GB2312" w:cs="Times New Roman"/>
                <w:color w:val="000000"/>
                <w:kern w:val="0"/>
                <w:sz w:val="18"/>
                <w:szCs w:val="18"/>
              </w:rPr>
            </w:pPr>
            <w:bookmarkStart w:id="0" w:name="_GoBack"/>
            <w:bookmarkEnd w:id="0"/>
          </w:p>
        </w:tc>
      </w:tr>
      <w:tr>
        <w:tblPrEx>
          <w:tblLayout w:type="fixed"/>
          <w:tblCellMar>
            <w:top w:w="0" w:type="dxa"/>
            <w:left w:w="108" w:type="dxa"/>
            <w:bottom w:w="0" w:type="dxa"/>
            <w:right w:w="108" w:type="dxa"/>
          </w:tblCellMar>
        </w:tblPrEx>
        <w:trPr>
          <w:trHeight w:val="410"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生态</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无</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r>
      <w:tr>
        <w:tblPrEx>
          <w:tblLayout w:type="fixed"/>
          <w:tblCellMar>
            <w:top w:w="0" w:type="dxa"/>
            <w:left w:w="108" w:type="dxa"/>
            <w:bottom w:w="0" w:type="dxa"/>
            <w:right w:w="108" w:type="dxa"/>
          </w:tblCellMar>
        </w:tblPrEx>
        <w:trPr>
          <w:trHeight w:val="480"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可持续影响指标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可持续影响率</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95%</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rPr>
            </w:pPr>
            <w:r>
              <w:rPr>
                <w:rFonts w:hint="eastAsia" w:ascii="Times New Roman" w:hAnsi="Times New Roman" w:cs="Times New Roman"/>
                <w:color w:val="000000"/>
                <w:kern w:val="0"/>
                <w:sz w:val="18"/>
                <w:szCs w:val="18"/>
                <w:lang w:val="en-US" w:eastAsia="zh-CN"/>
              </w:rPr>
              <w:t>95%</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r>
      <w:tr>
        <w:tblPrEx>
          <w:tblLayout w:type="fixed"/>
          <w:tblCellMar>
            <w:top w:w="0" w:type="dxa"/>
            <w:left w:w="108" w:type="dxa"/>
            <w:bottom w:w="0" w:type="dxa"/>
            <w:right w:w="108" w:type="dxa"/>
          </w:tblCellMar>
        </w:tblPrEx>
        <w:trPr>
          <w:trHeight w:val="480"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Times New Roman" w:hAnsi="Times New Roman" w:eastAsia="仿宋_GB2312" w:cs="Times New Roman"/>
                <w:color w:val="000000"/>
                <w:kern w:val="0"/>
                <w:sz w:val="21"/>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服务对象满意度指标</w:t>
            </w:r>
          </w:p>
        </w:tc>
        <w:tc>
          <w:tcPr>
            <w:tcW w:w="19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18"/>
                <w:szCs w:val="18"/>
                <w:lang w:eastAsia="zh-CN"/>
              </w:rPr>
            </w:pPr>
            <w:r>
              <w:rPr>
                <w:rFonts w:hint="eastAsia" w:ascii="Times New Roman" w:hAnsi="Times New Roman" w:cs="Times New Roman"/>
                <w:color w:val="000000"/>
                <w:kern w:val="0"/>
                <w:sz w:val="18"/>
                <w:szCs w:val="18"/>
                <w:lang w:eastAsia="zh-CN"/>
              </w:rPr>
              <w:t>社会群众、干部职工满意度</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9</w:t>
            </w:r>
            <w:r>
              <w:rPr>
                <w:rFonts w:hint="eastAsia" w:ascii="Times New Roman" w:hAnsi="Times New Roman" w:cs="Times New Roman"/>
                <w:color w:val="000000"/>
                <w:kern w:val="0"/>
                <w:sz w:val="18"/>
                <w:szCs w:val="18"/>
                <w:lang w:val="en-US" w:eastAsia="zh-CN"/>
              </w:rPr>
              <w:t>5</w:t>
            </w:r>
            <w:r>
              <w:rPr>
                <w:rFonts w:hint="eastAsia" w:ascii="Times New Roman" w:hAnsi="Times New Roman" w:eastAsia="仿宋_GB2312" w:cs="Times New Roman"/>
                <w:color w:val="000000"/>
                <w:kern w:val="0"/>
                <w:sz w:val="18"/>
                <w:szCs w:val="18"/>
              </w:rPr>
              <w:t>%</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18"/>
                <w:szCs w:val="18"/>
              </w:rPr>
              <w:t>9</w:t>
            </w:r>
            <w:r>
              <w:rPr>
                <w:rFonts w:hint="eastAsia" w:ascii="Times New Roman" w:hAnsi="Times New Roman" w:cs="Times New Roman"/>
                <w:color w:val="000000"/>
                <w:kern w:val="0"/>
                <w:sz w:val="18"/>
                <w:szCs w:val="18"/>
                <w:lang w:val="en-US" w:eastAsia="zh-CN"/>
              </w:rPr>
              <w:t>5</w:t>
            </w:r>
            <w:r>
              <w:rPr>
                <w:rFonts w:hint="eastAsia" w:ascii="Times New Roman" w:hAnsi="Times New Roman" w:eastAsia="仿宋_GB2312" w:cs="Times New Roman"/>
                <w:color w:val="000000"/>
                <w:kern w:val="0"/>
                <w:sz w:val="18"/>
                <w:szCs w:val="18"/>
              </w:rPr>
              <w:t>%</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r>
      <w:tr>
        <w:tblPrEx>
          <w:tblLayout w:type="fixed"/>
          <w:tblCellMar>
            <w:top w:w="0" w:type="dxa"/>
            <w:left w:w="108" w:type="dxa"/>
            <w:bottom w:w="0" w:type="dxa"/>
            <w:right w:w="108" w:type="dxa"/>
          </w:tblCellMar>
        </w:tblPrEx>
        <w:trPr>
          <w:trHeight w:val="270" w:hRule="atLeast"/>
          <w:jc w:val="center"/>
        </w:trPr>
        <w:tc>
          <w:tcPr>
            <w:tcW w:w="663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总分</w:t>
            </w:r>
          </w:p>
        </w:tc>
        <w:tc>
          <w:tcPr>
            <w:tcW w:w="7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100</w:t>
            </w:r>
          </w:p>
        </w:tc>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97.05</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bl>
    <w:p>
      <w:pPr>
        <w:pStyle w:val="5"/>
        <w:rPr>
          <w:rFonts w:hint="eastAsia" w:ascii="仿宋_GB2312" w:hAnsi="仿宋_GB2312" w:eastAsia="仿宋_GB2312" w:cs="仿宋_GB2312"/>
          <w:kern w:val="0"/>
          <w:sz w:val="32"/>
          <w:szCs w:val="32"/>
          <w:lang w:val="en-US" w:eastAsia="zh-CN" w:bidi="ar-SA"/>
        </w:rPr>
      </w:pPr>
    </w:p>
    <w:p>
      <w:pPr>
        <w:pStyle w:val="5"/>
        <w:rPr>
          <w:rFonts w:hint="eastAsia" w:ascii="仿宋_GB2312" w:hAnsi="仿宋_GB2312" w:eastAsia="仿宋_GB2312" w:cs="仿宋_GB2312"/>
          <w:kern w:val="0"/>
          <w:sz w:val="32"/>
          <w:szCs w:val="32"/>
          <w:lang w:val="en-US" w:eastAsia="zh-CN" w:bidi="ar-SA"/>
        </w:rPr>
      </w:pPr>
    </w:p>
    <w:p>
      <w:pPr>
        <w:pStyle w:val="5"/>
        <w:rPr>
          <w:rFonts w:hint="eastAsia" w:ascii="仿宋_GB2312" w:hAnsi="仿宋_GB2312" w:eastAsia="仿宋_GB2312" w:cs="仿宋_GB2312"/>
          <w:kern w:val="0"/>
          <w:sz w:val="32"/>
          <w:szCs w:val="32"/>
          <w:lang w:val="en-US" w:eastAsia="zh-CN" w:bidi="ar-SA"/>
        </w:rPr>
      </w:pPr>
    </w:p>
    <w:p>
      <w:pPr>
        <w:pStyle w:val="5"/>
        <w:rPr>
          <w:rFonts w:hint="eastAsia" w:ascii="仿宋_GB2312" w:hAnsi="仿宋_GB2312" w:eastAsia="仿宋_GB2312" w:cs="仿宋_GB2312"/>
          <w:kern w:val="0"/>
          <w:sz w:val="32"/>
          <w:szCs w:val="32"/>
          <w:lang w:val="en-US" w:eastAsia="zh-CN" w:bidi="ar-SA"/>
        </w:rPr>
      </w:pPr>
    </w:p>
    <w:p>
      <w:pPr>
        <w:pStyle w:val="5"/>
        <w:rPr>
          <w:rFonts w:hint="eastAsia" w:ascii="仿宋_GB2312" w:hAnsi="仿宋_GB2312" w:eastAsia="仿宋_GB2312" w:cs="仿宋_GB2312"/>
          <w:kern w:val="0"/>
          <w:sz w:val="32"/>
          <w:szCs w:val="32"/>
          <w:lang w:val="en-US" w:eastAsia="zh-CN" w:bidi="ar-SA"/>
        </w:rPr>
      </w:pPr>
    </w:p>
    <w:p>
      <w:pPr>
        <w:pStyle w:val="5"/>
        <w:rPr>
          <w:rFonts w:hint="eastAsia" w:ascii="仿宋_GB2312" w:hAnsi="仿宋_GB2312" w:eastAsia="仿宋_GB2312" w:cs="仿宋_GB2312"/>
          <w:kern w:val="0"/>
          <w:sz w:val="32"/>
          <w:szCs w:val="32"/>
          <w:lang w:val="en-US" w:eastAsia="zh-CN" w:bidi="ar-SA"/>
        </w:rPr>
      </w:pPr>
    </w:p>
    <w:p>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E0B422-F234-4E91-BF59-64793A251F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embedRegular r:id="rId2" w:fontKey="{9678C48E-A447-4999-BBD7-1F19DF1BC641}"/>
  </w:font>
  <w:font w:name="仿宋">
    <w:panose1 w:val="02010609060101010101"/>
    <w:charset w:val="86"/>
    <w:family w:val="auto"/>
    <w:pitch w:val="default"/>
    <w:sig w:usb0="800002BF" w:usb1="38CF7CFA" w:usb2="00000016" w:usb3="00000000" w:csb0="00040001" w:csb1="00000000"/>
    <w:embedRegular r:id="rId3" w:fontKey="{87B81D25-3EE5-42A1-AAA9-89F9A14B9348}"/>
  </w:font>
  <w:font w:name="??_GB2312">
    <w:altName w:val="Times New Roman"/>
    <w:panose1 w:val="00000000000000000000"/>
    <w:charset w:val="00"/>
    <w:family w:val="auto"/>
    <w:pitch w:val="default"/>
    <w:sig w:usb0="00000000" w:usb1="00000000" w:usb2="00000000" w:usb3="00000000" w:csb0="00000001" w:csb1="00000000"/>
  </w:font>
  <w:font w:name="方正小标宋_GBK">
    <w:panose1 w:val="02000000000000000000"/>
    <w:charset w:val="86"/>
    <w:family w:val="script"/>
    <w:pitch w:val="default"/>
    <w:sig w:usb0="00000000" w:usb1="00000000" w:usb2="00000000" w:usb3="00000000" w:csb0="00000000" w:csb1="00000000"/>
    <w:embedRegular r:id="rId4" w:fontKey="{92EDCDE6-AFCA-40BA-A330-9E299AB4FDA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5YTliNGU4NDFmNDUzOTU3ZTQ4MmI3MTA5MTA5YjcifQ=="/>
  </w:docVars>
  <w:rsids>
    <w:rsidRoot w:val="1B5C052E"/>
    <w:rsid w:val="0FAC6E3F"/>
    <w:rsid w:val="18212328"/>
    <w:rsid w:val="1A2E30D3"/>
    <w:rsid w:val="1B5C052E"/>
    <w:rsid w:val="290B1DB2"/>
    <w:rsid w:val="34EE34A0"/>
    <w:rsid w:val="43E07B29"/>
    <w:rsid w:val="4AAB1BC6"/>
    <w:rsid w:val="595D0784"/>
    <w:rsid w:val="5B6444B9"/>
    <w:rsid w:val="5C7D7718"/>
    <w:rsid w:val="6253009E"/>
    <w:rsid w:val="64F65D19"/>
    <w:rsid w:val="6C37163F"/>
    <w:rsid w:val="6CE16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w:qFormat/>
    <w:uiPriority w:val="0"/>
    <w:pPr>
      <w:widowControl w:val="0"/>
      <w:spacing w:after="120" w:afterLines="0" w:afterAutospacing="0"/>
      <w:ind w:firstLine="664"/>
      <w:jc w:val="both"/>
    </w:pPr>
    <w:rPr>
      <w:rFonts w:ascii="Times New Roman" w:hAnsi="Times New Roman" w:eastAsia="宋体" w:cs="Times New Roman"/>
      <w:kern w:val="2"/>
      <w:sz w:val="32"/>
      <w:lang w:val="en-US" w:eastAsia="zh-CN" w:bidi="ar-SA"/>
    </w:rPr>
  </w:style>
  <w:style w:type="paragraph" w:styleId="3">
    <w:name w:val="Body Text"/>
    <w:next w:val="1"/>
    <w:unhideWhenUsed/>
    <w:qFormat/>
    <w:uiPriority w:val="99"/>
    <w:pPr>
      <w:widowControl w:val="0"/>
      <w:spacing w:after="120" w:afterLines="0" w:afterAutospacing="0"/>
      <w:jc w:val="both"/>
    </w:pPr>
    <w:rPr>
      <w:rFonts w:ascii="Times New Roman" w:hAnsi="Times New Roman" w:eastAsia="仿宋_GB2312" w:cs="Times New Roman"/>
      <w:kern w:val="2"/>
      <w:sz w:val="32"/>
      <w:lang w:val="en-US" w:eastAsia="zh-CN" w:bidi="ar-SA"/>
    </w:rPr>
  </w:style>
  <w:style w:type="paragraph" w:styleId="4">
    <w:name w:val="Body Text Indent"/>
    <w:basedOn w:val="1"/>
    <w:qFormat/>
    <w:uiPriority w:val="0"/>
    <w:pPr>
      <w:ind w:firstLine="632"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2"/>
    <w:basedOn w:val="4"/>
    <w:qFormat/>
    <w:uiPriority w:val="0"/>
    <w:pPr>
      <w:spacing w:before="100" w:beforeAutospacing="1" w:after="0"/>
      <w:ind w:left="0" w:firstLine="420" w:firstLineChars="200"/>
    </w:p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BodyText1I2"/>
    <w:basedOn w:val="12"/>
    <w:qFormat/>
    <w:uiPriority w:val="0"/>
    <w:pPr>
      <w:ind w:firstLine="420"/>
    </w:pPr>
  </w:style>
  <w:style w:type="paragraph" w:customStyle="1" w:styleId="12">
    <w:name w:val="BodyTextIndent"/>
    <w:basedOn w:val="1"/>
    <w:qFormat/>
    <w:uiPriority w:val="0"/>
    <w:pPr>
      <w:spacing w:after="120"/>
      <w:ind w:left="420" w:leftChars="200" w:firstLine="200" w:firstLineChars="200"/>
      <w:textAlignment w:val="baseline"/>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5060</Words>
  <Characters>5461</Characters>
  <Lines>0</Lines>
  <Paragraphs>0</Paragraphs>
  <TotalTime>0</TotalTime>
  <ScaleCrop>false</ScaleCrop>
  <LinksUpToDate>false</LinksUpToDate>
  <CharactersWithSpaces>5514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2025-06-18T02:00:00Z</dcterms:created>
  <dc:creator>Administrator</dc:creator>
  <cp:lastModifiedBy>Administrator</cp:lastModifiedBy>
  <dcterms:modified xsi:type="dcterms:W3CDTF">2025-10-21T02:01:14Z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8B0463B959CC42C39A04AD4BD39F2291</vt:lpwstr>
  </property>
</Properties>
</file>