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C8D068">
      <w:pPr>
        <w:spacing w:line="240" w:lineRule="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5</w:t>
      </w:r>
    </w:p>
    <w:p w14:paraId="4AFB74B5">
      <w:pPr>
        <w:jc w:val="center"/>
        <w:rPr>
          <w:rFonts w:hint="eastAsia" w:ascii="仿宋" w:hAnsi="仿宋" w:eastAsia="仿宋" w:cs="仿宋"/>
          <w:sz w:val="48"/>
          <w:szCs w:val="48"/>
        </w:rPr>
      </w:pPr>
      <w:r>
        <w:rPr>
          <w:rFonts w:hint="eastAsia" w:ascii="仿宋" w:hAnsi="仿宋" w:eastAsia="仿宋" w:cs="仿宋"/>
          <w:sz w:val="48"/>
          <w:szCs w:val="48"/>
          <w:lang w:val="en-US" w:eastAsia="zh-CN"/>
        </w:rPr>
        <w:t>2024</w:t>
      </w:r>
      <w:r>
        <w:rPr>
          <w:rFonts w:hint="eastAsia" w:ascii="仿宋" w:hAnsi="仿宋" w:eastAsia="仿宋" w:cs="仿宋"/>
          <w:sz w:val="48"/>
          <w:szCs w:val="48"/>
        </w:rPr>
        <w:t>年度</w:t>
      </w:r>
      <w:r>
        <w:rPr>
          <w:rFonts w:hint="eastAsia" w:ascii="仿宋" w:hAnsi="仿宋" w:eastAsia="仿宋" w:cs="仿宋"/>
          <w:sz w:val="48"/>
          <w:szCs w:val="48"/>
          <w:lang w:eastAsia="zh-CN"/>
        </w:rPr>
        <w:t>益阳市资阳区司法局</w:t>
      </w:r>
      <w:r>
        <w:rPr>
          <w:rFonts w:hint="eastAsia" w:ascii="仿宋" w:hAnsi="仿宋" w:eastAsia="仿宋" w:cs="仿宋"/>
          <w:sz w:val="48"/>
          <w:szCs w:val="48"/>
        </w:rPr>
        <w:t>部门整体支出绩效自评报告</w:t>
      </w:r>
    </w:p>
    <w:p w14:paraId="67843F0B">
      <w:pPr>
        <w:jc w:val="center"/>
        <w:rPr>
          <w:rFonts w:hint="eastAsia" w:ascii="仿宋" w:hAnsi="仿宋" w:eastAsia="仿宋" w:cs="仿宋"/>
          <w:sz w:val="32"/>
          <w:szCs w:val="32"/>
        </w:rPr>
      </w:pPr>
    </w:p>
    <w:p w14:paraId="28C31C72">
      <w:pPr>
        <w:jc w:val="center"/>
        <w:rPr>
          <w:rFonts w:hint="eastAsia" w:ascii="仿宋" w:hAnsi="仿宋" w:eastAsia="仿宋" w:cs="仿宋"/>
          <w:sz w:val="32"/>
          <w:szCs w:val="32"/>
        </w:rPr>
      </w:pPr>
    </w:p>
    <w:p w14:paraId="6E308384">
      <w:pPr>
        <w:jc w:val="center"/>
        <w:rPr>
          <w:rFonts w:hint="eastAsia" w:ascii="仿宋" w:hAnsi="仿宋" w:eastAsia="仿宋" w:cs="仿宋"/>
          <w:sz w:val="32"/>
          <w:szCs w:val="32"/>
        </w:rPr>
      </w:pPr>
    </w:p>
    <w:p w14:paraId="2BB53DC5">
      <w:pPr>
        <w:jc w:val="center"/>
        <w:rPr>
          <w:rFonts w:hint="eastAsia" w:ascii="仿宋" w:hAnsi="仿宋" w:eastAsia="仿宋" w:cs="仿宋"/>
          <w:sz w:val="32"/>
          <w:szCs w:val="32"/>
        </w:rPr>
      </w:pPr>
    </w:p>
    <w:p w14:paraId="14CDDDA8">
      <w:pPr>
        <w:jc w:val="center"/>
        <w:rPr>
          <w:rFonts w:hint="eastAsia" w:ascii="仿宋" w:hAnsi="仿宋" w:eastAsia="仿宋" w:cs="仿宋"/>
          <w:sz w:val="32"/>
          <w:szCs w:val="32"/>
        </w:rPr>
      </w:pPr>
    </w:p>
    <w:p w14:paraId="348B2907">
      <w:pPr>
        <w:jc w:val="center"/>
        <w:rPr>
          <w:rFonts w:hint="eastAsia" w:ascii="仿宋" w:hAnsi="仿宋" w:eastAsia="仿宋" w:cs="仿宋"/>
          <w:sz w:val="32"/>
          <w:szCs w:val="32"/>
        </w:rPr>
      </w:pPr>
    </w:p>
    <w:p w14:paraId="09DF882D">
      <w:pPr>
        <w:jc w:val="center"/>
        <w:rPr>
          <w:rFonts w:hint="eastAsia" w:ascii="仿宋" w:hAnsi="仿宋" w:eastAsia="仿宋" w:cs="仿宋"/>
          <w:sz w:val="32"/>
          <w:szCs w:val="32"/>
        </w:rPr>
      </w:pPr>
    </w:p>
    <w:p w14:paraId="71F7AC16">
      <w:pPr>
        <w:ind w:firstLine="880" w:firstLineChars="200"/>
        <w:jc w:val="center"/>
        <w:rPr>
          <w:rFonts w:hint="eastAsia" w:ascii="仿宋" w:hAnsi="仿宋" w:eastAsia="仿宋" w:cs="仿宋"/>
          <w:sz w:val="44"/>
          <w:szCs w:val="44"/>
        </w:rPr>
      </w:pPr>
    </w:p>
    <w:p w14:paraId="6AEA165C">
      <w:pPr>
        <w:ind w:firstLine="880" w:firstLineChars="200"/>
        <w:jc w:val="center"/>
        <w:rPr>
          <w:rFonts w:hint="eastAsia" w:ascii="仿宋" w:hAnsi="仿宋" w:eastAsia="仿宋" w:cs="仿宋"/>
          <w:sz w:val="44"/>
          <w:szCs w:val="44"/>
        </w:rPr>
      </w:pPr>
    </w:p>
    <w:p w14:paraId="19DBCEB4">
      <w:pPr>
        <w:ind w:firstLine="880" w:firstLineChars="200"/>
        <w:jc w:val="center"/>
        <w:rPr>
          <w:rFonts w:hint="eastAsia" w:ascii="仿宋" w:hAnsi="仿宋" w:eastAsia="仿宋" w:cs="仿宋"/>
          <w:sz w:val="44"/>
          <w:szCs w:val="44"/>
        </w:rPr>
      </w:pPr>
    </w:p>
    <w:p w14:paraId="0FEC9191">
      <w:pPr>
        <w:ind w:firstLine="720" w:firstLineChars="200"/>
        <w:jc w:val="both"/>
        <w:rPr>
          <w:rFonts w:hint="eastAsia" w:ascii="仿宋" w:hAnsi="仿宋" w:eastAsia="仿宋" w:cs="仿宋"/>
          <w:sz w:val="36"/>
          <w:szCs w:val="36"/>
          <w:lang w:eastAsia="zh-CN"/>
        </w:rPr>
      </w:pPr>
    </w:p>
    <w:p w14:paraId="1BD87198">
      <w:pPr>
        <w:ind w:firstLine="720" w:firstLineChars="200"/>
        <w:jc w:val="both"/>
        <w:rPr>
          <w:rFonts w:hint="eastAsia" w:ascii="仿宋" w:hAnsi="仿宋" w:eastAsia="仿宋" w:cs="仿宋"/>
          <w:sz w:val="36"/>
          <w:szCs w:val="36"/>
          <w:lang w:eastAsia="zh-CN"/>
        </w:rPr>
      </w:pPr>
    </w:p>
    <w:p w14:paraId="68D43BB2">
      <w:pPr>
        <w:ind w:firstLine="720"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rPr>
        <w:t>（盖章）</w:t>
      </w:r>
      <w:r>
        <w:rPr>
          <w:rFonts w:hint="eastAsia" w:ascii="仿宋" w:hAnsi="仿宋" w:eastAsia="仿宋" w:cs="仿宋"/>
          <w:sz w:val="36"/>
          <w:szCs w:val="36"/>
          <w:u w:val="single"/>
          <w:lang w:val="en-US" w:eastAsia="zh-CN"/>
        </w:rPr>
        <w:t xml:space="preserve">       </w:t>
      </w:r>
    </w:p>
    <w:p w14:paraId="6179F619">
      <w:pPr>
        <w:ind w:firstLine="3240" w:firstLineChars="900"/>
        <w:jc w:val="both"/>
        <w:rPr>
          <w:rFonts w:hint="eastAsia" w:ascii="仿宋" w:hAnsi="仿宋" w:eastAsia="仿宋" w:cs="仿宋"/>
          <w:sz w:val="36"/>
          <w:szCs w:val="36"/>
          <w:u w:val="none"/>
          <w:lang w:val="en-US" w:eastAsia="zh-CN"/>
        </w:rPr>
      </w:pPr>
    </w:p>
    <w:p w14:paraId="7B494CC5">
      <w:pPr>
        <w:ind w:firstLine="3240" w:firstLineChars="9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  5 月 20 日</w:t>
      </w:r>
    </w:p>
    <w:p w14:paraId="2B8211CF">
      <w:pPr>
        <w:jc w:val="center"/>
        <w:rPr>
          <w:rFonts w:hint="eastAsia" w:ascii="仿宋" w:hAnsi="仿宋" w:eastAsia="仿宋" w:cs="仿宋"/>
          <w:sz w:val="32"/>
          <w:szCs w:val="32"/>
        </w:rPr>
      </w:pPr>
    </w:p>
    <w:p w14:paraId="307315F6">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（此页为封面）</w:t>
      </w:r>
    </w:p>
    <w:p w14:paraId="522A9AA3">
      <w:pPr>
        <w:spacing w:line="560" w:lineRule="exact"/>
        <w:ind w:firstLine="360" w:firstLineChars="100"/>
        <w:jc w:val="center"/>
        <w:rPr>
          <w:rFonts w:hint="eastAsia" w:ascii="仿宋" w:hAnsi="仿宋" w:eastAsia="仿宋" w:cs="仿宋"/>
          <w:sz w:val="36"/>
          <w:szCs w:val="36"/>
          <w:lang w:val="en-US" w:eastAsia="zh-CN"/>
        </w:rPr>
      </w:pPr>
    </w:p>
    <w:p w14:paraId="16189ECD">
      <w:pPr>
        <w:spacing w:line="600" w:lineRule="exact"/>
        <w:ind w:firstLine="1928" w:firstLineChars="600"/>
        <w:jc w:val="both"/>
        <w:rPr>
          <w:rFonts w:hint="eastAsia" w:ascii="仿宋_GB2312" w:hAnsi="仿宋_GB2312" w:eastAsia="仿宋_GB2312" w:cs="仿宋_GB2312"/>
          <w:b/>
          <w:bCs/>
          <w:kern w:val="0"/>
          <w:sz w:val="32"/>
          <w:szCs w:val="32"/>
          <w:lang w:val="en-US" w:eastAsia="zh-CN" w:bidi="ar-SA"/>
        </w:rPr>
      </w:pPr>
    </w:p>
    <w:p w14:paraId="58A903B8">
      <w:pPr>
        <w:spacing w:line="600" w:lineRule="exact"/>
        <w:ind w:firstLine="1928" w:firstLineChars="600"/>
        <w:jc w:val="both"/>
        <w:rPr>
          <w:rFonts w:hint="eastAsia" w:ascii="仿宋_GB2312" w:hAnsi="仿宋_GB2312" w:cs="仿宋_GB2312"/>
          <w:b/>
          <w:bCs/>
          <w:kern w:val="0"/>
          <w:sz w:val="32"/>
          <w:szCs w:val="32"/>
          <w:lang w:val="en-US" w:eastAsia="zh-CN" w:bidi="ar-SA"/>
        </w:rPr>
      </w:pPr>
      <w:r>
        <w:rPr>
          <w:rFonts w:hint="eastAsia" w:ascii="仿宋_GB2312" w:hAnsi="仿宋_GB2312" w:cs="仿宋_GB2312"/>
          <w:b/>
          <w:bCs/>
          <w:kern w:val="0"/>
          <w:sz w:val="32"/>
          <w:szCs w:val="32"/>
          <w:lang w:val="en-US" w:eastAsia="zh-CN" w:bidi="ar-SA"/>
        </w:rPr>
        <w:t>2024</w:t>
      </w:r>
      <w:r>
        <w:rPr>
          <w:rFonts w:hint="eastAsia" w:ascii="仿宋_GB2312" w:hAnsi="仿宋_GB2312" w:eastAsia="仿宋_GB2312" w:cs="仿宋_GB2312"/>
          <w:b/>
          <w:bCs/>
          <w:kern w:val="0"/>
          <w:sz w:val="32"/>
          <w:szCs w:val="32"/>
          <w:lang w:val="en-US" w:eastAsia="zh-CN" w:bidi="ar-SA"/>
        </w:rPr>
        <w:t>年度</w:t>
      </w:r>
      <w:r>
        <w:rPr>
          <w:rFonts w:hint="eastAsia" w:ascii="仿宋_GB2312" w:hAnsi="仿宋_GB2312" w:cs="仿宋_GB2312"/>
          <w:b/>
          <w:bCs/>
          <w:kern w:val="0"/>
          <w:sz w:val="32"/>
          <w:szCs w:val="32"/>
          <w:lang w:val="en-US" w:eastAsia="zh-CN" w:bidi="ar-SA"/>
        </w:rPr>
        <w:t>益阳市资阳区司法局</w:t>
      </w:r>
    </w:p>
    <w:p w14:paraId="43262FAA">
      <w:pPr>
        <w:spacing w:line="600" w:lineRule="exact"/>
        <w:ind w:firstLine="2249" w:firstLineChars="700"/>
        <w:jc w:val="both"/>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部门整体支出绩效自评报告</w:t>
      </w:r>
    </w:p>
    <w:p w14:paraId="48AAC034">
      <w:pPr>
        <w:spacing w:line="600" w:lineRule="exact"/>
        <w:ind w:firstLine="630" w:firstLineChars="196"/>
        <w:jc w:val="center"/>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（参考提纲）</w:t>
      </w:r>
    </w:p>
    <w:p w14:paraId="09F2FF0B">
      <w:pPr>
        <w:spacing w:line="600" w:lineRule="exact"/>
        <w:ind w:firstLine="627" w:firstLineChars="196"/>
        <w:rPr>
          <w:rFonts w:hint="eastAsia" w:ascii="仿宋_GB2312" w:hAnsi="仿宋_GB2312" w:eastAsia="仿宋_GB2312" w:cs="仿宋_GB2312"/>
          <w:kern w:val="0"/>
          <w:sz w:val="32"/>
          <w:szCs w:val="32"/>
          <w:lang w:val="en-US" w:eastAsia="zh-CN" w:bidi="ar-SA"/>
        </w:rPr>
      </w:pPr>
    </w:p>
    <w:p w14:paraId="7C4D2285">
      <w:pPr>
        <w:widowControl/>
        <w:numPr>
          <w:ilvl w:val="0"/>
          <w:numId w:val="1"/>
        </w:numPr>
        <w:autoSpaceDN w:val="0"/>
        <w:spacing w:line="540" w:lineRule="exact"/>
        <w:ind w:left="640" w:leftChars="0" w:firstLine="640" w:firstLineChars="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部门概况</w:t>
      </w:r>
    </w:p>
    <w:p w14:paraId="4065CDA9">
      <w:pPr>
        <w:spacing w:line="560" w:lineRule="exact"/>
        <w:ind w:left="320" w:leftChars="100" w:firstLine="640" w:firstLineChars="200"/>
        <w:rPr>
          <w:rFonts w:hint="eastAsia" w:ascii="黑体" w:eastAsia="黑体"/>
          <w:szCs w:val="32"/>
        </w:rPr>
      </w:pPr>
      <w:r>
        <w:rPr>
          <w:rFonts w:ascii="仿宋_GB2312" w:hAnsi="宋体" w:cs="仿宋_GB2312"/>
          <w:color w:val="333333"/>
          <w:szCs w:val="32"/>
          <w:shd w:val="clear" w:color="auto" w:fill="FFFFFF"/>
        </w:rPr>
        <w:t>为强化财政支出绩效管理，促进财政资金管理使用精细化、科学化，切实提高财政资金使用效益，强化单位责任意识，根据中共中央、国务院《关于全面实施预算绩效管理的意见》（中发[2018]34号）文件精神，按照《</w:t>
      </w:r>
      <w:r>
        <w:rPr>
          <w:rFonts w:hint="eastAsia" w:ascii="仿宋_GB2312" w:hAnsi="宋体" w:cs="仿宋_GB2312"/>
          <w:color w:val="333333"/>
          <w:szCs w:val="32"/>
          <w:shd w:val="clear" w:color="auto" w:fill="FFFFFF"/>
        </w:rPr>
        <w:t>资阳区财政</w:t>
      </w:r>
      <w:r>
        <w:rPr>
          <w:rFonts w:ascii="仿宋_GB2312" w:hAnsi="宋体" w:cs="仿宋_GB2312"/>
          <w:color w:val="333333"/>
          <w:szCs w:val="32"/>
          <w:shd w:val="clear" w:color="auto" w:fill="FFFFFF"/>
        </w:rPr>
        <w:t>预算绩效管理暂行办法》有关规定，对</w:t>
      </w:r>
      <w:r>
        <w:rPr>
          <w:rFonts w:hint="eastAsia" w:ascii="仿宋_GB2312" w:hAnsi="宋体" w:cs="仿宋_GB2312"/>
          <w:color w:val="333333"/>
          <w:szCs w:val="32"/>
          <w:shd w:val="clear" w:color="auto" w:fill="FFFFFF"/>
        </w:rPr>
        <w:t>资阳区司</w:t>
      </w:r>
      <w:r>
        <w:rPr>
          <w:rFonts w:ascii="仿宋_GB2312" w:hAnsi="宋体" w:cs="仿宋_GB2312"/>
          <w:color w:val="333333"/>
          <w:szCs w:val="32"/>
          <w:shd w:val="clear" w:color="auto" w:fill="FFFFFF"/>
        </w:rPr>
        <w:t>法局202</w:t>
      </w:r>
      <w:r>
        <w:rPr>
          <w:rFonts w:hint="eastAsia" w:ascii="仿宋_GB2312" w:hAnsi="宋体" w:cs="仿宋_GB2312"/>
          <w:color w:val="333333"/>
          <w:szCs w:val="32"/>
          <w:shd w:val="clear" w:color="auto" w:fill="FFFFFF"/>
          <w:lang w:val="en-US" w:eastAsia="zh-CN"/>
        </w:rPr>
        <w:t>4</w:t>
      </w:r>
      <w:r>
        <w:rPr>
          <w:rFonts w:ascii="仿宋_GB2312" w:hAnsi="宋体" w:cs="仿宋_GB2312"/>
          <w:color w:val="333333"/>
          <w:szCs w:val="32"/>
          <w:shd w:val="clear" w:color="auto" w:fill="FFFFFF"/>
        </w:rPr>
        <w:t>年度部门整体支出进行了综合绩效自评。现将有关情况报告如下：</w:t>
      </w:r>
    </w:p>
    <w:p w14:paraId="3B668F47">
      <w:pPr>
        <w:numPr>
          <w:ilvl w:val="0"/>
          <w:numId w:val="2"/>
        </w:numPr>
        <w:spacing w:line="600" w:lineRule="exact"/>
        <w:ind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简要介绍202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年度重点工作计划；</w:t>
      </w:r>
    </w:p>
    <w:p w14:paraId="2475B64B">
      <w:pPr>
        <w:spacing w:line="560" w:lineRule="exact"/>
        <w:ind w:left="320" w:leftChars="100" w:firstLine="640" w:firstLineChars="200"/>
        <w:rPr>
          <w:rFonts w:ascii="仿宋_GB2312" w:hAnsi="宋体" w:cs="仿宋_GB2312"/>
          <w:color w:val="333333"/>
          <w:szCs w:val="32"/>
          <w:shd w:val="clear" w:color="auto" w:fill="FFFFFF"/>
        </w:rPr>
      </w:pPr>
      <w:r>
        <w:rPr>
          <w:rFonts w:ascii="仿宋_GB2312" w:hAnsi="宋体" w:cs="仿宋_GB2312"/>
          <w:color w:val="333333"/>
          <w:szCs w:val="32"/>
          <w:shd w:val="clear" w:color="auto" w:fill="FFFFFF"/>
        </w:rPr>
        <w:t>　2024年，我区司法行政系统将在区委、区政府的坚强领导下，在市司法局的正确指导下，强化责任担当，落实工作措施，着重抓好以下工作。</w:t>
      </w:r>
    </w:p>
    <w:p w14:paraId="7FF6389A">
      <w:pPr>
        <w:spacing w:line="560" w:lineRule="exact"/>
        <w:ind w:left="320" w:leftChars="100" w:firstLine="640" w:firstLineChars="200"/>
        <w:rPr>
          <w:rFonts w:ascii="仿宋_GB2312" w:hAnsi="宋体" w:cs="仿宋_GB2312"/>
          <w:color w:val="333333"/>
          <w:szCs w:val="32"/>
          <w:shd w:val="clear" w:color="auto" w:fill="FFFFFF"/>
        </w:rPr>
      </w:pPr>
      <w:r>
        <w:rPr>
          <w:rFonts w:ascii="仿宋_GB2312" w:hAnsi="宋体" w:cs="仿宋_GB2312"/>
          <w:color w:val="333333"/>
          <w:szCs w:val="32"/>
          <w:shd w:val="clear" w:color="auto" w:fill="FFFFFF"/>
        </w:rPr>
        <w:t>　　</w:t>
      </w:r>
      <w:r>
        <w:rPr>
          <w:rFonts w:hint="eastAsia" w:ascii="仿宋_GB2312" w:hAnsi="宋体" w:cs="仿宋_GB2312"/>
          <w:color w:val="333333"/>
          <w:szCs w:val="32"/>
          <w:shd w:val="clear" w:color="auto" w:fill="FFFFFF"/>
          <w:lang w:val="en-US" w:eastAsia="zh-CN"/>
        </w:rPr>
        <w:t>1、</w:t>
      </w:r>
      <w:r>
        <w:rPr>
          <w:rFonts w:ascii="仿宋_GB2312" w:hAnsi="宋体" w:cs="仿宋_GB2312"/>
          <w:color w:val="333333"/>
          <w:szCs w:val="32"/>
          <w:shd w:val="clear" w:color="auto" w:fill="FFFFFF"/>
        </w:rPr>
        <w:t>全面推进“法治资阳”长效落地。做好法治建设议事协调小组工作，进一步创建培育一批省级以上“民主法治示范村（社区）”，更好实现行政执法、普法宣传与法律服务的充分结合。</w:t>
      </w:r>
    </w:p>
    <w:p w14:paraId="4369CDE2">
      <w:pPr>
        <w:spacing w:line="560" w:lineRule="exact"/>
        <w:ind w:left="320" w:leftChars="100" w:firstLine="640" w:firstLineChars="200"/>
        <w:rPr>
          <w:rFonts w:ascii="仿宋_GB2312" w:hAnsi="宋体" w:cs="仿宋_GB2312"/>
          <w:color w:val="333333"/>
          <w:szCs w:val="32"/>
          <w:shd w:val="clear" w:color="auto" w:fill="FFFFFF"/>
        </w:rPr>
      </w:pPr>
      <w:r>
        <w:rPr>
          <w:rFonts w:ascii="仿宋_GB2312" w:hAnsi="宋体" w:cs="仿宋_GB2312"/>
          <w:color w:val="333333"/>
          <w:szCs w:val="32"/>
          <w:shd w:val="clear" w:color="auto" w:fill="FFFFFF"/>
        </w:rPr>
        <w:t>　　</w:t>
      </w:r>
      <w:r>
        <w:rPr>
          <w:rFonts w:hint="eastAsia" w:ascii="仿宋_GB2312" w:hAnsi="宋体" w:cs="仿宋_GB2312"/>
          <w:color w:val="333333"/>
          <w:szCs w:val="32"/>
          <w:shd w:val="clear" w:color="auto" w:fill="FFFFFF"/>
          <w:lang w:val="en-US" w:eastAsia="zh-CN"/>
        </w:rPr>
        <w:t>2、</w:t>
      </w:r>
      <w:r>
        <w:rPr>
          <w:rFonts w:ascii="仿宋_GB2312" w:hAnsi="宋体" w:cs="仿宋_GB2312"/>
          <w:color w:val="333333"/>
          <w:szCs w:val="32"/>
          <w:shd w:val="clear" w:color="auto" w:fill="FFFFFF"/>
        </w:rPr>
        <w:t>着力提高“法治政府建设”水平。紧盯 “三统一”行政规范性文件，实现重大行政决策全过程规范化运行，建立健全行政执法监督工作体系，创建一支高素质文明执法队伍，全力巩固“湖南省法治政府建设示范区”创建成果。</w:t>
      </w:r>
    </w:p>
    <w:p w14:paraId="48192157">
      <w:pPr>
        <w:spacing w:line="560" w:lineRule="exact"/>
        <w:ind w:left="320" w:leftChars="100" w:firstLine="640" w:firstLineChars="200"/>
        <w:rPr>
          <w:rFonts w:ascii="仿宋_GB2312" w:hAnsi="宋体" w:cs="仿宋_GB2312"/>
          <w:color w:val="333333"/>
          <w:szCs w:val="32"/>
          <w:shd w:val="clear" w:color="auto" w:fill="FFFFFF"/>
        </w:rPr>
      </w:pPr>
      <w:r>
        <w:rPr>
          <w:rFonts w:ascii="仿宋_GB2312" w:hAnsi="宋体" w:cs="仿宋_GB2312"/>
          <w:color w:val="333333"/>
          <w:szCs w:val="32"/>
          <w:shd w:val="clear" w:color="auto" w:fill="FFFFFF"/>
        </w:rPr>
        <w:t>　　</w:t>
      </w:r>
      <w:r>
        <w:rPr>
          <w:rFonts w:hint="eastAsia" w:ascii="仿宋_GB2312" w:hAnsi="宋体" w:cs="仿宋_GB2312"/>
          <w:color w:val="333333"/>
          <w:szCs w:val="32"/>
          <w:shd w:val="clear" w:color="auto" w:fill="FFFFFF"/>
          <w:lang w:val="en-US" w:eastAsia="zh-CN"/>
        </w:rPr>
        <w:t>3、</w:t>
      </w:r>
      <w:r>
        <w:rPr>
          <w:rFonts w:ascii="仿宋_GB2312" w:hAnsi="宋体" w:cs="仿宋_GB2312"/>
          <w:color w:val="333333"/>
          <w:szCs w:val="32"/>
          <w:shd w:val="clear" w:color="auto" w:fill="FFFFFF"/>
        </w:rPr>
        <w:t>持续提升公共法律服务效能。推动实现法律顾问三个“全覆盖”落地落实，全面提高法律援助群众知晓率，进一步落实好人民调解进派出所的相关工作，探索建立中小企业公共法律服务站，着力提升法治化营商环境。</w:t>
      </w:r>
    </w:p>
    <w:p w14:paraId="57B5CED6">
      <w:pPr>
        <w:spacing w:line="560" w:lineRule="exact"/>
        <w:ind w:left="320" w:leftChars="100" w:firstLine="380" w:firstLineChars="200"/>
        <w:rPr>
          <w:rFonts w:ascii="仿宋_GB2312" w:hAnsi="宋体" w:cs="仿宋_GB2312"/>
          <w:color w:val="333333"/>
          <w:szCs w:val="32"/>
          <w:shd w:val="clear" w:color="auto" w:fill="FFFFFF"/>
        </w:rPr>
      </w:pPr>
      <w:r>
        <w:rPr>
          <w:rFonts w:ascii="Helvetica" w:hAnsi="Helvetica" w:eastAsia="宋体" w:cs="Helvetica"/>
          <w:color w:val="333333"/>
          <w:kern w:val="0"/>
          <w:sz w:val="19"/>
          <w:szCs w:val="19"/>
        </w:rPr>
        <w:t>　</w:t>
      </w:r>
      <w:r>
        <w:rPr>
          <w:rFonts w:ascii="仿宋_GB2312" w:hAnsi="宋体" w:cs="仿宋_GB2312"/>
          <w:color w:val="333333"/>
          <w:szCs w:val="32"/>
          <w:shd w:val="clear" w:color="auto" w:fill="FFFFFF"/>
        </w:rPr>
        <w:t>　</w:t>
      </w:r>
      <w:r>
        <w:rPr>
          <w:rFonts w:hint="eastAsia" w:ascii="仿宋_GB2312" w:hAnsi="宋体" w:cs="仿宋_GB2312"/>
          <w:color w:val="333333"/>
          <w:szCs w:val="32"/>
          <w:shd w:val="clear" w:color="auto" w:fill="FFFFFF"/>
          <w:lang w:val="en-US" w:eastAsia="zh-CN"/>
        </w:rPr>
        <w:t>4、</w:t>
      </w:r>
      <w:r>
        <w:rPr>
          <w:rFonts w:ascii="仿宋_GB2312" w:hAnsi="宋体" w:cs="仿宋_GB2312"/>
          <w:color w:val="333333"/>
          <w:szCs w:val="32"/>
          <w:shd w:val="clear" w:color="auto" w:fill="FFFFFF"/>
        </w:rPr>
        <w:t>扎实开展“清廉矫正”、“智慧矫正”、“司法所规范化建设”工作。扎实推进“清廉矫正”建设，打造具有资阳特色的“智慧矫正”新高地；根据全省司法所规范化建设三年行动工作要求，全面提升司法所规范化建设水平。</w:t>
      </w:r>
    </w:p>
    <w:p w14:paraId="4DEE473B">
      <w:pPr>
        <w:spacing w:line="560" w:lineRule="exact"/>
        <w:ind w:left="320" w:leftChars="100" w:firstLine="640" w:firstLineChars="200"/>
        <w:rPr>
          <w:rFonts w:ascii="仿宋_GB2312" w:hAnsi="宋体" w:cs="仿宋_GB2312"/>
          <w:color w:val="333333"/>
          <w:szCs w:val="32"/>
          <w:shd w:val="clear" w:color="auto" w:fill="FFFFFF"/>
        </w:rPr>
      </w:pPr>
      <w:r>
        <w:rPr>
          <w:rFonts w:hint="eastAsia" w:ascii="仿宋_GB2312" w:hAnsi="宋体" w:cs="仿宋_GB2312"/>
          <w:color w:val="333333"/>
          <w:szCs w:val="32"/>
          <w:shd w:val="clear" w:color="auto" w:fill="FFFFFF"/>
          <w:lang w:val="en-US" w:eastAsia="zh-CN"/>
        </w:rPr>
        <w:t>5、</w:t>
      </w:r>
      <w:r>
        <w:rPr>
          <w:rFonts w:ascii="仿宋_GB2312" w:hAnsi="宋体" w:cs="仿宋_GB2312"/>
          <w:color w:val="333333"/>
          <w:szCs w:val="32"/>
          <w:shd w:val="clear" w:color="auto" w:fill="FFFFFF"/>
        </w:rPr>
        <w:t>充分展现司法行政队伍新风貌。创造学习、经验交流机会，进一步提高业务能力和水平；探索组织开展重大行政复议案件等研讨、旁听，依托 “古城法治微课堂”，着力提升司法行政队伍专业素养和履职能力。</w:t>
      </w:r>
    </w:p>
    <w:p w14:paraId="23326B92">
      <w:pPr>
        <w:spacing w:line="560" w:lineRule="exact"/>
        <w:ind w:left="320" w:leftChars="100" w:firstLine="640" w:firstLineChars="200"/>
        <w:rPr>
          <w:rFonts w:hint="eastAsia" w:ascii="仿宋_GB2312" w:hAnsi="宋体" w:cs="仿宋_GB2312"/>
          <w:color w:val="333333"/>
          <w:szCs w:val="32"/>
          <w:shd w:val="clear" w:color="auto" w:fill="FFFFFF"/>
          <w:lang w:val="en-US" w:eastAsia="zh-CN"/>
        </w:rPr>
      </w:pPr>
    </w:p>
    <w:p w14:paraId="5CD12556">
      <w:pPr>
        <w:numPr>
          <w:ilvl w:val="0"/>
          <w:numId w:val="2"/>
        </w:numPr>
        <w:spacing w:line="600" w:lineRule="exact"/>
        <w:ind w:left="0" w:leftChars="0"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部门整体支出规模、使用方向、主要内容和涉及范围。</w:t>
      </w:r>
    </w:p>
    <w:p w14:paraId="0E0F4F41">
      <w:pPr>
        <w:numPr>
          <w:ilvl w:val="0"/>
          <w:numId w:val="0"/>
        </w:numPr>
        <w:spacing w:line="600" w:lineRule="exact"/>
        <w:ind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我单位202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年收到财政资金11</w:t>
      </w:r>
      <w:r>
        <w:rPr>
          <w:rFonts w:hint="eastAsia" w:ascii="仿宋_GB2312" w:hAnsi="仿宋_GB2312" w:cs="仿宋_GB2312"/>
          <w:kern w:val="0"/>
          <w:sz w:val="32"/>
          <w:szCs w:val="32"/>
          <w:lang w:val="en-US" w:eastAsia="zh-CN" w:bidi="ar-SA"/>
        </w:rPr>
        <w:t>09.45</w:t>
      </w:r>
      <w:r>
        <w:rPr>
          <w:rFonts w:hint="eastAsia" w:ascii="仿宋_GB2312" w:hAnsi="仿宋_GB2312" w:eastAsia="仿宋_GB2312" w:cs="仿宋_GB2312"/>
          <w:kern w:val="0"/>
          <w:sz w:val="32"/>
          <w:szCs w:val="32"/>
          <w:lang w:val="en-US" w:eastAsia="zh-CN" w:bidi="ar-SA"/>
        </w:rPr>
        <w:t>万元，与预算数相符，其中基本支出</w:t>
      </w:r>
      <w:r>
        <w:rPr>
          <w:rFonts w:hint="eastAsia" w:ascii="仿宋_GB2312" w:hAnsi="仿宋_GB2312" w:cs="仿宋_GB2312"/>
          <w:kern w:val="0"/>
          <w:sz w:val="32"/>
          <w:szCs w:val="32"/>
          <w:lang w:val="en-US" w:eastAsia="zh-CN" w:bidi="ar-SA"/>
        </w:rPr>
        <w:t>896.35</w:t>
      </w:r>
      <w:r>
        <w:rPr>
          <w:rFonts w:hint="eastAsia" w:ascii="仿宋_GB2312" w:hAnsi="仿宋_GB2312" w:eastAsia="仿宋_GB2312" w:cs="仿宋_GB2312"/>
          <w:kern w:val="0"/>
          <w:sz w:val="32"/>
          <w:szCs w:val="32"/>
          <w:lang w:val="en-US" w:eastAsia="zh-CN" w:bidi="ar-SA"/>
        </w:rPr>
        <w:t>万元，项目支出</w:t>
      </w:r>
      <w:r>
        <w:rPr>
          <w:rFonts w:hint="eastAsia" w:ascii="仿宋_GB2312" w:hAnsi="仿宋_GB2312" w:cs="仿宋_GB2312"/>
          <w:kern w:val="0"/>
          <w:sz w:val="32"/>
          <w:szCs w:val="32"/>
          <w:lang w:val="en-US" w:eastAsia="zh-CN" w:bidi="ar-SA"/>
        </w:rPr>
        <w:t>213.10</w:t>
      </w:r>
      <w:r>
        <w:rPr>
          <w:rFonts w:hint="eastAsia" w:ascii="仿宋_GB2312" w:hAnsi="仿宋_GB2312" w:eastAsia="仿宋_GB2312" w:cs="仿宋_GB2312"/>
          <w:kern w:val="0"/>
          <w:sz w:val="32"/>
          <w:szCs w:val="32"/>
          <w:lang w:val="en-US" w:eastAsia="zh-CN" w:bidi="ar-SA"/>
        </w:rPr>
        <w:t>万元；202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年实际支出</w:t>
      </w:r>
      <w:r>
        <w:rPr>
          <w:rFonts w:hint="eastAsia" w:ascii="仿宋_GB2312" w:hAnsi="仿宋_GB2312" w:cs="仿宋_GB2312"/>
          <w:kern w:val="0"/>
          <w:sz w:val="32"/>
          <w:szCs w:val="32"/>
          <w:lang w:val="en-US" w:eastAsia="zh-CN" w:bidi="ar-SA"/>
        </w:rPr>
        <w:t>1109.45</w:t>
      </w:r>
      <w:r>
        <w:rPr>
          <w:rFonts w:hint="eastAsia" w:ascii="仿宋_GB2312" w:hAnsi="仿宋_GB2312" w:eastAsia="仿宋_GB2312" w:cs="仿宋_GB2312"/>
          <w:kern w:val="0"/>
          <w:sz w:val="32"/>
          <w:szCs w:val="32"/>
          <w:lang w:val="en-US" w:eastAsia="zh-CN" w:bidi="ar-SA"/>
        </w:rPr>
        <w:t>万元，与预算数相符，结余财政资金0万元。经费主要用于保障司法行政工作各项业务。</w:t>
      </w:r>
    </w:p>
    <w:p w14:paraId="7CADA59B">
      <w:pPr>
        <w:widowControl/>
        <w:numPr>
          <w:ilvl w:val="0"/>
          <w:numId w:val="1"/>
        </w:numPr>
        <w:autoSpaceDN w:val="0"/>
        <w:spacing w:line="560" w:lineRule="exact"/>
        <w:ind w:left="640" w:leftChars="0" w:firstLine="640" w:firstLineChars="0"/>
        <w:rPr>
          <w:rFonts w:hint="eastAsia" w:ascii="黑体" w:hAnsi="黑体" w:eastAsia="黑体" w:cs="黑体"/>
          <w:b w:val="0"/>
          <w:bCs w:val="0"/>
          <w:sz w:val="32"/>
          <w:szCs w:val="32"/>
        </w:rPr>
      </w:pPr>
      <w:r>
        <w:rPr>
          <w:rFonts w:hint="eastAsia" w:ascii="黑体" w:hAnsi="黑体" w:eastAsia="黑体" w:cs="黑体"/>
          <w:b w:val="0"/>
          <w:bCs w:val="0"/>
          <w:sz w:val="32"/>
          <w:szCs w:val="32"/>
        </w:rPr>
        <w:t>一般公共预算支出情况</w:t>
      </w:r>
    </w:p>
    <w:p w14:paraId="1ECF50FB">
      <w:pPr>
        <w:spacing w:line="560" w:lineRule="exact"/>
        <w:ind w:firstLine="640" w:firstLineChars="200"/>
        <w:rPr>
          <w:rFonts w:hint="eastAsia" w:ascii="仿宋_GB2312" w:hAnsi="宋体" w:cs="仿宋_GB2312"/>
          <w:color w:val="333333"/>
          <w:szCs w:val="32"/>
          <w:shd w:val="clear" w:color="auto" w:fill="FFFFFF"/>
        </w:rPr>
      </w:pPr>
      <w:r>
        <w:rPr>
          <w:rFonts w:hint="eastAsia" w:ascii="仿宋_GB2312" w:hAnsi="宋体" w:cs="仿宋_GB2312"/>
          <w:color w:val="333333"/>
          <w:szCs w:val="32"/>
          <w:shd w:val="clear" w:color="auto" w:fill="FFFFFF"/>
        </w:rPr>
        <w:t>202</w:t>
      </w:r>
      <w:r>
        <w:rPr>
          <w:rFonts w:hint="eastAsia" w:ascii="仿宋_GB2312" w:hAnsi="宋体" w:cs="仿宋_GB2312"/>
          <w:color w:val="333333"/>
          <w:szCs w:val="32"/>
          <w:shd w:val="clear" w:color="auto" w:fill="FFFFFF"/>
          <w:lang w:val="en-US" w:eastAsia="zh-CN"/>
        </w:rPr>
        <w:t>4</w:t>
      </w:r>
      <w:r>
        <w:rPr>
          <w:rFonts w:hint="eastAsia" w:ascii="仿宋_GB2312" w:hAnsi="宋体" w:cs="仿宋_GB2312"/>
          <w:color w:val="333333"/>
          <w:szCs w:val="32"/>
          <w:shd w:val="clear" w:color="auto" w:fill="FFFFFF"/>
        </w:rPr>
        <w:t>年财政拨款收入决算总计为</w:t>
      </w:r>
      <w:r>
        <w:rPr>
          <w:rFonts w:hint="eastAsia" w:ascii="仿宋_GB2312" w:hAnsi="宋体" w:cs="仿宋_GB2312"/>
          <w:color w:val="333333"/>
          <w:szCs w:val="32"/>
          <w:shd w:val="clear" w:color="auto" w:fill="FFFFFF"/>
          <w:lang w:val="en-US" w:eastAsia="zh-CN"/>
        </w:rPr>
        <w:t>1109.45</w:t>
      </w:r>
      <w:r>
        <w:rPr>
          <w:rFonts w:hint="eastAsia" w:ascii="仿宋_GB2312" w:hAnsi="宋体" w:cs="仿宋_GB2312"/>
          <w:color w:val="333333"/>
          <w:szCs w:val="32"/>
          <w:shd w:val="clear" w:color="auto" w:fill="FFFFFF"/>
        </w:rPr>
        <w:t>万元。其中：一般公共财政拨款收入</w:t>
      </w:r>
      <w:r>
        <w:rPr>
          <w:rFonts w:hint="eastAsia" w:ascii="仿宋_GB2312" w:hAnsi="宋体" w:cs="仿宋_GB2312"/>
          <w:color w:val="333333"/>
          <w:szCs w:val="32"/>
          <w:shd w:val="clear" w:color="auto" w:fill="FFFFFF"/>
          <w:lang w:val="en-US" w:eastAsia="zh-CN"/>
        </w:rPr>
        <w:t>1053.15</w:t>
      </w:r>
      <w:r>
        <w:rPr>
          <w:rFonts w:hint="eastAsia" w:ascii="仿宋_GB2312" w:hAnsi="宋体" w:cs="仿宋_GB2312"/>
          <w:color w:val="333333"/>
          <w:szCs w:val="32"/>
          <w:shd w:val="clear" w:color="auto" w:fill="FFFFFF"/>
        </w:rPr>
        <w:t>万元，其他收入</w:t>
      </w:r>
      <w:r>
        <w:rPr>
          <w:rFonts w:hint="eastAsia" w:ascii="仿宋_GB2312" w:hAnsi="宋体" w:cs="仿宋_GB2312"/>
          <w:color w:val="333333"/>
          <w:szCs w:val="32"/>
          <w:shd w:val="clear" w:color="auto" w:fill="FFFFFF"/>
          <w:lang w:val="en-US" w:eastAsia="zh-CN"/>
        </w:rPr>
        <w:t>56.30</w:t>
      </w:r>
      <w:r>
        <w:rPr>
          <w:rFonts w:hint="eastAsia" w:ascii="仿宋_GB2312" w:hAnsi="宋体" w:cs="仿宋_GB2312"/>
          <w:color w:val="333333"/>
          <w:szCs w:val="32"/>
          <w:shd w:val="clear" w:color="auto" w:fill="FFFFFF"/>
        </w:rPr>
        <w:t>万元。决算数大于年初预算数</w:t>
      </w:r>
      <w:r>
        <w:rPr>
          <w:rFonts w:hint="eastAsia" w:ascii="仿宋_GB2312" w:hAnsi="宋体" w:cs="仿宋_GB2312"/>
          <w:color w:val="333333"/>
          <w:szCs w:val="32"/>
          <w:shd w:val="clear" w:color="auto" w:fill="FFFFFF"/>
          <w:lang w:val="en-US" w:eastAsia="zh-CN"/>
        </w:rPr>
        <w:t>387.54</w:t>
      </w:r>
      <w:r>
        <w:rPr>
          <w:rFonts w:hint="eastAsia" w:ascii="仿宋_GB2312" w:hAnsi="宋体" w:cs="仿宋_GB2312"/>
          <w:color w:val="333333"/>
          <w:szCs w:val="32"/>
          <w:shd w:val="clear" w:color="auto" w:fill="FFFFFF"/>
        </w:rPr>
        <w:t>万元，主要原因是年中预算增加：202</w:t>
      </w:r>
      <w:r>
        <w:rPr>
          <w:rFonts w:hint="eastAsia" w:ascii="仿宋_GB2312" w:hAnsi="宋体" w:cs="仿宋_GB2312"/>
          <w:color w:val="333333"/>
          <w:szCs w:val="32"/>
          <w:shd w:val="clear" w:color="auto" w:fill="FFFFFF"/>
          <w:lang w:val="en-US" w:eastAsia="zh-CN"/>
        </w:rPr>
        <w:t>4</w:t>
      </w:r>
      <w:r>
        <w:rPr>
          <w:rFonts w:hint="eastAsia" w:ascii="仿宋_GB2312" w:hAnsi="宋体" w:cs="仿宋_GB2312"/>
          <w:color w:val="333333"/>
          <w:szCs w:val="32"/>
          <w:shd w:val="clear" w:color="auto" w:fill="FFFFFF"/>
        </w:rPr>
        <w:t>年增人增资、基础绩效资金、绩效考核奖金，一次性抚恤金、202</w:t>
      </w:r>
      <w:r>
        <w:rPr>
          <w:rFonts w:hint="eastAsia" w:ascii="仿宋_GB2312" w:hAnsi="宋体" w:cs="仿宋_GB2312"/>
          <w:color w:val="333333"/>
          <w:szCs w:val="32"/>
          <w:shd w:val="clear" w:color="auto" w:fill="FFFFFF"/>
          <w:lang w:val="en-US" w:eastAsia="zh-CN"/>
        </w:rPr>
        <w:t>3</w:t>
      </w:r>
      <w:r>
        <w:rPr>
          <w:rFonts w:hint="eastAsia" w:ascii="仿宋_GB2312" w:hAnsi="宋体" w:cs="仿宋_GB2312"/>
          <w:color w:val="333333"/>
          <w:szCs w:val="32"/>
          <w:shd w:val="clear" w:color="auto" w:fill="FFFFFF"/>
        </w:rPr>
        <w:t>年综合绩效奖、绩效考核资金</w:t>
      </w:r>
      <w:r>
        <w:rPr>
          <w:rFonts w:hint="eastAsia" w:ascii="仿宋_GB2312" w:hAnsi="宋体" w:cs="仿宋_GB2312"/>
          <w:color w:val="333333"/>
          <w:szCs w:val="32"/>
          <w:shd w:val="clear" w:color="auto" w:fill="FFFFFF"/>
          <w:lang w:eastAsia="zh-CN"/>
        </w:rPr>
        <w:t>，中央和省级政法转移支付资金</w:t>
      </w:r>
      <w:r>
        <w:rPr>
          <w:rFonts w:hint="eastAsia" w:ascii="仿宋_GB2312" w:hAnsi="宋体" w:cs="仿宋_GB2312"/>
          <w:color w:val="333333"/>
          <w:szCs w:val="32"/>
          <w:shd w:val="clear" w:color="auto" w:fill="FFFFFF"/>
        </w:rPr>
        <w:t>等。</w:t>
      </w:r>
    </w:p>
    <w:p w14:paraId="3F29C6F6">
      <w:pPr>
        <w:spacing w:line="560" w:lineRule="exact"/>
        <w:ind w:firstLine="640" w:firstLineChars="200"/>
      </w:pPr>
      <w:r>
        <w:rPr>
          <w:rFonts w:hint="eastAsia" w:ascii="仿宋_GB2312" w:hAnsi="宋体" w:cs="仿宋_GB2312"/>
          <w:color w:val="333333"/>
          <w:szCs w:val="32"/>
          <w:shd w:val="clear" w:color="auto" w:fill="FFFFFF"/>
        </w:rPr>
        <w:t>202</w:t>
      </w:r>
      <w:r>
        <w:rPr>
          <w:rFonts w:hint="eastAsia" w:ascii="仿宋_GB2312" w:hAnsi="宋体" w:cs="仿宋_GB2312"/>
          <w:color w:val="333333"/>
          <w:szCs w:val="32"/>
          <w:shd w:val="clear" w:color="auto" w:fill="FFFFFF"/>
          <w:lang w:val="en-US" w:eastAsia="zh-CN"/>
        </w:rPr>
        <w:t>4</w:t>
      </w:r>
      <w:r>
        <w:rPr>
          <w:rFonts w:hint="eastAsia" w:ascii="仿宋_GB2312" w:hAnsi="宋体" w:cs="仿宋_GB2312"/>
          <w:color w:val="333333"/>
          <w:szCs w:val="32"/>
          <w:shd w:val="clear" w:color="auto" w:fill="FFFFFF"/>
        </w:rPr>
        <w:t>年财政拨款支出决算总计为</w:t>
      </w:r>
      <w:r>
        <w:rPr>
          <w:rFonts w:hint="eastAsia" w:ascii="仿宋_GB2312" w:hAnsi="宋体" w:cs="仿宋_GB2312"/>
          <w:color w:val="333333"/>
          <w:szCs w:val="32"/>
          <w:shd w:val="clear" w:color="auto" w:fill="FFFFFF"/>
          <w:lang w:val="en-US" w:eastAsia="zh-CN"/>
        </w:rPr>
        <w:t>1109.45</w:t>
      </w:r>
      <w:r>
        <w:rPr>
          <w:rFonts w:hint="eastAsia" w:ascii="仿宋_GB2312" w:hAnsi="宋体" w:cs="仿宋_GB2312"/>
          <w:color w:val="333333"/>
          <w:szCs w:val="32"/>
          <w:shd w:val="clear" w:color="auto" w:fill="FFFFFF"/>
        </w:rPr>
        <w:t>万元。其中：一般公共财政拨款支出</w:t>
      </w:r>
      <w:r>
        <w:rPr>
          <w:rFonts w:hint="eastAsia" w:ascii="仿宋_GB2312" w:hAnsi="宋体" w:cs="仿宋_GB2312"/>
          <w:color w:val="333333"/>
          <w:szCs w:val="32"/>
          <w:shd w:val="clear" w:color="auto" w:fill="FFFFFF"/>
          <w:lang w:val="en-US" w:eastAsia="zh-CN"/>
        </w:rPr>
        <w:t>1053.15</w:t>
      </w:r>
      <w:r>
        <w:rPr>
          <w:rFonts w:hint="eastAsia" w:ascii="仿宋_GB2312" w:hAnsi="宋体" w:cs="仿宋_GB2312"/>
          <w:color w:val="333333"/>
          <w:szCs w:val="32"/>
          <w:shd w:val="clear" w:color="auto" w:fill="FFFFFF"/>
        </w:rPr>
        <w:t>万元，其他支出</w:t>
      </w:r>
      <w:r>
        <w:rPr>
          <w:rFonts w:hint="eastAsia" w:ascii="仿宋_GB2312" w:hAnsi="宋体" w:cs="仿宋_GB2312"/>
          <w:color w:val="333333"/>
          <w:szCs w:val="32"/>
          <w:shd w:val="clear" w:color="auto" w:fill="FFFFFF"/>
          <w:lang w:val="en-US" w:eastAsia="zh-CN"/>
        </w:rPr>
        <w:t>56.30</w:t>
      </w:r>
      <w:r>
        <w:rPr>
          <w:rFonts w:hint="eastAsia" w:ascii="仿宋_GB2312" w:hAnsi="宋体" w:cs="仿宋_GB2312"/>
          <w:color w:val="333333"/>
          <w:szCs w:val="32"/>
          <w:shd w:val="clear" w:color="auto" w:fill="FFFFFF"/>
        </w:rPr>
        <w:t>万元。决算数大于年初预算数</w:t>
      </w:r>
      <w:r>
        <w:rPr>
          <w:rFonts w:hint="eastAsia" w:ascii="仿宋_GB2312" w:hAnsi="宋体" w:cs="仿宋_GB2312"/>
          <w:color w:val="333333"/>
          <w:szCs w:val="32"/>
          <w:shd w:val="clear" w:color="auto" w:fill="FFFFFF"/>
          <w:lang w:val="en-US" w:eastAsia="zh-CN"/>
        </w:rPr>
        <w:t>387.54</w:t>
      </w:r>
      <w:r>
        <w:rPr>
          <w:rFonts w:hint="eastAsia" w:ascii="仿宋_GB2312" w:hAnsi="宋体" w:cs="仿宋_GB2312"/>
          <w:color w:val="333333"/>
          <w:szCs w:val="32"/>
          <w:shd w:val="clear" w:color="auto" w:fill="FFFFFF"/>
        </w:rPr>
        <w:t>万元，主要原因是年中预算增加：202</w:t>
      </w:r>
      <w:r>
        <w:rPr>
          <w:rFonts w:hint="eastAsia" w:ascii="仿宋_GB2312" w:hAnsi="宋体" w:cs="仿宋_GB2312"/>
          <w:color w:val="333333"/>
          <w:szCs w:val="32"/>
          <w:shd w:val="clear" w:color="auto" w:fill="FFFFFF"/>
          <w:lang w:val="en-US" w:eastAsia="zh-CN"/>
        </w:rPr>
        <w:t>4</w:t>
      </w:r>
      <w:r>
        <w:rPr>
          <w:rFonts w:hint="eastAsia" w:ascii="仿宋_GB2312" w:hAnsi="宋体" w:cs="仿宋_GB2312"/>
          <w:color w:val="333333"/>
          <w:szCs w:val="32"/>
          <w:shd w:val="clear" w:color="auto" w:fill="FFFFFF"/>
        </w:rPr>
        <w:t>年增人增资、基础绩效资金、绩效考核奖金，一次性抚恤金、202</w:t>
      </w:r>
      <w:r>
        <w:rPr>
          <w:rFonts w:hint="eastAsia" w:ascii="仿宋_GB2312" w:hAnsi="宋体" w:cs="仿宋_GB2312"/>
          <w:color w:val="333333"/>
          <w:szCs w:val="32"/>
          <w:shd w:val="clear" w:color="auto" w:fill="FFFFFF"/>
          <w:lang w:val="en-US" w:eastAsia="zh-CN"/>
        </w:rPr>
        <w:t>3</w:t>
      </w:r>
      <w:r>
        <w:rPr>
          <w:rFonts w:hint="eastAsia" w:ascii="仿宋_GB2312" w:hAnsi="宋体" w:cs="仿宋_GB2312"/>
          <w:color w:val="333333"/>
          <w:szCs w:val="32"/>
          <w:shd w:val="clear" w:color="auto" w:fill="FFFFFF"/>
        </w:rPr>
        <w:t>年综合绩效奖、绩效考核资金</w:t>
      </w:r>
      <w:r>
        <w:rPr>
          <w:rFonts w:hint="eastAsia" w:ascii="仿宋_GB2312" w:hAnsi="宋体" w:cs="仿宋_GB2312"/>
          <w:color w:val="333333"/>
          <w:szCs w:val="32"/>
          <w:shd w:val="clear" w:color="auto" w:fill="FFFFFF"/>
          <w:lang w:eastAsia="zh-CN"/>
        </w:rPr>
        <w:t>，中央和省级政法转移支付资金</w:t>
      </w:r>
      <w:r>
        <w:rPr>
          <w:rFonts w:hint="eastAsia" w:ascii="仿宋_GB2312" w:hAnsi="宋体" w:cs="仿宋_GB2312"/>
          <w:color w:val="333333"/>
          <w:szCs w:val="32"/>
          <w:shd w:val="clear" w:color="auto" w:fill="FFFFFF"/>
        </w:rPr>
        <w:t>等。其中：基本支出</w:t>
      </w:r>
      <w:r>
        <w:rPr>
          <w:rFonts w:hint="eastAsia" w:ascii="仿宋_GB2312" w:hAnsi="宋体" w:cs="仿宋_GB2312"/>
          <w:color w:val="333333"/>
          <w:szCs w:val="32"/>
          <w:shd w:val="clear" w:color="auto" w:fill="FFFFFF"/>
          <w:lang w:val="en-US" w:eastAsia="zh-CN"/>
        </w:rPr>
        <w:t>896.35</w:t>
      </w:r>
      <w:r>
        <w:rPr>
          <w:rFonts w:hint="eastAsia" w:ascii="仿宋_GB2312" w:hAnsi="宋体" w:cs="仿宋_GB2312"/>
          <w:color w:val="333333"/>
          <w:szCs w:val="32"/>
          <w:shd w:val="clear" w:color="auto" w:fill="FFFFFF"/>
        </w:rPr>
        <w:t>万元（人员经费支出</w:t>
      </w:r>
      <w:r>
        <w:rPr>
          <w:rFonts w:hint="eastAsia" w:ascii="仿宋_GB2312" w:hAnsi="宋体" w:cs="仿宋_GB2312"/>
          <w:color w:val="333333"/>
          <w:szCs w:val="32"/>
          <w:shd w:val="clear" w:color="auto" w:fill="FFFFFF"/>
          <w:lang w:val="en-US" w:eastAsia="zh-CN"/>
        </w:rPr>
        <w:t>791.49</w:t>
      </w:r>
      <w:r>
        <w:rPr>
          <w:rFonts w:hint="eastAsia" w:ascii="仿宋_GB2312" w:hAnsi="宋体" w:cs="仿宋_GB2312"/>
          <w:color w:val="333333"/>
          <w:szCs w:val="32"/>
          <w:shd w:val="clear" w:color="auto" w:fill="FFFFFF"/>
        </w:rPr>
        <w:t>万元、日常公用经费支出</w:t>
      </w:r>
      <w:r>
        <w:rPr>
          <w:rFonts w:hint="eastAsia" w:ascii="仿宋_GB2312" w:hAnsi="宋体" w:cs="仿宋_GB2312"/>
          <w:color w:val="333333"/>
          <w:szCs w:val="32"/>
          <w:shd w:val="clear" w:color="auto" w:fill="FFFFFF"/>
          <w:lang w:val="en-US" w:eastAsia="zh-CN"/>
        </w:rPr>
        <w:t>104.86</w:t>
      </w:r>
      <w:r>
        <w:rPr>
          <w:rFonts w:hint="eastAsia" w:ascii="仿宋_GB2312" w:hAnsi="宋体" w:cs="仿宋_GB2312"/>
          <w:color w:val="333333"/>
          <w:szCs w:val="32"/>
          <w:shd w:val="clear" w:color="auto" w:fill="FFFFFF"/>
        </w:rPr>
        <w:t>万元），项目支出</w:t>
      </w:r>
      <w:r>
        <w:rPr>
          <w:rFonts w:hint="eastAsia" w:ascii="仿宋_GB2312" w:hAnsi="宋体" w:cs="仿宋_GB2312"/>
          <w:color w:val="333333"/>
          <w:szCs w:val="32"/>
          <w:shd w:val="clear" w:color="auto" w:fill="FFFFFF"/>
          <w:lang w:val="en-US" w:eastAsia="zh-CN"/>
        </w:rPr>
        <w:t>213.10</w:t>
      </w:r>
      <w:r>
        <w:rPr>
          <w:rFonts w:hint="eastAsia" w:ascii="仿宋_GB2312" w:hAnsi="宋体" w:cs="仿宋_GB2312"/>
          <w:color w:val="333333"/>
          <w:szCs w:val="32"/>
          <w:shd w:val="clear" w:color="auto" w:fill="FFFFFF"/>
        </w:rPr>
        <w:t>万元，主要用于法律援助办案、人民调解、普法宣传、社区矫正、安置帮教等方面。</w:t>
      </w:r>
    </w:p>
    <w:p w14:paraId="6199B6F4">
      <w:pPr>
        <w:numPr>
          <w:ilvl w:val="0"/>
          <w:numId w:val="3"/>
        </w:num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基本支出情况</w:t>
      </w:r>
    </w:p>
    <w:p w14:paraId="1EFD9FA0">
      <w:pPr>
        <w:spacing w:line="560" w:lineRule="exact"/>
        <w:ind w:firstLine="640" w:firstLineChars="200"/>
        <w:rPr>
          <w:rFonts w:hint="eastAsia"/>
          <w:lang w:val="en-US" w:eastAsia="zh-CN"/>
        </w:rPr>
      </w:pPr>
      <w:r>
        <w:rPr>
          <w:rFonts w:hint="eastAsia" w:ascii="仿宋_GB2312" w:hAnsi="宋体" w:cs="仿宋_GB2312"/>
          <w:color w:val="333333"/>
          <w:szCs w:val="32"/>
          <w:shd w:val="clear" w:color="auto" w:fill="FFFFFF"/>
        </w:rPr>
        <w:t>202</w:t>
      </w:r>
      <w:r>
        <w:rPr>
          <w:rFonts w:hint="eastAsia" w:ascii="仿宋_GB2312" w:hAnsi="宋体" w:cs="仿宋_GB2312"/>
          <w:color w:val="333333"/>
          <w:szCs w:val="32"/>
          <w:shd w:val="clear" w:color="auto" w:fill="FFFFFF"/>
          <w:lang w:val="en-US" w:eastAsia="zh-CN"/>
        </w:rPr>
        <w:t>4</w:t>
      </w:r>
      <w:r>
        <w:rPr>
          <w:rFonts w:hint="eastAsia" w:ascii="仿宋_GB2312" w:hAnsi="宋体" w:cs="仿宋_GB2312"/>
          <w:color w:val="333333"/>
          <w:szCs w:val="32"/>
          <w:shd w:val="clear" w:color="auto" w:fill="FFFFFF"/>
        </w:rPr>
        <w:t>年基本支出</w:t>
      </w:r>
      <w:r>
        <w:rPr>
          <w:rFonts w:hint="eastAsia" w:ascii="仿宋_GB2312" w:hAnsi="宋体" w:cs="仿宋_GB2312"/>
          <w:color w:val="333333"/>
          <w:szCs w:val="32"/>
          <w:shd w:val="clear" w:color="auto" w:fill="FFFFFF"/>
          <w:lang w:val="en-US" w:eastAsia="zh-CN"/>
        </w:rPr>
        <w:t>896.35</w:t>
      </w:r>
      <w:r>
        <w:rPr>
          <w:rFonts w:hint="eastAsia" w:ascii="仿宋_GB2312" w:hAnsi="宋体" w:cs="仿宋_GB2312"/>
          <w:color w:val="333333"/>
          <w:szCs w:val="32"/>
          <w:shd w:val="clear" w:color="auto" w:fill="FFFFFF"/>
        </w:rPr>
        <w:t>万元，其中人员经费</w:t>
      </w:r>
      <w:r>
        <w:rPr>
          <w:rFonts w:hint="eastAsia" w:ascii="仿宋_GB2312" w:hAnsi="宋体" w:cs="仿宋_GB2312"/>
          <w:color w:val="333333"/>
          <w:szCs w:val="32"/>
          <w:shd w:val="clear" w:color="auto" w:fill="FFFFFF"/>
          <w:lang w:val="en-US" w:eastAsia="zh-CN"/>
        </w:rPr>
        <w:t>791.49</w:t>
      </w:r>
      <w:r>
        <w:rPr>
          <w:rFonts w:hint="eastAsia" w:ascii="仿宋_GB2312" w:hAnsi="宋体" w:cs="仿宋_GB2312"/>
          <w:color w:val="333333"/>
          <w:szCs w:val="32"/>
          <w:shd w:val="clear" w:color="auto" w:fill="FFFFFF"/>
        </w:rPr>
        <w:t>万元,主要用于单位的基本工资、津贴补贴、奖金、伙食补助费、绩效工资、机关事业单位基本养老保险缴费、职业年金缴费、</w:t>
      </w:r>
      <w:r>
        <w:rPr>
          <w:rFonts w:hint="eastAsia" w:ascii="仿宋_GB2312" w:hAnsi="宋体" w:cs="仿宋_GB2312"/>
          <w:color w:val="333333"/>
          <w:szCs w:val="32"/>
          <w:shd w:val="clear" w:color="auto" w:fill="FFFFFF"/>
          <w:lang w:eastAsia="zh-CN"/>
        </w:rPr>
        <w:t>职工基本医疗保险缴费、</w:t>
      </w:r>
      <w:r>
        <w:rPr>
          <w:rFonts w:hint="eastAsia" w:ascii="仿宋_GB2312" w:hAnsi="宋体" w:cs="仿宋_GB2312"/>
          <w:color w:val="333333"/>
          <w:szCs w:val="32"/>
          <w:shd w:val="clear" w:color="auto" w:fill="FFFFFF"/>
        </w:rPr>
        <w:t>公务员医疗补助缴费、住房公积金、</w:t>
      </w:r>
      <w:r>
        <w:rPr>
          <w:rFonts w:hint="eastAsia" w:ascii="仿宋_GB2312" w:hAnsi="宋体" w:cs="仿宋_GB2312"/>
          <w:color w:val="333333"/>
          <w:szCs w:val="32"/>
          <w:shd w:val="clear" w:color="auto" w:fill="FFFFFF"/>
          <w:lang w:eastAsia="zh-CN"/>
        </w:rPr>
        <w:t>其他工资福利支出，</w:t>
      </w:r>
      <w:r>
        <w:rPr>
          <w:rFonts w:hint="eastAsia" w:ascii="仿宋_GB2312" w:hAnsi="宋体" w:cs="仿宋_GB2312"/>
          <w:color w:val="333333"/>
          <w:szCs w:val="32"/>
          <w:shd w:val="clear" w:color="auto" w:fill="FFFFFF"/>
        </w:rPr>
        <w:t>抚恤金、生活补助</w:t>
      </w:r>
      <w:r>
        <w:rPr>
          <w:rFonts w:hint="eastAsia" w:ascii="仿宋_GB2312" w:hAnsi="宋体" w:cs="仿宋_GB2312"/>
          <w:color w:val="333333"/>
          <w:szCs w:val="32"/>
          <w:shd w:val="clear" w:color="auto" w:fill="FFFFFF"/>
          <w:lang w:eastAsia="zh-CN"/>
        </w:rPr>
        <w:t>、代缴社会保险费、其他对个人和家庭的补助</w:t>
      </w:r>
      <w:r>
        <w:rPr>
          <w:rFonts w:hint="eastAsia" w:ascii="仿宋_GB2312" w:hAnsi="宋体" w:cs="仿宋_GB2312"/>
          <w:color w:val="333333"/>
          <w:szCs w:val="32"/>
          <w:shd w:val="clear" w:color="auto" w:fill="FFFFFF"/>
        </w:rPr>
        <w:t>等。日常公用经费支出</w:t>
      </w:r>
      <w:r>
        <w:rPr>
          <w:rFonts w:hint="eastAsia" w:ascii="仿宋_GB2312" w:hAnsi="宋体" w:cs="仿宋_GB2312"/>
          <w:color w:val="333333"/>
          <w:szCs w:val="32"/>
          <w:shd w:val="clear" w:color="auto" w:fill="FFFFFF"/>
          <w:lang w:val="en-US" w:eastAsia="zh-CN"/>
        </w:rPr>
        <w:t>104.86</w:t>
      </w:r>
      <w:r>
        <w:rPr>
          <w:rFonts w:hint="eastAsia" w:ascii="仿宋_GB2312" w:hAnsi="宋体" w:cs="仿宋_GB2312"/>
          <w:color w:val="333333"/>
          <w:szCs w:val="32"/>
          <w:shd w:val="clear" w:color="auto" w:fill="FFFFFF"/>
        </w:rPr>
        <w:t>万元，</w:t>
      </w:r>
      <w:r>
        <w:rPr>
          <w:rFonts w:hint="eastAsia" w:ascii="仿宋_GB2312" w:hAnsi="宋体" w:cs="仿宋_GB2312"/>
          <w:color w:val="333333"/>
          <w:szCs w:val="32"/>
          <w:shd w:val="clear" w:color="auto" w:fill="FFFFFF"/>
          <w:lang w:val="en-US" w:eastAsia="zh-CN"/>
        </w:rPr>
        <w:t>较年初预算69.77万元增加35.09万元，增加的主要原因是年初预算严格按预算编制要求，经费指标有限，实际支出时用单位资金进行弥补，以保各项工作正常运行。</w:t>
      </w:r>
      <w:r>
        <w:rPr>
          <w:rFonts w:hint="eastAsia" w:ascii="仿宋_GB2312" w:hAnsi="宋体" w:cs="仿宋_GB2312"/>
          <w:color w:val="333333"/>
          <w:szCs w:val="32"/>
          <w:shd w:val="clear" w:color="auto" w:fill="FFFFFF"/>
        </w:rPr>
        <w:t>主要用于办公费、水费、电费、邮电费、</w:t>
      </w:r>
      <w:r>
        <w:rPr>
          <w:rFonts w:hint="eastAsia" w:ascii="仿宋_GB2312" w:hAnsi="宋体" w:cs="仿宋_GB2312"/>
          <w:color w:val="333333"/>
          <w:szCs w:val="32"/>
          <w:shd w:val="clear" w:color="auto" w:fill="FFFFFF"/>
          <w:lang w:eastAsia="zh-CN"/>
        </w:rPr>
        <w:t>差旅费、</w:t>
      </w:r>
      <w:r>
        <w:rPr>
          <w:rFonts w:hint="eastAsia" w:ascii="仿宋_GB2312" w:hAnsi="宋体" w:cs="仿宋_GB2312"/>
          <w:color w:val="333333"/>
          <w:szCs w:val="32"/>
          <w:shd w:val="clear" w:color="auto" w:fill="FFFFFF"/>
        </w:rPr>
        <w:t>维修（护）费、</w:t>
      </w:r>
      <w:r>
        <w:rPr>
          <w:rFonts w:hint="eastAsia" w:ascii="仿宋_GB2312" w:hAnsi="宋体" w:cs="仿宋_GB2312"/>
          <w:color w:val="333333"/>
          <w:szCs w:val="32"/>
          <w:shd w:val="clear" w:color="auto" w:fill="FFFFFF"/>
          <w:lang w:eastAsia="zh-CN"/>
        </w:rPr>
        <w:t>租赁费、</w:t>
      </w:r>
      <w:r>
        <w:rPr>
          <w:rFonts w:hint="eastAsia" w:ascii="仿宋_GB2312" w:hAnsi="宋体" w:cs="仿宋_GB2312"/>
          <w:color w:val="333333"/>
          <w:szCs w:val="32"/>
          <w:shd w:val="clear" w:color="auto" w:fill="FFFFFF"/>
        </w:rPr>
        <w:t>培训费、公务接待费、</w:t>
      </w:r>
      <w:r>
        <w:rPr>
          <w:rFonts w:hint="eastAsia" w:ascii="仿宋_GB2312" w:hAnsi="宋体" w:cs="仿宋_GB2312"/>
          <w:color w:val="333333"/>
          <w:szCs w:val="32"/>
          <w:shd w:val="clear" w:color="auto" w:fill="FFFFFF"/>
          <w:lang w:eastAsia="zh-CN"/>
        </w:rPr>
        <w:t>劳务费、</w:t>
      </w:r>
      <w:r>
        <w:rPr>
          <w:rFonts w:hint="eastAsia" w:ascii="仿宋_GB2312" w:hAnsi="宋体" w:cs="仿宋_GB2312"/>
          <w:color w:val="333333"/>
          <w:szCs w:val="32"/>
          <w:shd w:val="clear" w:color="auto" w:fill="FFFFFF"/>
        </w:rPr>
        <w:t>工会经费、公务用车运行维护费、</w:t>
      </w:r>
      <w:r>
        <w:rPr>
          <w:rFonts w:hint="eastAsia" w:ascii="仿宋_GB2312" w:hAnsi="宋体" w:cs="仿宋_GB2312"/>
          <w:color w:val="333333"/>
          <w:szCs w:val="32"/>
          <w:shd w:val="clear" w:color="auto" w:fill="FFFFFF"/>
          <w:lang w:eastAsia="zh-CN"/>
        </w:rPr>
        <w:t>其他交通费（含公务员车补）、</w:t>
      </w:r>
      <w:r>
        <w:rPr>
          <w:rFonts w:hint="eastAsia" w:ascii="仿宋_GB2312" w:hAnsi="宋体" w:cs="仿宋_GB2312"/>
          <w:color w:val="333333"/>
          <w:szCs w:val="32"/>
          <w:shd w:val="clear" w:color="auto" w:fill="FFFFFF"/>
        </w:rPr>
        <w:t>其他商品和服务支出</w:t>
      </w:r>
      <w:r>
        <w:rPr>
          <w:rFonts w:hint="eastAsia" w:ascii="仿宋_GB2312" w:hAnsi="宋体" w:cs="仿宋_GB2312"/>
          <w:color w:val="333333"/>
          <w:szCs w:val="32"/>
          <w:shd w:val="clear" w:color="auto" w:fill="FFFFFF"/>
          <w:lang w:eastAsia="zh-CN"/>
        </w:rPr>
        <w:t>、办公设备购置</w:t>
      </w:r>
      <w:r>
        <w:rPr>
          <w:rFonts w:hint="eastAsia" w:ascii="仿宋_GB2312" w:hAnsi="宋体" w:cs="仿宋_GB2312"/>
          <w:color w:val="333333"/>
          <w:szCs w:val="32"/>
          <w:shd w:val="clear" w:color="auto" w:fill="FFFFFF"/>
        </w:rPr>
        <w:t>等支出。</w:t>
      </w:r>
    </w:p>
    <w:p w14:paraId="70FA466D">
      <w:pPr>
        <w:spacing w:line="600" w:lineRule="exact"/>
        <w:ind w:firstLine="627" w:firstLineChars="196"/>
        <w:jc w:val="left"/>
        <w:rPr>
          <w:rFonts w:hint="default" w:ascii="仿宋_GB2312" w:hAnsi="仿宋_GB2312" w:eastAsia="仿宋_GB2312" w:cs="仿宋_GB2312"/>
          <w:b w:val="0"/>
          <w:bCs w:val="0"/>
          <w:kern w:val="0"/>
          <w:sz w:val="32"/>
          <w:szCs w:val="32"/>
          <w:highlight w:val="none"/>
          <w:lang w:val="en-US" w:eastAsia="zh-CN" w:bidi="ar-SA"/>
        </w:rPr>
      </w:pPr>
      <w:r>
        <w:rPr>
          <w:rFonts w:hint="eastAsia" w:ascii="仿宋_GB2312" w:hAnsi="仿宋_GB2312" w:eastAsia="仿宋_GB2312" w:cs="仿宋_GB2312"/>
          <w:b w:val="0"/>
          <w:bCs w:val="0"/>
          <w:kern w:val="0"/>
          <w:sz w:val="32"/>
          <w:szCs w:val="32"/>
          <w:highlight w:val="none"/>
          <w:lang w:val="en-US" w:eastAsia="zh-CN" w:bidi="ar-SA"/>
        </w:rPr>
        <w:t>（二）项目支出情况</w:t>
      </w:r>
    </w:p>
    <w:p w14:paraId="1DC824B3">
      <w:pPr>
        <w:spacing w:line="600" w:lineRule="exact"/>
        <w:ind w:firstLine="640"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highlight w:val="none"/>
          <w:lang w:val="en-US" w:eastAsia="zh-CN" w:bidi="ar-SA"/>
        </w:rPr>
        <w:t>202</w:t>
      </w:r>
      <w:r>
        <w:rPr>
          <w:rFonts w:hint="eastAsia" w:ascii="仿宋_GB2312" w:hAnsi="仿宋_GB2312" w:cs="仿宋_GB2312"/>
          <w:kern w:val="0"/>
          <w:sz w:val="32"/>
          <w:szCs w:val="32"/>
          <w:highlight w:val="none"/>
          <w:lang w:val="en-US" w:eastAsia="zh-CN" w:bidi="ar-SA"/>
        </w:rPr>
        <w:t>4</w:t>
      </w:r>
      <w:r>
        <w:rPr>
          <w:rFonts w:hint="eastAsia" w:ascii="仿宋_GB2312" w:hAnsi="仿宋_GB2312" w:eastAsia="仿宋_GB2312" w:cs="仿宋_GB2312"/>
          <w:kern w:val="0"/>
          <w:sz w:val="32"/>
          <w:szCs w:val="32"/>
          <w:highlight w:val="none"/>
          <w:lang w:val="en-US" w:eastAsia="zh-CN" w:bidi="ar-SA"/>
        </w:rPr>
        <w:t>年度区级专项资金</w:t>
      </w:r>
      <w:r>
        <w:rPr>
          <w:rFonts w:hint="eastAsia" w:ascii="仿宋_GB2312" w:hAnsi="仿宋_GB2312" w:eastAsia="仿宋_GB2312" w:cs="仿宋_GB2312"/>
          <w:kern w:val="0"/>
          <w:sz w:val="32"/>
          <w:szCs w:val="32"/>
          <w:lang w:val="en-US" w:eastAsia="zh-CN" w:bidi="ar-SA"/>
        </w:rPr>
        <w:t>分配安排和使用管理情况</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专项资金名称必须注明。</w:t>
      </w:r>
    </w:p>
    <w:p w14:paraId="3930AD6C">
      <w:pPr>
        <w:spacing w:line="560" w:lineRule="exact"/>
        <w:ind w:left="320" w:leftChars="100" w:firstLine="640" w:firstLineChars="200"/>
        <w:rPr>
          <w:rFonts w:hint="eastAsia"/>
          <w:lang w:val="en-US" w:eastAsia="zh-CN"/>
        </w:rPr>
      </w:pPr>
      <w:r>
        <w:rPr>
          <w:rFonts w:hint="eastAsia" w:ascii="仿宋_GB2312" w:hAnsi="宋体" w:cs="仿宋_GB2312"/>
          <w:color w:val="333333"/>
          <w:szCs w:val="32"/>
          <w:shd w:val="clear" w:color="auto" w:fill="FFFFFF"/>
        </w:rPr>
        <w:t>202</w:t>
      </w:r>
      <w:r>
        <w:rPr>
          <w:rFonts w:hint="eastAsia" w:ascii="仿宋_GB2312" w:hAnsi="宋体" w:cs="仿宋_GB2312"/>
          <w:color w:val="333333"/>
          <w:szCs w:val="32"/>
          <w:shd w:val="clear" w:color="auto" w:fill="FFFFFF"/>
          <w:lang w:val="en-US" w:eastAsia="zh-CN"/>
        </w:rPr>
        <w:t>4</w:t>
      </w:r>
      <w:r>
        <w:rPr>
          <w:rFonts w:hint="eastAsia" w:ascii="仿宋_GB2312" w:hAnsi="宋体" w:cs="仿宋_GB2312"/>
          <w:color w:val="333333"/>
          <w:szCs w:val="32"/>
          <w:shd w:val="clear" w:color="auto" w:fill="FFFFFF"/>
        </w:rPr>
        <w:t>年项目支出</w:t>
      </w:r>
      <w:r>
        <w:rPr>
          <w:rFonts w:hint="eastAsia" w:ascii="仿宋_GB2312" w:hAnsi="宋体" w:cs="仿宋_GB2312"/>
          <w:color w:val="333333"/>
          <w:szCs w:val="32"/>
          <w:shd w:val="clear" w:color="auto" w:fill="FFFFFF"/>
          <w:lang w:val="en-US" w:eastAsia="zh-CN"/>
        </w:rPr>
        <w:t>213.10</w:t>
      </w:r>
      <w:r>
        <w:rPr>
          <w:rFonts w:hint="eastAsia" w:ascii="仿宋_GB2312" w:hAnsi="宋体" w:cs="仿宋_GB2312"/>
          <w:color w:val="333333"/>
          <w:szCs w:val="32"/>
          <w:shd w:val="clear" w:color="auto" w:fill="FFFFFF"/>
        </w:rPr>
        <w:t>万元，主要用于</w:t>
      </w:r>
      <w:r>
        <w:rPr>
          <w:rFonts w:hint="eastAsia" w:ascii="仿宋_GB2312" w:hAnsi="宋体" w:cs="仿宋_GB2312"/>
          <w:color w:val="333333"/>
          <w:szCs w:val="32"/>
          <w:shd w:val="clear" w:color="auto" w:fill="FFFFFF"/>
          <w:lang w:eastAsia="zh-CN"/>
        </w:rPr>
        <w:t>安置帮教、法律援助、工业园司法、人民调解、三联调动、行政复议工作经费、政府法制工作经费、政府购买社区矫正服务、社区矫正、</w:t>
      </w:r>
      <w:r>
        <w:rPr>
          <w:rFonts w:hint="eastAsia" w:ascii="仿宋_GB2312" w:hAnsi="宋体" w:cs="仿宋_GB2312"/>
          <w:color w:val="333333"/>
          <w:szCs w:val="32"/>
          <w:shd w:val="clear" w:color="auto" w:fill="FFFFFF"/>
          <w:lang w:val="en-US" w:eastAsia="zh-CN"/>
        </w:rPr>
        <w:t>区委全面依法治区委员会办公室工作经费</w:t>
      </w:r>
      <w:r>
        <w:rPr>
          <w:rFonts w:hint="eastAsia" w:ascii="仿宋_GB2312" w:hAnsi="宋体" w:cs="仿宋_GB2312"/>
          <w:color w:val="333333"/>
          <w:szCs w:val="32"/>
          <w:shd w:val="clear" w:color="auto" w:fill="FFFFFF"/>
          <w:lang w:eastAsia="zh-CN"/>
        </w:rPr>
        <w:t>、普法宣传等</w:t>
      </w:r>
      <w:r>
        <w:rPr>
          <w:rFonts w:hint="eastAsia" w:ascii="仿宋_GB2312" w:hAnsi="宋体" w:cs="仿宋_GB2312"/>
          <w:color w:val="333333"/>
          <w:szCs w:val="32"/>
          <w:shd w:val="clear" w:color="auto" w:fill="FFFFFF"/>
        </w:rPr>
        <w:t>方面。</w:t>
      </w:r>
    </w:p>
    <w:p w14:paraId="1C4F191A">
      <w:pPr>
        <w:widowControl/>
        <w:numPr>
          <w:ilvl w:val="0"/>
          <w:numId w:val="1"/>
        </w:numPr>
        <w:autoSpaceDN w:val="0"/>
        <w:spacing w:line="540" w:lineRule="exact"/>
        <w:ind w:left="640" w:leftChars="0" w:firstLine="640" w:firstLineChars="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14:paraId="079BE9C8">
      <w:pPr>
        <w:keepNext w:val="0"/>
        <w:keepLines w:val="0"/>
        <w:pageBreakBefore w:val="0"/>
        <w:kinsoku/>
        <w:wordWrap/>
        <w:overflowPunct/>
        <w:topLinePunct w:val="0"/>
        <w:autoSpaceDE/>
        <w:autoSpaceDN/>
        <w:bidi w:val="0"/>
        <w:adjustRightInd/>
        <w:snapToGrid/>
        <w:spacing w:line="560" w:lineRule="atLeast"/>
        <w:ind w:left="0" w:leftChars="0" w:firstLine="643" w:firstLineChars="200"/>
        <w:jc w:val="left"/>
        <w:textAlignment w:val="auto"/>
        <w:rPr>
          <w:rFonts w:ascii="楷体" w:hAnsi="楷体" w:eastAsia="楷体" w:cs="楷体"/>
          <w:b/>
          <w:color w:val="auto"/>
          <w:sz w:val="32"/>
          <w:szCs w:val="40"/>
        </w:rPr>
      </w:pPr>
      <w:r>
        <w:rPr>
          <w:rFonts w:hint="eastAsia" w:ascii="楷体" w:hAnsi="楷体" w:eastAsia="楷体" w:cs="楷体"/>
          <w:b/>
          <w:color w:val="auto"/>
          <w:sz w:val="32"/>
          <w:szCs w:val="40"/>
        </w:rPr>
        <w:t>（一）坚持法治引领，全面依法治区制度机制日益健全</w:t>
      </w:r>
    </w:p>
    <w:p w14:paraId="6CEB691B">
      <w:pPr>
        <w:pStyle w:val="2"/>
        <w:numPr>
          <w:ilvl w:val="0"/>
          <w:numId w:val="0"/>
        </w:num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bCs/>
          <w:color w:val="auto"/>
          <w:sz w:val="32"/>
          <w:szCs w:val="32"/>
        </w:rPr>
        <w:t>1.深学笃行更加扎实。</w:t>
      </w:r>
      <w:r>
        <w:rPr>
          <w:rFonts w:hint="eastAsia" w:ascii="仿宋_GB2312" w:hAnsi="仿宋_GB2312" w:eastAsia="仿宋_GB2312" w:cs="仿宋_GB2312"/>
          <w:color w:val="auto"/>
          <w:sz w:val="32"/>
          <w:szCs w:val="32"/>
          <w:lang w:eastAsia="zh-CN"/>
        </w:rPr>
        <w:t>坚持把学习宣传贯彻习近平法治思想作为重大政治任务和长期战略任务。</w:t>
      </w:r>
    </w:p>
    <w:p w14:paraId="5B3BE2E3">
      <w:pPr>
        <w:pStyle w:val="2"/>
        <w:numPr>
          <w:ilvl w:val="0"/>
          <w:numId w:val="0"/>
        </w:num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.统筹推进更加全面。</w:t>
      </w:r>
      <w:r>
        <w:rPr>
          <w:rFonts w:hint="eastAsia" w:ascii="仿宋_GB2312" w:hAnsi="仿宋_GB2312" w:eastAsia="仿宋_GB2312" w:cs="仿宋_GB2312"/>
          <w:color w:val="auto"/>
          <w:sz w:val="32"/>
          <w:szCs w:val="32"/>
          <w:lang w:eastAsia="zh-CN"/>
        </w:rPr>
        <w:t>全面贯彻落实省市县“三级联动”法治督察体系建设改革，加强重点领域法治建设，</w:t>
      </w:r>
      <w:r>
        <w:rPr>
          <w:rFonts w:hint="eastAsia" w:ascii="仿宋_GB2312" w:hAnsi="仿宋_GB2312" w:eastAsia="仿宋_GB2312" w:cs="仿宋_GB2312"/>
          <w:color w:val="auto"/>
          <w:sz w:val="32"/>
          <w:szCs w:val="32"/>
        </w:rPr>
        <w:t>组织对区教育局、区人社局、区民政局三个单位开展了“驻点式</w:t>
      </w:r>
      <w:r>
        <w:rPr>
          <w:rFonts w:hint="eastAsia" w:ascii="仿宋_GB2312" w:hAnsi="仿宋_GB2312" w:eastAsia="仿宋_GB2312" w:cs="仿宋_GB2312"/>
          <w:color w:val="auto"/>
          <w:sz w:val="32"/>
          <w:szCs w:val="40"/>
        </w:rPr>
        <w:t>”法治督察。</w:t>
      </w:r>
    </w:p>
    <w:p w14:paraId="0114E5C0">
      <w:pPr>
        <w:keepNext w:val="0"/>
        <w:keepLines w:val="0"/>
        <w:pageBreakBefore w:val="0"/>
        <w:kinsoku/>
        <w:wordWrap/>
        <w:overflowPunct/>
        <w:topLinePunct w:val="0"/>
        <w:autoSpaceDE/>
        <w:autoSpaceDN/>
        <w:bidi w:val="0"/>
        <w:adjustRightInd/>
        <w:snapToGrid/>
        <w:spacing w:line="560" w:lineRule="atLeast"/>
        <w:ind w:left="0" w:leftChars="0" w:firstLine="643" w:firstLineChars="200"/>
        <w:jc w:val="left"/>
        <w:textAlignment w:val="auto"/>
        <w:rPr>
          <w:rFonts w:ascii="楷体" w:hAnsi="楷体" w:eastAsia="楷体" w:cs="楷体"/>
          <w:b/>
          <w:color w:val="auto"/>
          <w:sz w:val="32"/>
          <w:szCs w:val="40"/>
        </w:rPr>
      </w:pPr>
      <w:r>
        <w:rPr>
          <w:rFonts w:ascii="楷体" w:hAnsi="楷体" w:eastAsia="楷体" w:cs="楷体"/>
          <w:b/>
          <w:color w:val="auto"/>
          <w:sz w:val="32"/>
          <w:szCs w:val="40"/>
        </w:rPr>
        <w:t>（二）坚持服务保障，护航发展大局全局作用愈加凸显</w:t>
      </w:r>
    </w:p>
    <w:p w14:paraId="558EF4EA">
      <w:pPr>
        <w:pStyle w:val="2"/>
        <w:numPr>
          <w:ilvl w:val="0"/>
          <w:numId w:val="0"/>
        </w:num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1.法宣教育不断深入。</w:t>
      </w:r>
      <w:r>
        <w:rPr>
          <w:rFonts w:hint="eastAsia" w:ascii="仿宋_GB2312" w:hAnsi="仿宋_GB2312" w:eastAsia="仿宋_GB2312" w:cs="仿宋_GB2312"/>
          <w:b w:val="0"/>
          <w:bCs w:val="0"/>
          <w:color w:val="auto"/>
          <w:sz w:val="32"/>
          <w:szCs w:val="32"/>
          <w:lang w:eastAsia="zh-CN"/>
        </w:rPr>
        <w:t>在全市率先出台</w:t>
      </w:r>
      <w:r>
        <w:rPr>
          <w:rFonts w:hint="eastAsia" w:ascii="仿宋_GB2312" w:hAnsi="仿宋_GB2312" w:eastAsia="仿宋_GB2312" w:cs="仿宋_GB2312"/>
          <w:color w:val="auto"/>
          <w:sz w:val="32"/>
          <w:szCs w:val="32"/>
        </w:rPr>
        <w:t>推动法治副校长实职化运行</w:t>
      </w:r>
      <w:r>
        <w:rPr>
          <w:rFonts w:hint="eastAsia" w:ascii="仿宋_GB2312" w:hAnsi="仿宋_GB2312" w:eastAsia="仿宋_GB2312" w:cs="仿宋_GB2312"/>
          <w:color w:val="auto"/>
          <w:sz w:val="32"/>
          <w:szCs w:val="32"/>
          <w:lang w:eastAsia="zh-CN"/>
        </w:rPr>
        <w:t>工作方案</w:t>
      </w:r>
      <w:r>
        <w:rPr>
          <w:rFonts w:hint="eastAsia" w:ascii="仿宋_GB2312" w:hAnsi="仿宋_GB2312" w:eastAsia="仿宋_GB2312" w:cs="仿宋_GB2312"/>
          <w:color w:val="auto"/>
          <w:sz w:val="32"/>
          <w:szCs w:val="32"/>
        </w:rPr>
        <w:t>，选聘60名</w:t>
      </w:r>
      <w:r>
        <w:rPr>
          <w:rFonts w:hint="eastAsia" w:ascii="仿宋_GB2312" w:hAnsi="仿宋_GB2312" w:eastAsia="仿宋_GB2312" w:cs="仿宋_GB2312"/>
          <w:color w:val="auto"/>
          <w:sz w:val="32"/>
          <w:szCs w:val="32"/>
          <w:lang w:eastAsia="zh-CN"/>
        </w:rPr>
        <w:t>中小学校</w:t>
      </w:r>
      <w:r>
        <w:rPr>
          <w:rFonts w:hint="eastAsia" w:ascii="仿宋_GB2312" w:hAnsi="仿宋_GB2312" w:eastAsia="仿宋_GB2312" w:cs="仿宋_GB2312"/>
          <w:color w:val="auto"/>
          <w:sz w:val="32"/>
          <w:szCs w:val="32"/>
        </w:rPr>
        <w:t>法治副校长，举办了全区法治副校长培训班，全</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rPr>
        <w:t>法治副校长开展</w:t>
      </w:r>
      <w:r>
        <w:rPr>
          <w:rFonts w:hint="eastAsia" w:ascii="仿宋_GB2312" w:hAnsi="仿宋_GB2312" w:eastAsia="仿宋_GB2312" w:cs="仿宋_GB2312"/>
          <w:color w:val="auto"/>
          <w:sz w:val="32"/>
          <w:szCs w:val="32"/>
          <w:lang w:eastAsia="zh-CN"/>
        </w:rPr>
        <w:t>防性侵、防欺凌、防溺水等</w:t>
      </w:r>
      <w:r>
        <w:rPr>
          <w:rFonts w:hint="eastAsia" w:ascii="仿宋_GB2312" w:hAnsi="仿宋_GB2312" w:eastAsia="仿宋_GB2312" w:cs="仿宋_GB2312"/>
          <w:color w:val="auto"/>
          <w:sz w:val="32"/>
          <w:szCs w:val="32"/>
        </w:rPr>
        <w:t>“送法进校园”活动100余场次。</w:t>
      </w:r>
    </w:p>
    <w:p w14:paraId="01E5089B">
      <w:pPr>
        <w:keepNext w:val="0"/>
        <w:keepLines w:val="0"/>
        <w:pageBreakBefore w:val="0"/>
        <w:kinsoku/>
        <w:wordWrap/>
        <w:overflowPunct/>
        <w:topLinePunct w:val="0"/>
        <w:autoSpaceDE/>
        <w:autoSpaceDN/>
        <w:bidi w:val="0"/>
        <w:adjustRightInd/>
        <w:snapToGrid/>
        <w:spacing w:line="560" w:lineRule="atLeast"/>
        <w:ind w:left="0" w:leftChars="0"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rPr>
        <w:t>.法律服务不断升级。</w:t>
      </w:r>
      <w:r>
        <w:rPr>
          <w:rFonts w:hint="eastAsia" w:ascii="仿宋_GB2312" w:hAnsi="仿宋_GB2312" w:eastAsia="仿宋_GB2312" w:cs="仿宋_GB2312"/>
          <w:color w:val="auto"/>
          <w:sz w:val="32"/>
          <w:szCs w:val="32"/>
          <w:highlight w:val="none"/>
        </w:rPr>
        <w:t>截至</w:t>
      </w:r>
      <w:r>
        <w:rPr>
          <w:rFonts w:hint="eastAsia" w:ascii="仿宋_GB2312" w:hAnsi="仿宋_GB2312" w:eastAsia="仿宋_GB2312" w:cs="仿宋_GB2312"/>
          <w:color w:val="auto"/>
          <w:sz w:val="32"/>
          <w:szCs w:val="32"/>
          <w:highlight w:val="none"/>
          <w:lang w:val="en-US" w:eastAsia="zh-CN"/>
        </w:rPr>
        <w:t>目前</w:t>
      </w:r>
      <w:r>
        <w:rPr>
          <w:rFonts w:hint="eastAsia" w:ascii="仿宋_GB2312" w:hAnsi="仿宋_GB2312" w:eastAsia="仿宋_GB2312" w:cs="仿宋_GB2312"/>
          <w:color w:val="auto"/>
          <w:sz w:val="32"/>
          <w:szCs w:val="32"/>
          <w:highlight w:val="none"/>
        </w:rPr>
        <w:t>，法律援助中心共受理案件2</w:t>
      </w:r>
      <w:r>
        <w:rPr>
          <w:rFonts w:hint="eastAsia" w:ascii="仿宋_GB2312" w:hAnsi="仿宋_GB2312" w:eastAsia="仿宋_GB2312" w:cs="仿宋_GB2312"/>
          <w:color w:val="auto"/>
          <w:sz w:val="32"/>
          <w:szCs w:val="32"/>
          <w:highlight w:val="none"/>
          <w:lang w:val="en-US" w:eastAsia="zh-CN"/>
        </w:rPr>
        <w:t>36</w:t>
      </w:r>
      <w:r>
        <w:rPr>
          <w:rFonts w:hint="eastAsia" w:ascii="仿宋_GB2312" w:hAnsi="仿宋_GB2312" w:eastAsia="仿宋_GB2312" w:cs="仿宋_GB2312"/>
          <w:color w:val="auto"/>
          <w:sz w:val="32"/>
          <w:szCs w:val="32"/>
          <w:highlight w:val="none"/>
        </w:rPr>
        <w:t>件，其中刑事案件</w:t>
      </w:r>
      <w:r>
        <w:rPr>
          <w:rFonts w:hint="eastAsia" w:ascii="仿宋_GB2312" w:hAnsi="仿宋_GB2312" w:eastAsia="仿宋_GB2312" w:cs="仿宋_GB2312"/>
          <w:color w:val="auto"/>
          <w:sz w:val="32"/>
          <w:szCs w:val="32"/>
          <w:highlight w:val="none"/>
          <w:lang w:val="en-US" w:eastAsia="zh-CN"/>
        </w:rPr>
        <w:t>96</w:t>
      </w:r>
      <w:r>
        <w:rPr>
          <w:rFonts w:hint="eastAsia" w:ascii="仿宋_GB2312" w:hAnsi="仿宋_GB2312" w:eastAsia="仿宋_GB2312" w:cs="仿宋_GB2312"/>
          <w:color w:val="auto"/>
          <w:sz w:val="32"/>
          <w:szCs w:val="32"/>
          <w:highlight w:val="none"/>
        </w:rPr>
        <w:t>件，民事案件1</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rPr>
        <w:t>件。全区2家律所共受理案件337件，完成办案收入395.7万元，为当事人挽回经济损失一千多万元。</w:t>
      </w:r>
      <w:r>
        <w:rPr>
          <w:rFonts w:hint="eastAsia" w:ascii="仿宋_GB2312" w:hAnsi="仿宋_GB2312" w:eastAsia="仿宋_GB2312" w:cs="仿宋_GB2312"/>
          <w:color w:val="auto"/>
          <w:sz w:val="32"/>
          <w:szCs w:val="32"/>
          <w:highlight w:val="none"/>
          <w:lang w:eastAsia="zh-CN"/>
        </w:rPr>
        <w:t>前三季度</w:t>
      </w:r>
      <w:r>
        <w:rPr>
          <w:rFonts w:hint="eastAsia" w:ascii="仿宋_GB2312" w:hAnsi="仿宋_GB2312" w:eastAsia="仿宋_GB2312" w:cs="仿宋_GB2312"/>
          <w:color w:val="auto"/>
          <w:sz w:val="32"/>
          <w:szCs w:val="32"/>
          <w:highlight w:val="none"/>
        </w:rPr>
        <w:t>，全区4家基层法律服务所共受理各类案件158件，完成办案收入40余万元。</w:t>
      </w:r>
    </w:p>
    <w:p w14:paraId="3B0DEE14">
      <w:pPr>
        <w:pStyle w:val="2"/>
        <w:numPr>
          <w:ilvl w:val="0"/>
          <w:numId w:val="0"/>
        </w:numPr>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.营商环境不断优化。</w:t>
      </w:r>
      <w:r>
        <w:rPr>
          <w:rFonts w:hint="eastAsia" w:ascii="仿宋_GB2312" w:hAnsi="仿宋_GB2312" w:eastAsia="仿宋_GB2312" w:cs="仿宋_GB2312"/>
          <w:color w:val="auto"/>
          <w:sz w:val="32"/>
          <w:szCs w:val="32"/>
          <w:lang w:eastAsia="zh-CN"/>
        </w:rPr>
        <w:t>2024年以来，资阳区共开展涉企柔性执法581次，其中不予处罚428次，减轻处罚 43 次，从轻处罚 109  次，不予行政强制措施 1 次，累计减罚免罚金额达 419.385  万元 。</w:t>
      </w:r>
      <w:r>
        <w:rPr>
          <w:rFonts w:hint="eastAsia" w:ascii="仿宋_GB2312" w:hAnsi="仿宋_GB2312" w:eastAsia="仿宋_GB2312" w:cs="仿宋_GB2312"/>
          <w:color w:val="auto"/>
          <w:sz w:val="32"/>
          <w:szCs w:val="32"/>
        </w:rPr>
        <w:t>会同区工信局联合开展送法进企业活动，为辖区企业提供法律服务20余次。</w:t>
      </w:r>
    </w:p>
    <w:p w14:paraId="446DA4B9">
      <w:pPr>
        <w:keepNext w:val="0"/>
        <w:keepLines w:val="0"/>
        <w:pageBreakBefore w:val="0"/>
        <w:kinsoku/>
        <w:wordWrap/>
        <w:overflowPunct/>
        <w:topLinePunct w:val="0"/>
        <w:autoSpaceDE/>
        <w:autoSpaceDN/>
        <w:bidi w:val="0"/>
        <w:adjustRightInd/>
        <w:snapToGrid/>
        <w:spacing w:line="560" w:lineRule="atLeast"/>
        <w:ind w:left="0" w:leftChars="0" w:firstLine="643" w:firstLineChars="200"/>
        <w:jc w:val="left"/>
        <w:textAlignment w:val="auto"/>
        <w:rPr>
          <w:rFonts w:ascii="楷体" w:hAnsi="楷体" w:eastAsia="楷体" w:cs="楷体"/>
          <w:b/>
          <w:color w:val="auto"/>
          <w:sz w:val="32"/>
          <w:szCs w:val="40"/>
        </w:rPr>
      </w:pPr>
      <w:r>
        <w:rPr>
          <w:rFonts w:hint="eastAsia" w:ascii="楷体" w:hAnsi="楷体" w:eastAsia="楷体" w:cs="楷体"/>
          <w:b/>
          <w:color w:val="auto"/>
          <w:sz w:val="32"/>
          <w:szCs w:val="40"/>
        </w:rPr>
        <w:t>（三）坚持规范运行，纵深推进法治政府建设卓有成效</w:t>
      </w:r>
    </w:p>
    <w:p w14:paraId="327D115E">
      <w:pPr>
        <w:pStyle w:val="2"/>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cs="仿宋_GB2312"/>
          <w:b/>
          <w:bCs/>
          <w:color w:val="auto"/>
          <w:sz w:val="32"/>
          <w:szCs w:val="32"/>
          <w:lang w:val="en-US" w:eastAsia="zh-CN"/>
        </w:rPr>
        <w:t>1</w:t>
      </w:r>
      <w:r>
        <w:rPr>
          <w:rFonts w:hint="eastAsia" w:ascii="仿宋_GB2312" w:hAnsi="仿宋_GB2312" w:eastAsia="仿宋_GB2312" w:cs="仿宋_GB2312"/>
          <w:b/>
          <w:bCs/>
          <w:color w:val="auto"/>
          <w:sz w:val="32"/>
          <w:szCs w:val="32"/>
        </w:rPr>
        <w:t>.</w:t>
      </w:r>
      <w:bookmarkStart w:id="0" w:name="OLE_LINK19"/>
      <w:bookmarkStart w:id="1" w:name="OLE_LINK18"/>
      <w:r>
        <w:rPr>
          <w:rFonts w:hint="eastAsia" w:ascii="仿宋_GB2312" w:hAnsi="仿宋_GB2312" w:eastAsia="仿宋_GB2312" w:cs="仿宋_GB2312"/>
          <w:b/>
          <w:bCs/>
          <w:color w:val="auto"/>
          <w:sz w:val="32"/>
          <w:szCs w:val="32"/>
        </w:rPr>
        <w:t>法治审查</w:t>
      </w:r>
      <w:bookmarkEnd w:id="0"/>
      <w:bookmarkEnd w:id="1"/>
      <w:r>
        <w:rPr>
          <w:rFonts w:hint="eastAsia" w:ascii="仿宋_GB2312" w:hAnsi="仿宋_GB2312" w:eastAsia="仿宋_GB2312" w:cs="仿宋_GB2312"/>
          <w:b/>
          <w:bCs/>
          <w:color w:val="auto"/>
          <w:sz w:val="32"/>
          <w:szCs w:val="32"/>
        </w:rPr>
        <w:t>合理合法。</w:t>
      </w:r>
      <w:r>
        <w:rPr>
          <w:rFonts w:hint="eastAsia" w:ascii="仿宋_GB2312" w:hAnsi="仿宋_GB2312" w:eastAsia="仿宋_GB2312" w:cs="仿宋_GB2312"/>
          <w:color w:val="auto"/>
          <w:sz w:val="32"/>
          <w:szCs w:val="32"/>
          <w:lang w:val="en-US" w:eastAsia="zh-CN"/>
        </w:rPr>
        <w:t>严格执行合法性审核和备案审查、公示制度，2024年以来共审查区政府行政规范性文件12件，印发公布9件（审查率、备案率均达100%），备案区直单位规范性文件5件。对全区涉及不平等对待企业法律法规政策进行了清理。</w:t>
      </w:r>
    </w:p>
    <w:p w14:paraId="301CE3B1">
      <w:pPr>
        <w:keepNext w:val="0"/>
        <w:keepLines w:val="0"/>
        <w:pageBreakBefore w:val="0"/>
        <w:kinsoku/>
        <w:wordWrap/>
        <w:overflowPunct/>
        <w:topLinePunct w:val="0"/>
        <w:autoSpaceDE/>
        <w:autoSpaceDN/>
        <w:bidi w:val="0"/>
        <w:adjustRightInd/>
        <w:snapToGrid/>
        <w:spacing w:line="560" w:lineRule="atLeast"/>
        <w:ind w:left="0" w:leftChars="0" w:firstLine="643" w:firstLineChars="200"/>
        <w:jc w:val="left"/>
        <w:textAlignment w:val="auto"/>
        <w:rPr>
          <w:rFonts w:ascii="楷体" w:hAnsi="楷体" w:eastAsia="楷体" w:cs="楷体"/>
          <w:b/>
          <w:color w:val="auto"/>
          <w:sz w:val="32"/>
          <w:szCs w:val="40"/>
        </w:rPr>
      </w:pPr>
      <w:r>
        <w:rPr>
          <w:rFonts w:hint="eastAsia" w:ascii="楷体" w:hAnsi="楷体" w:eastAsia="楷体" w:cs="楷体"/>
          <w:b/>
          <w:color w:val="auto"/>
          <w:sz w:val="32"/>
          <w:szCs w:val="40"/>
        </w:rPr>
        <w:t>（四）坚持风险防范，全力助推平安资阳建设提质增效</w:t>
      </w:r>
    </w:p>
    <w:p w14:paraId="2EAD05AF">
      <w:pPr>
        <w:keepNext w:val="0"/>
        <w:keepLines w:val="0"/>
        <w:pageBreakBefore w:val="0"/>
        <w:kinsoku/>
        <w:wordWrap/>
        <w:overflowPunct/>
        <w:topLinePunct w:val="0"/>
        <w:autoSpaceDE/>
        <w:autoSpaceDN/>
        <w:bidi w:val="0"/>
        <w:adjustRightInd/>
        <w:snapToGrid/>
        <w:spacing w:line="560" w:lineRule="atLeast"/>
        <w:ind w:left="0" w:leftChars="0" w:firstLine="643" w:firstLineChars="200"/>
        <w:textAlignment w:val="auto"/>
        <w:rPr>
          <w:rFonts w:hint="eastAsia" w:ascii="仿宋_GB2312" w:hAnsi="仿宋" w:eastAsia="仿宋_GB2312" w:cs="仿宋_GB2312"/>
          <w:color w:val="auto"/>
          <w:sz w:val="32"/>
          <w:szCs w:val="32"/>
        </w:rPr>
      </w:pPr>
      <w:r>
        <w:rPr>
          <w:rFonts w:hint="eastAsia" w:ascii="仿宋_GB2312" w:hAnsi="仿宋" w:eastAsia="仿宋_GB2312" w:cs="仿宋_GB2312"/>
          <w:b/>
          <w:bCs/>
          <w:color w:val="auto"/>
          <w:sz w:val="32"/>
          <w:szCs w:val="32"/>
        </w:rPr>
        <w:t>1</w:t>
      </w:r>
      <w:bookmarkStart w:id="2" w:name="OLE_LINK8"/>
      <w:bookmarkStart w:id="3" w:name="OLE_LINK10"/>
      <w:r>
        <w:rPr>
          <w:rFonts w:hint="eastAsia" w:ascii="仿宋_GB2312" w:hAnsi="仿宋" w:eastAsia="仿宋_GB2312" w:cs="仿宋_GB2312"/>
          <w:b/>
          <w:bCs/>
          <w:color w:val="auto"/>
          <w:sz w:val="32"/>
          <w:szCs w:val="32"/>
        </w:rPr>
        <w:t>.</w:t>
      </w:r>
      <w:bookmarkEnd w:id="2"/>
      <w:bookmarkEnd w:id="3"/>
      <w:r>
        <w:rPr>
          <w:rFonts w:hint="eastAsia" w:ascii="仿宋_GB2312" w:hAnsi="仿宋_GB2312" w:eastAsia="仿宋_GB2312" w:cs="仿宋_GB2312"/>
          <w:b/>
          <w:bCs/>
          <w:color w:val="auto"/>
          <w:sz w:val="32"/>
          <w:szCs w:val="32"/>
        </w:rPr>
        <w:t xml:space="preserve"> 纠纷化解多元结合</w:t>
      </w:r>
      <w:r>
        <w:rPr>
          <w:rFonts w:hint="eastAsia" w:ascii="仿宋_GB2312" w:hAnsi="仿宋" w:eastAsia="仿宋_GB2312" w:cs="仿宋_GB2312"/>
          <w:b/>
          <w:bCs/>
          <w:color w:val="auto"/>
          <w:sz w:val="32"/>
          <w:szCs w:val="32"/>
        </w:rPr>
        <w:t>。</w:t>
      </w:r>
      <w:r>
        <w:rPr>
          <w:rFonts w:hint="eastAsia" w:ascii="仿宋_GB2312" w:hAnsi="仿宋" w:eastAsia="仿宋_GB2312" w:cs="仿宋_GB2312"/>
          <w:color w:val="auto"/>
          <w:sz w:val="32"/>
          <w:szCs w:val="32"/>
        </w:rPr>
        <w:t>今年，湖南省司法协理员制度在我区进行试点，现已聘用司法协理员8人。</w:t>
      </w:r>
      <w:r>
        <w:rPr>
          <w:rFonts w:hint="eastAsia" w:ascii="仿宋_GB2312" w:hAnsi="仿宋_GB2312" w:eastAsia="仿宋_GB2312" w:cs="仿宋_GB2312"/>
          <w:color w:val="auto"/>
          <w:sz w:val="32"/>
          <w:szCs w:val="32"/>
        </w:rPr>
        <w:t>积极开展“资阳区人民调解质效提升”调研活动。</w:t>
      </w:r>
      <w:r>
        <w:rPr>
          <w:rFonts w:hint="eastAsia" w:ascii="仿宋_GB2312" w:hAnsi="仿宋" w:eastAsia="仿宋_GB2312" w:cs="仿宋_GB2312"/>
          <w:color w:val="auto"/>
          <w:sz w:val="32"/>
          <w:szCs w:val="32"/>
        </w:rPr>
        <w:t>截至12月23日，</w:t>
      </w:r>
      <w:r>
        <w:rPr>
          <w:rFonts w:hint="eastAsia" w:ascii="仿宋_GB2312" w:hAnsi="仿宋" w:eastAsia="仿宋_GB2312" w:cs="仿宋_GB2312"/>
          <w:color w:val="auto"/>
          <w:sz w:val="32"/>
          <w:szCs w:val="32"/>
          <w:lang w:eastAsia="zh-CN"/>
        </w:rPr>
        <w:t>共</w:t>
      </w:r>
      <w:r>
        <w:rPr>
          <w:rFonts w:hint="eastAsia" w:ascii="仿宋_GB2312" w:hAnsi="仿宋" w:eastAsia="仿宋_GB2312" w:cs="仿宋_GB2312"/>
          <w:color w:val="auto"/>
          <w:sz w:val="32"/>
          <w:szCs w:val="32"/>
        </w:rPr>
        <w:t>排查纠纷共计2433次</w:t>
      </w:r>
      <w:r>
        <w:rPr>
          <w:rFonts w:hint="eastAsia" w:ascii="仿宋_GB2312" w:hAnsi="仿宋" w:eastAsia="仿宋_GB2312" w:cs="仿宋_GB2312"/>
          <w:color w:val="auto"/>
          <w:sz w:val="32"/>
          <w:szCs w:val="32"/>
          <w:lang w:eastAsia="zh-CN"/>
        </w:rPr>
        <w:t>，共</w:t>
      </w:r>
      <w:r>
        <w:rPr>
          <w:rFonts w:hint="eastAsia" w:ascii="仿宋_GB2312" w:hAnsi="仿宋" w:eastAsia="仿宋_GB2312" w:cs="仿宋_GB2312"/>
          <w:color w:val="auto"/>
          <w:sz w:val="32"/>
          <w:szCs w:val="32"/>
        </w:rPr>
        <w:t>受理各类民间纠纷1899件，调处成功1882件，调解成功率达99.1%。完成2024年度人民陪审员换届，106名新任陪审员参加2024年人民陪审员就职宣誓仪式暨初任培训。</w:t>
      </w:r>
    </w:p>
    <w:p w14:paraId="25B16508">
      <w:pPr>
        <w:pStyle w:val="2"/>
        <w:numPr>
          <w:ilvl w:val="0"/>
          <w:numId w:val="0"/>
        </w:numPr>
        <w:ind w:firstLine="643" w:firstLineChars="200"/>
        <w:rPr>
          <w:rFonts w:hint="eastAsia" w:ascii="仿宋_GB2312" w:hAnsi="仿宋_GB2312" w:eastAsia="仿宋_GB2312" w:cs="仿宋_GB2312"/>
          <w:color w:val="auto"/>
          <w:sz w:val="32"/>
          <w:szCs w:val="32"/>
        </w:rPr>
      </w:pPr>
      <w:r>
        <w:rPr>
          <w:rFonts w:hint="eastAsia" w:ascii="仿宋_GB2312" w:hAnsi="仿宋" w:eastAsia="仿宋_GB2312" w:cs="仿宋_GB2312"/>
          <w:b/>
          <w:bCs/>
          <w:color w:val="auto"/>
          <w:sz w:val="32"/>
          <w:szCs w:val="32"/>
        </w:rPr>
        <w:t>2.行政复议化解行政争议主渠道作用凸显。</w:t>
      </w:r>
      <w:r>
        <w:rPr>
          <w:rFonts w:hint="eastAsia" w:ascii="仿宋_GB2312" w:hAnsi="仿宋_GB2312" w:eastAsia="仿宋_GB2312" w:cs="仿宋_GB2312"/>
          <w:color w:val="auto"/>
          <w:sz w:val="32"/>
          <w:szCs w:val="32"/>
        </w:rPr>
        <w:t>截至12月23日，区人民政府共收到行政复议申请157件，依法受理140件，已审理结案127件，案件类型主要集中在市场监管、工伤认定、公安等领域。复议申请数同比增长130.9%。我区办理的96.9%的行政复议案件在审结后直接化解了矛盾纠纷，未进入行政诉讼程序，行政复议“定</w:t>
      </w:r>
      <w:r>
        <w:rPr>
          <w:rFonts w:hint="eastAsia" w:ascii="仿宋_GB2312" w:hAnsi="仿宋_GB2312" w:eastAsia="仿宋_GB2312" w:cs="仿宋_GB2312"/>
          <w:color w:val="auto"/>
          <w:sz w:val="32"/>
          <w:szCs w:val="32"/>
          <w:lang w:eastAsia="zh-CN"/>
        </w:rPr>
        <w:t>分</w:t>
      </w:r>
      <w:r>
        <w:rPr>
          <w:rFonts w:hint="eastAsia" w:ascii="仿宋_GB2312" w:hAnsi="仿宋_GB2312" w:eastAsia="仿宋_GB2312" w:cs="仿宋_GB2312"/>
          <w:color w:val="auto"/>
          <w:sz w:val="32"/>
          <w:szCs w:val="32"/>
        </w:rPr>
        <w:t>止争”主渠道作用得到进一步彰显。</w:t>
      </w:r>
    </w:p>
    <w:p w14:paraId="30CA3C50">
      <w:pPr>
        <w:keepNext w:val="0"/>
        <w:keepLines w:val="0"/>
        <w:pageBreakBefore w:val="0"/>
        <w:widowControl w:val="0"/>
        <w:kinsoku/>
        <w:wordWrap/>
        <w:overflowPunct/>
        <w:topLinePunct w:val="0"/>
        <w:autoSpaceDE/>
        <w:autoSpaceDN/>
        <w:bidi w:val="0"/>
        <w:adjustRightInd/>
        <w:snapToGrid/>
        <w:spacing w:line="560" w:lineRule="atLeast"/>
        <w:ind w:left="0" w:leftChars="0" w:firstLine="643" w:firstLineChars="200"/>
        <w:textAlignment w:val="auto"/>
        <w:rPr>
          <w:rFonts w:hint="eastAsia" w:ascii="仿宋_GB2312" w:hAnsi="仿宋" w:eastAsia="仿宋_GB2312" w:cs="仿宋_GB2312"/>
          <w:b w:val="0"/>
          <w:bCs w:val="0"/>
          <w:color w:val="auto"/>
          <w:sz w:val="32"/>
          <w:szCs w:val="32"/>
        </w:rPr>
      </w:pPr>
      <w:r>
        <w:rPr>
          <w:rFonts w:hint="eastAsia" w:ascii="仿宋_GB2312" w:hAnsi="仿宋" w:eastAsia="仿宋_GB2312" w:cs="仿宋_GB2312"/>
          <w:b/>
          <w:bCs/>
          <w:color w:val="auto"/>
          <w:sz w:val="32"/>
          <w:szCs w:val="32"/>
        </w:rPr>
        <w:t>3.社区矫正提质增效。</w:t>
      </w:r>
      <w:r>
        <w:rPr>
          <w:rFonts w:hint="eastAsia" w:ascii="仿宋_GB2312" w:hAnsi="仿宋" w:eastAsia="仿宋_GB2312" w:cs="仿宋_GB2312"/>
          <w:b w:val="0"/>
          <w:bCs w:val="0"/>
          <w:color w:val="auto"/>
          <w:sz w:val="32"/>
          <w:szCs w:val="32"/>
        </w:rPr>
        <w:t>2024年以来，共完成社区矫正调查评估案件</w:t>
      </w:r>
      <w:r>
        <w:rPr>
          <w:rFonts w:hint="eastAsia" w:ascii="仿宋_GB2312" w:hAnsi="仿宋" w:eastAsia="仿宋_GB2312" w:cs="仿宋_GB2312"/>
          <w:b w:val="0"/>
          <w:bCs w:val="0"/>
          <w:color w:val="auto"/>
          <w:sz w:val="32"/>
          <w:szCs w:val="32"/>
          <w:lang w:val="en-US" w:eastAsia="zh-CN"/>
        </w:rPr>
        <w:t>193</w:t>
      </w:r>
      <w:r>
        <w:rPr>
          <w:rFonts w:hint="eastAsia" w:ascii="仿宋_GB2312" w:hAnsi="仿宋" w:eastAsia="仿宋_GB2312" w:cs="仿宋_GB2312"/>
          <w:b w:val="0"/>
          <w:bCs w:val="0"/>
          <w:color w:val="auto"/>
          <w:sz w:val="32"/>
          <w:szCs w:val="32"/>
        </w:rPr>
        <w:t>份，累计接收社区矫正对象</w:t>
      </w:r>
      <w:r>
        <w:rPr>
          <w:rFonts w:hint="eastAsia" w:ascii="仿宋_GB2312" w:hAnsi="仿宋" w:eastAsia="仿宋_GB2312" w:cs="仿宋_GB2312"/>
          <w:b w:val="0"/>
          <w:bCs w:val="0"/>
          <w:color w:val="auto"/>
          <w:sz w:val="32"/>
          <w:szCs w:val="32"/>
          <w:lang w:val="en-US" w:eastAsia="zh-CN"/>
        </w:rPr>
        <w:t>201</w:t>
      </w:r>
      <w:r>
        <w:rPr>
          <w:rFonts w:hint="eastAsia" w:ascii="仿宋_GB2312" w:hAnsi="仿宋" w:eastAsia="仿宋_GB2312" w:cs="仿宋_GB2312"/>
          <w:b w:val="0"/>
          <w:bCs w:val="0"/>
          <w:color w:val="auto"/>
          <w:sz w:val="32"/>
          <w:szCs w:val="32"/>
        </w:rPr>
        <w:t>人，累计解除社区矫正对象</w:t>
      </w:r>
      <w:r>
        <w:rPr>
          <w:rFonts w:hint="eastAsia" w:ascii="仿宋_GB2312" w:hAnsi="仿宋" w:eastAsia="仿宋_GB2312" w:cs="仿宋_GB2312"/>
          <w:b w:val="0"/>
          <w:bCs w:val="0"/>
          <w:color w:val="auto"/>
          <w:sz w:val="32"/>
          <w:szCs w:val="32"/>
          <w:lang w:val="en-US" w:eastAsia="zh-CN"/>
        </w:rPr>
        <w:t>190</w:t>
      </w:r>
      <w:r>
        <w:rPr>
          <w:rFonts w:hint="eastAsia" w:ascii="仿宋_GB2312" w:hAnsi="仿宋" w:eastAsia="仿宋_GB2312" w:cs="仿宋_GB2312"/>
          <w:b w:val="0"/>
          <w:bCs w:val="0"/>
          <w:color w:val="auto"/>
          <w:sz w:val="32"/>
          <w:szCs w:val="32"/>
        </w:rPr>
        <w:t>人。现安置帮教对象在册</w:t>
      </w:r>
      <w:r>
        <w:rPr>
          <w:rFonts w:hint="eastAsia" w:ascii="仿宋_GB2312" w:hAnsi="仿宋" w:eastAsia="仿宋_GB2312" w:cs="仿宋_GB2312"/>
          <w:b w:val="0"/>
          <w:bCs w:val="0"/>
          <w:color w:val="auto"/>
          <w:sz w:val="32"/>
          <w:szCs w:val="32"/>
          <w:lang w:val="en-US" w:eastAsia="zh-CN"/>
        </w:rPr>
        <w:t>1331</w:t>
      </w:r>
      <w:r>
        <w:rPr>
          <w:rFonts w:hint="eastAsia" w:ascii="仿宋_GB2312" w:hAnsi="仿宋" w:eastAsia="仿宋_GB2312" w:cs="仿宋_GB2312"/>
          <w:b w:val="0"/>
          <w:bCs w:val="0"/>
          <w:color w:val="auto"/>
          <w:sz w:val="32"/>
          <w:szCs w:val="32"/>
        </w:rPr>
        <w:t>人。通过两轮摸排，我区共排查出涉十三类人员4人，安置帮教的涉H涉E重点人员55人，针对问题开展整治确保“四个不发生”。今年以来，共对23名困难社区矫正对象进行走访慰问，对</w:t>
      </w:r>
      <w:r>
        <w:rPr>
          <w:rFonts w:hint="eastAsia" w:ascii="仿宋_GB2312" w:hAnsi="仿宋" w:eastAsia="仿宋_GB2312" w:cs="仿宋_GB2312"/>
          <w:b w:val="0"/>
          <w:bCs w:val="0"/>
          <w:color w:val="auto"/>
          <w:sz w:val="32"/>
          <w:szCs w:val="32"/>
          <w:lang w:val="en-US" w:eastAsia="zh-CN"/>
        </w:rPr>
        <w:t>17</w:t>
      </w:r>
      <w:r>
        <w:rPr>
          <w:rFonts w:hint="eastAsia" w:ascii="仿宋_GB2312" w:hAnsi="仿宋" w:eastAsia="仿宋_GB2312" w:cs="仿宋_GB2312"/>
          <w:b w:val="0"/>
          <w:bCs w:val="0"/>
          <w:color w:val="auto"/>
          <w:sz w:val="32"/>
          <w:szCs w:val="32"/>
        </w:rPr>
        <w:t>名社区矫正对象予以警告处分，对30名社区矫正对象予以训诫处分。</w:t>
      </w:r>
    </w:p>
    <w:p w14:paraId="6824A65B">
      <w:pPr>
        <w:keepNext w:val="0"/>
        <w:keepLines w:val="0"/>
        <w:pageBreakBefore w:val="0"/>
        <w:kinsoku/>
        <w:wordWrap/>
        <w:overflowPunct/>
        <w:topLinePunct w:val="0"/>
        <w:autoSpaceDE/>
        <w:autoSpaceDN/>
        <w:bidi w:val="0"/>
        <w:adjustRightInd/>
        <w:snapToGrid/>
        <w:spacing w:line="560" w:lineRule="atLeast"/>
        <w:ind w:left="0" w:leftChars="0" w:firstLine="643" w:firstLineChars="200"/>
        <w:jc w:val="left"/>
        <w:textAlignment w:val="auto"/>
        <w:rPr>
          <w:rFonts w:hint="eastAsia" w:ascii="楷体" w:hAnsi="楷体" w:eastAsia="楷体" w:cs="楷体"/>
          <w:b/>
          <w:color w:val="auto"/>
          <w:sz w:val="32"/>
          <w:szCs w:val="40"/>
          <w:lang w:eastAsia="zh-CN"/>
        </w:rPr>
      </w:pPr>
      <w:r>
        <w:rPr>
          <w:rFonts w:hint="eastAsia" w:ascii="楷体" w:hAnsi="楷体" w:eastAsia="楷体" w:cs="楷体"/>
          <w:b/>
          <w:color w:val="auto"/>
          <w:sz w:val="32"/>
          <w:szCs w:val="40"/>
        </w:rPr>
        <w:t>（五）聚焦队伍建设，持续</w:t>
      </w:r>
      <w:r>
        <w:rPr>
          <w:rFonts w:hint="eastAsia" w:ascii="楷体" w:hAnsi="楷体" w:eastAsia="楷体" w:cs="楷体"/>
          <w:b/>
          <w:color w:val="auto"/>
          <w:sz w:val="32"/>
          <w:szCs w:val="40"/>
          <w:lang w:eastAsia="zh-CN"/>
        </w:rPr>
        <w:t>推动司法行政铁军奋楫争先</w:t>
      </w:r>
    </w:p>
    <w:p w14:paraId="0F6666A7">
      <w:pPr>
        <w:keepNext w:val="0"/>
        <w:keepLines w:val="0"/>
        <w:pageBreakBefore w:val="0"/>
        <w:kinsoku/>
        <w:wordWrap/>
        <w:overflowPunct/>
        <w:topLinePunct w:val="0"/>
        <w:autoSpaceDE/>
        <w:autoSpaceDN/>
        <w:bidi w:val="0"/>
        <w:adjustRightInd/>
        <w:snapToGrid/>
        <w:spacing w:line="560" w:lineRule="atLeast"/>
        <w:ind w:left="0" w:lef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w:t>
      </w:r>
      <w:r>
        <w:rPr>
          <w:rFonts w:hint="eastAsia" w:ascii="仿宋_GB2312" w:hAnsi="仿宋" w:eastAsia="仿宋_GB2312" w:cs="仿宋_GB2312"/>
          <w:b/>
          <w:bCs/>
          <w:color w:val="auto"/>
          <w:sz w:val="32"/>
          <w:szCs w:val="32"/>
        </w:rPr>
        <w:t>.</w:t>
      </w:r>
      <w:r>
        <w:rPr>
          <w:rFonts w:hint="eastAsia" w:ascii="仿宋_GB2312" w:hAnsi="仿宋_GB2312" w:eastAsia="仿宋_GB2312" w:cs="仿宋_GB2312"/>
          <w:b/>
          <w:bCs/>
          <w:color w:val="auto"/>
          <w:sz w:val="32"/>
          <w:szCs w:val="32"/>
        </w:rPr>
        <w:t>不断充实队伍力量。</w:t>
      </w:r>
      <w:r>
        <w:rPr>
          <w:rFonts w:hint="eastAsia" w:ascii="仿宋_GB2312" w:hAnsi="仿宋_GB2312" w:eastAsia="仿宋_GB2312" w:cs="仿宋_GB2312"/>
          <w:color w:val="auto"/>
          <w:sz w:val="32"/>
          <w:szCs w:val="32"/>
          <w:lang w:val="en-US" w:eastAsia="zh-CN"/>
        </w:rPr>
        <w:t>2024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我局新招考2名公务员，积极同区人社局对接，争取了三个见习岗位，陆续招收4名见习人员。</w:t>
      </w:r>
      <w:r>
        <w:rPr>
          <w:rFonts w:hint="eastAsia" w:ascii="仿宋_GB2312" w:hAnsi="仿宋_GB2312" w:eastAsia="仿宋_GB2312" w:cs="仿宋_GB2312"/>
          <w:color w:val="auto"/>
          <w:sz w:val="32"/>
          <w:szCs w:val="32"/>
          <w:lang w:eastAsia="zh-CN"/>
        </w:rPr>
        <w:t>全区</w:t>
      </w:r>
      <w:r>
        <w:rPr>
          <w:rFonts w:hint="eastAsia" w:ascii="仿宋_GB2312" w:hAnsi="仿宋_GB2312" w:eastAsia="仿宋_GB2312" w:cs="仿宋_GB2312"/>
          <w:color w:val="auto"/>
          <w:sz w:val="32"/>
          <w:szCs w:val="32"/>
        </w:rPr>
        <w:t>9个</w:t>
      </w:r>
      <w:r>
        <w:rPr>
          <w:rFonts w:hint="eastAsia" w:ascii="仿宋_GB2312" w:hAnsi="仿宋_GB2312" w:eastAsia="仿宋_GB2312" w:cs="仿宋_GB2312"/>
          <w:color w:val="auto"/>
          <w:sz w:val="32"/>
          <w:szCs w:val="32"/>
          <w:lang w:eastAsia="zh-CN"/>
        </w:rPr>
        <w:t>基层司法</w:t>
      </w:r>
      <w:r>
        <w:rPr>
          <w:rFonts w:hint="eastAsia" w:ascii="仿宋_GB2312" w:hAnsi="仿宋_GB2312" w:eastAsia="仿宋_GB2312" w:cs="仿宋_GB2312"/>
          <w:color w:val="auto"/>
          <w:sz w:val="32"/>
          <w:szCs w:val="32"/>
        </w:rPr>
        <w:t>所已聘用8名协理员，2名专职调解员。</w:t>
      </w:r>
    </w:p>
    <w:p w14:paraId="09900E97">
      <w:pPr>
        <w:keepNext w:val="0"/>
        <w:keepLines w:val="0"/>
        <w:pageBreakBefore w:val="0"/>
        <w:kinsoku/>
        <w:wordWrap/>
        <w:overflowPunct/>
        <w:topLinePunct w:val="0"/>
        <w:autoSpaceDE/>
        <w:autoSpaceDN/>
        <w:bidi w:val="0"/>
        <w:adjustRightInd/>
        <w:snapToGrid/>
        <w:spacing w:line="560" w:lineRule="atLeast"/>
        <w:ind w:left="0" w:leftChars="0" w:firstLine="643"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2</w:t>
      </w:r>
      <w:r>
        <w:rPr>
          <w:rFonts w:hint="eastAsia" w:ascii="仿宋_GB2312" w:hAnsi="仿宋" w:eastAsia="仿宋_GB2312" w:cs="仿宋_GB2312"/>
          <w:b/>
          <w:bCs/>
          <w:color w:val="auto"/>
          <w:sz w:val="32"/>
          <w:szCs w:val="32"/>
        </w:rPr>
        <w:t>.</w:t>
      </w:r>
      <w:r>
        <w:rPr>
          <w:rFonts w:hint="eastAsia" w:ascii="仿宋_GB2312" w:hAnsi="仿宋_GB2312" w:eastAsia="仿宋_GB2312" w:cs="仿宋_GB2312"/>
          <w:b/>
          <w:bCs/>
          <w:color w:val="auto"/>
          <w:sz w:val="32"/>
          <w:szCs w:val="32"/>
        </w:rPr>
        <w:t>持续提升队伍能力。</w:t>
      </w:r>
      <w:r>
        <w:rPr>
          <w:rFonts w:hint="eastAsia" w:ascii="仿宋_GB2312" w:hAnsi="仿宋_GB2312" w:eastAsia="仿宋_GB2312" w:cs="仿宋_GB2312"/>
          <w:color w:val="auto"/>
          <w:sz w:val="32"/>
          <w:szCs w:val="32"/>
        </w:rPr>
        <w:t>组织参加</w:t>
      </w:r>
      <w:r>
        <w:rPr>
          <w:rFonts w:hint="eastAsia" w:ascii="仿宋_GB2312" w:hAnsi="仿宋_GB2312" w:eastAsia="仿宋_GB2312" w:cs="仿宋_GB2312"/>
          <w:color w:val="auto"/>
          <w:sz w:val="32"/>
          <w:szCs w:val="32"/>
          <w:lang w:eastAsia="zh-CN"/>
        </w:rPr>
        <w:t>各类</w:t>
      </w:r>
      <w:r>
        <w:rPr>
          <w:rFonts w:hint="eastAsia" w:ascii="仿宋_GB2312" w:hAnsi="仿宋_GB2312" w:eastAsia="仿宋_GB2312" w:cs="仿宋_GB2312"/>
          <w:color w:val="auto"/>
          <w:sz w:val="32"/>
          <w:szCs w:val="32"/>
        </w:rPr>
        <w:t>学习活动，促进干职工进一步提升理论素养。赴桃江县、岳阳楼区等地学习法律援助等工作经验。到区人民法院、区人民检察院开展工作交流，加强工作协作。通过机关股室联</w:t>
      </w:r>
      <w:r>
        <w:rPr>
          <w:rFonts w:hint="eastAsia" w:ascii="仿宋_GB2312" w:hAnsi="仿宋_GB2312" w:eastAsia="仿宋_GB2312" w:cs="仿宋_GB2312"/>
          <w:color w:val="auto"/>
          <w:sz w:val="32"/>
          <w:szCs w:val="32"/>
          <w:lang w:val="en-US" w:eastAsia="zh-CN"/>
        </w:rPr>
        <w:t>司法所</w:t>
      </w:r>
      <w:r>
        <w:rPr>
          <w:rFonts w:hint="eastAsia" w:ascii="仿宋_GB2312" w:hAnsi="仿宋_GB2312" w:eastAsia="仿宋_GB2312" w:cs="仿宋_GB2312"/>
          <w:color w:val="auto"/>
          <w:sz w:val="32"/>
          <w:szCs w:val="32"/>
        </w:rPr>
        <w:t>、干部上讲台、法援中心值班等方式加强干部锻炼。</w:t>
      </w:r>
    </w:p>
    <w:p w14:paraId="071B7394">
      <w:pPr>
        <w:widowControl/>
        <w:numPr>
          <w:ilvl w:val="0"/>
          <w:numId w:val="0"/>
        </w:numPr>
        <w:autoSpaceDN w:val="0"/>
        <w:spacing w:line="54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lang w:eastAsia="zh-CN"/>
        </w:rPr>
        <w:t>四、</w:t>
      </w:r>
      <w:r>
        <w:rPr>
          <w:rFonts w:hint="eastAsia" w:ascii="黑体" w:hAnsi="黑体" w:eastAsia="黑体" w:cs="宋体"/>
          <w:color w:val="000000"/>
          <w:kern w:val="0"/>
          <w:sz w:val="32"/>
          <w:szCs w:val="32"/>
        </w:rPr>
        <w:t>总体评价和自评得分情况</w:t>
      </w:r>
    </w:p>
    <w:p w14:paraId="1A4882DC">
      <w:pPr>
        <w:widowControl/>
        <w:numPr>
          <w:ilvl w:val="0"/>
          <w:numId w:val="0"/>
        </w:numPr>
        <w:autoSpaceDN w:val="0"/>
        <w:spacing w:line="540" w:lineRule="exact"/>
        <w:ind w:firstLine="640" w:firstLineChars="200"/>
        <w:rPr>
          <w:rFonts w:hint="eastAsia"/>
          <w:lang w:val="en-US" w:eastAsia="zh-CN"/>
        </w:rPr>
      </w:pPr>
      <w:r>
        <w:rPr>
          <w:rFonts w:hint="eastAsia"/>
        </w:rPr>
        <w:t>按要求的时限和格式在规定公开门户网站及时完整公开绩效自评信息。完善相关管理办法，规范固定资产的采购、使用及处置。固定资产配置合理、账务管理规范、账实相符、处置规范。根据部门项目支出情况，制定完善项目资金管理办法，做到部门重点项目支出有据可依。</w:t>
      </w:r>
      <w:r>
        <w:rPr>
          <w:rFonts w:hint="eastAsia"/>
          <w:lang w:val="en-US" w:eastAsia="zh-CN"/>
        </w:rPr>
        <w:t>2024年度整体支出绩效</w:t>
      </w:r>
      <w:r>
        <w:rPr>
          <w:rFonts w:hint="eastAsia"/>
          <w:lang w:eastAsia="zh-CN"/>
        </w:rPr>
        <w:t>自评得分</w:t>
      </w:r>
      <w:r>
        <w:rPr>
          <w:rFonts w:hint="eastAsia"/>
          <w:lang w:val="en-US" w:eastAsia="zh-CN"/>
        </w:rPr>
        <w:t>99.49分。</w:t>
      </w:r>
    </w:p>
    <w:p w14:paraId="239248DF">
      <w:pPr>
        <w:widowControl/>
        <w:numPr>
          <w:ilvl w:val="0"/>
          <w:numId w:val="0"/>
        </w:numPr>
        <w:autoSpaceDN w:val="0"/>
        <w:spacing w:line="540" w:lineRule="exact"/>
        <w:ind w:firstLine="640" w:firstLineChars="200"/>
        <w:rPr>
          <w:rFonts w:hint="eastAsia"/>
        </w:rPr>
      </w:pPr>
    </w:p>
    <w:p w14:paraId="2A381CDA">
      <w:pPr>
        <w:pStyle w:val="9"/>
        <w:widowControl/>
        <w:numPr>
          <w:ilvl w:val="0"/>
          <w:numId w:val="0"/>
        </w:numPr>
        <w:spacing w:line="600" w:lineRule="exact"/>
        <w:ind w:firstLine="320" w:firstLineChars="100"/>
        <w:jc w:val="left"/>
        <w:rPr>
          <w:rFonts w:hint="eastAsia" w:ascii="Times New Roman" w:hAnsi="Times New Roman" w:eastAsia="黑体"/>
          <w:sz w:val="32"/>
          <w:szCs w:val="32"/>
        </w:rPr>
      </w:pPr>
      <w:r>
        <w:rPr>
          <w:rFonts w:hint="eastAsia" w:ascii="Times New Roman" w:hAnsi="Times New Roman" w:eastAsia="黑体"/>
          <w:sz w:val="32"/>
          <w:szCs w:val="32"/>
          <w:lang w:eastAsia="zh-CN"/>
        </w:rPr>
        <w:t>五、</w:t>
      </w:r>
      <w:r>
        <w:rPr>
          <w:rFonts w:hint="eastAsia" w:ascii="Times New Roman" w:hAnsi="Times New Roman" w:eastAsia="黑体"/>
          <w:sz w:val="32"/>
          <w:szCs w:val="32"/>
        </w:rPr>
        <w:t>存在的问题及原因分析</w:t>
      </w:r>
    </w:p>
    <w:p w14:paraId="7AE53786">
      <w:pPr>
        <w:widowControl/>
        <w:numPr>
          <w:ilvl w:val="0"/>
          <w:numId w:val="0"/>
        </w:numPr>
        <w:autoSpaceDN w:val="0"/>
        <w:spacing w:line="540" w:lineRule="exact"/>
        <w:ind w:firstLine="640" w:firstLineChars="200"/>
        <w:rPr>
          <w:rFonts w:hint="eastAsia"/>
        </w:rPr>
      </w:pPr>
      <w:r>
        <w:rPr>
          <w:rFonts w:hint="eastAsia"/>
          <w:lang w:val="en-US" w:eastAsia="zh-CN"/>
        </w:rPr>
        <w:t>1、普法宣传项目偏离情况：普法宣传形式单一，以文字、图片、视频等形式呈现。</w:t>
      </w:r>
    </w:p>
    <w:p w14:paraId="640403D1">
      <w:pPr>
        <w:widowControl/>
        <w:numPr>
          <w:ilvl w:val="0"/>
          <w:numId w:val="0"/>
        </w:numPr>
        <w:spacing w:line="600" w:lineRule="exact"/>
        <w:ind w:firstLine="640" w:firstLineChars="200"/>
        <w:jc w:val="left"/>
        <w:rPr>
          <w:rFonts w:hint="eastAsia"/>
          <w:lang w:val="en-US" w:eastAsia="zh-CN"/>
        </w:rPr>
      </w:pPr>
      <w:r>
        <w:rPr>
          <w:rFonts w:hint="eastAsia"/>
          <w:lang w:val="en-US" w:eastAsia="zh-CN"/>
        </w:rPr>
        <w:t>2、社区矫正项目偏离情况：矫正力量薄弱，法律专业人员有限，司法所人员不足。</w:t>
      </w:r>
    </w:p>
    <w:p w14:paraId="5B29B1BE">
      <w:pPr>
        <w:widowControl/>
        <w:numPr>
          <w:ilvl w:val="0"/>
          <w:numId w:val="0"/>
        </w:numPr>
        <w:spacing w:line="600" w:lineRule="exact"/>
        <w:ind w:firstLine="640" w:firstLineChars="200"/>
        <w:jc w:val="left"/>
        <w:rPr>
          <w:rFonts w:hint="eastAsia"/>
        </w:rPr>
      </w:pPr>
      <w:r>
        <w:rPr>
          <w:rFonts w:hint="eastAsia" w:eastAsia="黑体"/>
          <w:sz w:val="32"/>
          <w:szCs w:val="32"/>
          <w:lang w:eastAsia="zh-CN"/>
        </w:rPr>
        <w:t>六、</w:t>
      </w:r>
      <w:r>
        <w:rPr>
          <w:rFonts w:hint="eastAsia" w:eastAsia="黑体"/>
          <w:sz w:val="32"/>
          <w:szCs w:val="32"/>
        </w:rPr>
        <w:t>下一步改进措施</w:t>
      </w:r>
    </w:p>
    <w:p w14:paraId="1E44AB24">
      <w:pPr>
        <w:widowControl/>
        <w:numPr>
          <w:ilvl w:val="0"/>
          <w:numId w:val="4"/>
        </w:numPr>
        <w:spacing w:line="600" w:lineRule="exact"/>
        <w:ind w:firstLine="640" w:firstLineChars="200"/>
        <w:jc w:val="left"/>
        <w:rPr>
          <w:rFonts w:hint="eastAsia"/>
          <w:lang w:val="en-US" w:eastAsia="zh-CN"/>
        </w:rPr>
      </w:pPr>
      <w:r>
        <w:rPr>
          <w:rFonts w:hint="eastAsia"/>
          <w:lang w:val="en-US" w:eastAsia="zh-CN"/>
        </w:rPr>
        <w:t>要加强对普法宣传的创新，开展更多形式的普法宣传活动，组织座谈会、辩论赛、法治文化节等活动以吸引更多的人参与和关注，将法律知识变得更加生动易懂，使群众能够真正受益。</w:t>
      </w:r>
    </w:p>
    <w:p w14:paraId="42FD5FA1">
      <w:pPr>
        <w:widowControl/>
        <w:numPr>
          <w:ilvl w:val="0"/>
          <w:numId w:val="0"/>
        </w:numPr>
        <w:spacing w:line="600" w:lineRule="exact"/>
        <w:ind w:firstLine="640" w:firstLineChars="200"/>
        <w:jc w:val="left"/>
        <w:rPr>
          <w:rFonts w:hint="eastAsia"/>
        </w:rPr>
      </w:pPr>
      <w:r>
        <w:rPr>
          <w:rFonts w:hint="eastAsia"/>
          <w:lang w:val="en-US" w:eastAsia="zh-CN"/>
        </w:rPr>
        <w:t>2、加强司法所建设，改善办公条件和装备，增加一批业务素质好、责任感强的优秀年轻公务员充实到基层司法队伍中，对现有人员进行业务培训，以提高从事社区矫正工作的能力和水平。</w:t>
      </w:r>
      <w:bookmarkStart w:id="4" w:name="_GoBack"/>
      <w:bookmarkEnd w:id="4"/>
    </w:p>
    <w:p w14:paraId="136FA7BC">
      <w:pPr>
        <w:widowControl/>
        <w:spacing w:line="600" w:lineRule="exact"/>
        <w:ind w:firstLine="645"/>
        <w:jc w:val="left"/>
        <w:rPr>
          <w:rFonts w:hint="eastAsia" w:eastAsia="黑体"/>
          <w:sz w:val="32"/>
          <w:szCs w:val="32"/>
          <w:lang w:eastAsia="zh-CN"/>
        </w:rPr>
      </w:pPr>
      <w:r>
        <w:rPr>
          <w:rFonts w:hint="eastAsia" w:eastAsia="黑体"/>
          <w:sz w:val="32"/>
          <w:szCs w:val="32"/>
        </w:rPr>
        <w:t>七、整体支出绩效自评结果拟应用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14:paraId="6C35369F">
      <w:pPr>
        <w:keepNext w:val="0"/>
        <w:keepLines w:val="0"/>
        <w:pageBreakBefore w:val="0"/>
        <w:widowControl/>
        <w:wordWrap/>
        <w:overflowPunct/>
        <w:topLinePunct w:val="0"/>
        <w:bidi w:val="0"/>
        <w:adjustRightInd w:val="0"/>
        <w:snapToGrid w:val="0"/>
        <w:spacing w:line="560" w:lineRule="exact"/>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我单位逐步建立绩效评价与部门预算相结合的结果应用机制，采取项目预期绩效目标申报制度，强化评价结果在部门预算编制和执行中的应用，实现绩效评价结果在部门预算编制和执行中的应用，促进财政资金的合理分配与有效使用。</w:t>
      </w:r>
    </w:p>
    <w:p w14:paraId="4FB1A7B1">
      <w:pPr>
        <w:keepNext w:val="0"/>
        <w:keepLines w:val="0"/>
        <w:pageBreakBefore w:val="0"/>
        <w:widowControl/>
        <w:wordWrap/>
        <w:overflowPunct/>
        <w:topLinePunct w:val="0"/>
        <w:bidi w:val="0"/>
        <w:adjustRightInd w:val="0"/>
        <w:snapToGrid w:val="0"/>
        <w:spacing w:line="560" w:lineRule="exact"/>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000000"/>
          <w:sz w:val="32"/>
          <w:szCs w:val="32"/>
          <w:lang w:val="en-US" w:eastAsia="zh-CN"/>
        </w:rPr>
        <w:t>按照益阳市资阳区财政局相关部门的通知要求，我单位2024年整体绩效支出自评报告在益阳市资阳区人民政府网站公开，向社会公开了本部门的预算信息、决算信息、部门绩效目标和部门整体绩效自评情况，数据完整、真实、准确、接受社会监督。</w:t>
      </w:r>
    </w:p>
    <w:p w14:paraId="481EBD50">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报告需要以下附件：</w:t>
      </w:r>
    </w:p>
    <w:p w14:paraId="735FC19A">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部门整体支出绩效评价基础数据表</w:t>
      </w:r>
    </w:p>
    <w:p w14:paraId="791ACD0F">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部门整体支出绩效自评表</w:t>
      </w:r>
    </w:p>
    <w:p w14:paraId="4A68C201">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项目支出绩效自评表</w:t>
      </w:r>
    </w:p>
    <w:p w14:paraId="03606580">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4.其他必要材料（当年度预算绩效目标申报表、单位年度工作总结、预决算报表、有关表彰奖励复印件等）及与自评报告、基础表、自评表内容相符的相关佐证材料（佐证资料必须列目录，与自评表指标对应）</w:t>
      </w:r>
    </w:p>
    <w:p w14:paraId="221187DD">
      <w:pPr>
        <w:pStyle w:val="7"/>
        <w:ind w:left="0" w:leftChars="0" w:firstLine="0" w:firstLineChars="0"/>
        <w:rPr>
          <w:rFonts w:hint="default" w:eastAsia="仿宋"/>
          <w:lang w:val="en-US" w:eastAsia="zh-CN"/>
        </w:rPr>
      </w:pPr>
    </w:p>
    <w:p w14:paraId="102E0A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1BD561"/>
    <w:multiLevelType w:val="singleLevel"/>
    <w:tmpl w:val="E91BD561"/>
    <w:lvl w:ilvl="0" w:tentative="0">
      <w:start w:val="1"/>
      <w:numFmt w:val="chineseCounting"/>
      <w:suff w:val="nothing"/>
      <w:lvlText w:val="（%1）"/>
      <w:lvlJc w:val="left"/>
      <w:rPr>
        <w:rFonts w:hint="eastAsia"/>
      </w:rPr>
    </w:lvl>
  </w:abstractNum>
  <w:abstractNum w:abstractNumId="1">
    <w:nsid w:val="1E73DE78"/>
    <w:multiLevelType w:val="singleLevel"/>
    <w:tmpl w:val="1E73DE78"/>
    <w:lvl w:ilvl="0" w:tentative="0">
      <w:start w:val="1"/>
      <w:numFmt w:val="decimal"/>
      <w:suff w:val="nothing"/>
      <w:lvlText w:val="%1、"/>
      <w:lvlJc w:val="left"/>
    </w:lvl>
  </w:abstractNum>
  <w:abstractNum w:abstractNumId="2">
    <w:nsid w:val="4F56086A"/>
    <w:multiLevelType w:val="singleLevel"/>
    <w:tmpl w:val="4F56086A"/>
    <w:lvl w:ilvl="0" w:tentative="0">
      <w:start w:val="1"/>
      <w:numFmt w:val="chineseCounting"/>
      <w:suff w:val="nothing"/>
      <w:lvlText w:val="（%1）"/>
      <w:lvlJc w:val="left"/>
      <w:rPr>
        <w:rFonts w:hint="eastAsia"/>
      </w:rPr>
    </w:lvl>
  </w:abstractNum>
  <w:abstractNum w:abstractNumId="3">
    <w:nsid w:val="51278474"/>
    <w:multiLevelType w:val="singleLevel"/>
    <w:tmpl w:val="51278474"/>
    <w:lvl w:ilvl="0" w:tentative="0">
      <w:start w:val="1"/>
      <w:numFmt w:val="chineseCounting"/>
      <w:suff w:val="nothing"/>
      <w:lvlText w:val="%1、"/>
      <w:lvlJc w:val="left"/>
      <w:pPr>
        <w:ind w:left="64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4Yzk4ODJmMGVmMGMwZTQyYzcyMjk1ZGFjMjNmNWEifQ=="/>
  </w:docVars>
  <w:rsids>
    <w:rsidRoot w:val="74182DFC"/>
    <w:rsid w:val="00465811"/>
    <w:rsid w:val="006C77D7"/>
    <w:rsid w:val="00DC6BF8"/>
    <w:rsid w:val="01003109"/>
    <w:rsid w:val="01964270"/>
    <w:rsid w:val="01D05B0D"/>
    <w:rsid w:val="02704178"/>
    <w:rsid w:val="02E04B4E"/>
    <w:rsid w:val="02F0175E"/>
    <w:rsid w:val="042175E4"/>
    <w:rsid w:val="061B5A17"/>
    <w:rsid w:val="07D56EA5"/>
    <w:rsid w:val="080737D2"/>
    <w:rsid w:val="082645E6"/>
    <w:rsid w:val="08CB20E8"/>
    <w:rsid w:val="09930467"/>
    <w:rsid w:val="09D345A7"/>
    <w:rsid w:val="0A9E7CF1"/>
    <w:rsid w:val="0B481FE1"/>
    <w:rsid w:val="0CC06645"/>
    <w:rsid w:val="0DE63B48"/>
    <w:rsid w:val="0E531032"/>
    <w:rsid w:val="0FB3423F"/>
    <w:rsid w:val="0FD43745"/>
    <w:rsid w:val="0FDD521A"/>
    <w:rsid w:val="0FFC7994"/>
    <w:rsid w:val="10C55C3F"/>
    <w:rsid w:val="12647A72"/>
    <w:rsid w:val="1283614B"/>
    <w:rsid w:val="135031D6"/>
    <w:rsid w:val="15BC0EB5"/>
    <w:rsid w:val="161903AB"/>
    <w:rsid w:val="161B3208"/>
    <w:rsid w:val="16F863D8"/>
    <w:rsid w:val="183A6390"/>
    <w:rsid w:val="18962BAB"/>
    <w:rsid w:val="190D2C12"/>
    <w:rsid w:val="193A32DB"/>
    <w:rsid w:val="199A7A37"/>
    <w:rsid w:val="19B03E39"/>
    <w:rsid w:val="1A6938AB"/>
    <w:rsid w:val="1AA94BBC"/>
    <w:rsid w:val="1E1B5C11"/>
    <w:rsid w:val="1E5767C3"/>
    <w:rsid w:val="1EFD7285"/>
    <w:rsid w:val="20C01CFC"/>
    <w:rsid w:val="20CF69FF"/>
    <w:rsid w:val="22243886"/>
    <w:rsid w:val="22297444"/>
    <w:rsid w:val="223E3E3C"/>
    <w:rsid w:val="22C436A2"/>
    <w:rsid w:val="231828DF"/>
    <w:rsid w:val="239C0ADB"/>
    <w:rsid w:val="265A274E"/>
    <w:rsid w:val="26F12726"/>
    <w:rsid w:val="273C404C"/>
    <w:rsid w:val="297445E7"/>
    <w:rsid w:val="299A3B46"/>
    <w:rsid w:val="2AB52BB3"/>
    <w:rsid w:val="2AD76BDC"/>
    <w:rsid w:val="2BE07A80"/>
    <w:rsid w:val="2BFC5B4A"/>
    <w:rsid w:val="2C1874AC"/>
    <w:rsid w:val="2C414C55"/>
    <w:rsid w:val="2E750BE6"/>
    <w:rsid w:val="2E7D7A9A"/>
    <w:rsid w:val="2E9F315C"/>
    <w:rsid w:val="35026F4B"/>
    <w:rsid w:val="350E609D"/>
    <w:rsid w:val="35132FF0"/>
    <w:rsid w:val="35E548A3"/>
    <w:rsid w:val="36C758BB"/>
    <w:rsid w:val="379E1D6D"/>
    <w:rsid w:val="37DC7F27"/>
    <w:rsid w:val="37E24DAB"/>
    <w:rsid w:val="385A57C7"/>
    <w:rsid w:val="38BD0102"/>
    <w:rsid w:val="38EA21D0"/>
    <w:rsid w:val="3A1A0893"/>
    <w:rsid w:val="3BD32ECB"/>
    <w:rsid w:val="3C073099"/>
    <w:rsid w:val="3C2974B3"/>
    <w:rsid w:val="3D902001"/>
    <w:rsid w:val="3E38768D"/>
    <w:rsid w:val="3F872EB7"/>
    <w:rsid w:val="40B71192"/>
    <w:rsid w:val="411C1395"/>
    <w:rsid w:val="41697E82"/>
    <w:rsid w:val="417967E7"/>
    <w:rsid w:val="41DE4D1B"/>
    <w:rsid w:val="429F402B"/>
    <w:rsid w:val="43C20BAC"/>
    <w:rsid w:val="44EA62E2"/>
    <w:rsid w:val="46115240"/>
    <w:rsid w:val="48A34513"/>
    <w:rsid w:val="49A8026C"/>
    <w:rsid w:val="4AAA7A11"/>
    <w:rsid w:val="4AD63609"/>
    <w:rsid w:val="4AD8632C"/>
    <w:rsid w:val="4B7F4E2F"/>
    <w:rsid w:val="4BF12C42"/>
    <w:rsid w:val="4E7B594C"/>
    <w:rsid w:val="4F8A3D9F"/>
    <w:rsid w:val="513242BC"/>
    <w:rsid w:val="51840539"/>
    <w:rsid w:val="51D74DAB"/>
    <w:rsid w:val="523934B4"/>
    <w:rsid w:val="525C0149"/>
    <w:rsid w:val="5305612D"/>
    <w:rsid w:val="53FC752F"/>
    <w:rsid w:val="54AF6350"/>
    <w:rsid w:val="55D41A85"/>
    <w:rsid w:val="581E0DDA"/>
    <w:rsid w:val="58920A6D"/>
    <w:rsid w:val="58B8779D"/>
    <w:rsid w:val="58EF1F5D"/>
    <w:rsid w:val="59700F20"/>
    <w:rsid w:val="59B523E8"/>
    <w:rsid w:val="5ABB6DF4"/>
    <w:rsid w:val="5C2D792E"/>
    <w:rsid w:val="5C341831"/>
    <w:rsid w:val="5D303DA6"/>
    <w:rsid w:val="5D90279B"/>
    <w:rsid w:val="5DCA4460"/>
    <w:rsid w:val="5DFB2581"/>
    <w:rsid w:val="5E7B1376"/>
    <w:rsid w:val="5EBA494E"/>
    <w:rsid w:val="5FA10F8B"/>
    <w:rsid w:val="5FF27A39"/>
    <w:rsid w:val="60634492"/>
    <w:rsid w:val="612C5F97"/>
    <w:rsid w:val="62D41677"/>
    <w:rsid w:val="63FC70D8"/>
    <w:rsid w:val="64FE123D"/>
    <w:rsid w:val="65C459D3"/>
    <w:rsid w:val="66CD4805"/>
    <w:rsid w:val="66F05671"/>
    <w:rsid w:val="67A11CC0"/>
    <w:rsid w:val="68F0545C"/>
    <w:rsid w:val="69FF6FDA"/>
    <w:rsid w:val="6A2D5F1B"/>
    <w:rsid w:val="6ACA548D"/>
    <w:rsid w:val="6AE90161"/>
    <w:rsid w:val="6D9D6E0A"/>
    <w:rsid w:val="6E4B075D"/>
    <w:rsid w:val="6EB56745"/>
    <w:rsid w:val="704B1CC4"/>
    <w:rsid w:val="70FC4273"/>
    <w:rsid w:val="72515E1B"/>
    <w:rsid w:val="72587BCF"/>
    <w:rsid w:val="730C06EE"/>
    <w:rsid w:val="74024296"/>
    <w:rsid w:val="74182DFC"/>
    <w:rsid w:val="746B23D4"/>
    <w:rsid w:val="760D0B5E"/>
    <w:rsid w:val="76120095"/>
    <w:rsid w:val="77550B81"/>
    <w:rsid w:val="78B4669B"/>
    <w:rsid w:val="7A3800DC"/>
    <w:rsid w:val="7ACB0B2F"/>
    <w:rsid w:val="7B950E80"/>
    <w:rsid w:val="7BD06A28"/>
    <w:rsid w:val="7D931A8D"/>
    <w:rsid w:val="7E16287D"/>
    <w:rsid w:val="7EC04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qFormat/>
    <w:uiPriority w:val="0"/>
    <w:rPr>
      <w:rFonts w:ascii="宋体" w:hAnsi="Courier New" w:cs="Courier New"/>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BodyText1I2"/>
    <w:basedOn w:val="8"/>
    <w:qFormat/>
    <w:uiPriority w:val="0"/>
    <w:pPr>
      <w:ind w:firstLine="420"/>
    </w:pPr>
  </w:style>
  <w:style w:type="paragraph" w:customStyle="1" w:styleId="8">
    <w:name w:val="BodyTextIndent"/>
    <w:basedOn w:val="1"/>
    <w:qFormat/>
    <w:uiPriority w:val="0"/>
    <w:pPr>
      <w:spacing w:after="120"/>
      <w:ind w:left="420" w:leftChars="200" w:firstLine="200" w:firstLineChars="200"/>
      <w:textAlignment w:val="baseline"/>
    </w:p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4029</Words>
  <Characters>4325</Characters>
  <Lines>0</Lines>
  <Paragraphs>0</Paragraphs>
  <TotalTime>0</TotalTime>
  <ScaleCrop>false</ScaleCrop>
  <LinksUpToDate>false</LinksUpToDate>
  <CharactersWithSpaces>4364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2024-05-24T15:13:00Z</dcterms:created>
  <dc:creator>Administrator</dc:creator>
  <cp:lastModifiedBy>Administrator</cp:lastModifiedBy>
  <dcterms:modified xsi:type="dcterms:W3CDTF">2025-09-30T09:03:03Z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E69864D472D543CEB70F25B914C99C3B_11</vt:lpwstr>
  </property>
  <property fmtid="{D5CDD505-2E9C-101B-9397-08002B2CF9AE}" pid="4" name="KSOTemplateDocerSaveRecord">
    <vt:lpwstr>eyJoZGlkIjoiNzU4Yzk4ODJmMGVmMGMwZTQyYzcyMjk1ZGFjMjNmNWEifQ==</vt:lpwstr>
  </property>
</Properties>
</file>