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44"/>
          <w:szCs w:val="44"/>
          <w:lang w:val="en-US" w:eastAsia="zh-CN"/>
        </w:rPr>
      </w:pPr>
    </w:p>
    <w:p>
      <w:pPr>
        <w:jc w:val="center"/>
        <w:rPr>
          <w:rFonts w:hint="eastAsia" w:ascii="仿宋" w:hAnsi="仿宋" w:eastAsia="仿宋" w:cs="仿宋"/>
          <w:b/>
          <w:bCs/>
          <w:sz w:val="52"/>
          <w:szCs w:val="52"/>
        </w:rPr>
      </w:pPr>
      <w:r>
        <w:rPr>
          <w:rFonts w:hint="eastAsia" w:ascii="仿宋" w:hAnsi="仿宋" w:eastAsia="仿宋" w:cs="仿宋"/>
          <w:sz w:val="44"/>
          <w:szCs w:val="44"/>
          <w:lang w:val="en-US" w:eastAsia="zh-CN"/>
        </w:rPr>
        <w:t xml:space="preserve">  </w:t>
      </w:r>
      <w:r>
        <w:rPr>
          <w:rFonts w:hint="eastAsia" w:ascii="仿宋" w:hAnsi="仿宋" w:eastAsia="仿宋" w:cs="仿宋"/>
          <w:b/>
          <w:bCs/>
          <w:sz w:val="52"/>
          <w:szCs w:val="52"/>
          <w:lang w:val="en-US" w:eastAsia="zh-CN"/>
        </w:rPr>
        <w:t>2024</w:t>
      </w:r>
      <w:r>
        <w:rPr>
          <w:rFonts w:hint="eastAsia" w:ascii="仿宋" w:hAnsi="仿宋" w:eastAsia="仿宋" w:cs="仿宋"/>
          <w:b/>
          <w:bCs/>
          <w:sz w:val="52"/>
          <w:szCs w:val="52"/>
        </w:rPr>
        <w:t>年度</w:t>
      </w:r>
      <w:r>
        <w:rPr>
          <w:rFonts w:hint="eastAsia" w:ascii="仿宋" w:hAnsi="仿宋" w:eastAsia="仿宋" w:cs="仿宋"/>
          <w:b/>
          <w:bCs/>
          <w:sz w:val="52"/>
          <w:szCs w:val="52"/>
          <w:lang w:eastAsia="zh-CN"/>
        </w:rPr>
        <w:t>益阳市</w:t>
      </w:r>
      <w:r>
        <w:rPr>
          <w:rFonts w:hint="eastAsia" w:ascii="仿宋" w:hAnsi="仿宋" w:eastAsia="仿宋" w:cs="仿宋"/>
          <w:b/>
          <w:bCs/>
          <w:sz w:val="52"/>
          <w:szCs w:val="52"/>
        </w:rPr>
        <w:t>资阳区接待服务中心部门整体支出绩效自评报告</w:t>
      </w:r>
    </w:p>
    <w:p>
      <w:pPr>
        <w:jc w:val="center"/>
        <w:rPr>
          <w:rFonts w:hint="eastAsia" w:ascii="仿宋" w:hAnsi="仿宋" w:eastAsia="仿宋" w:cs="仿宋"/>
          <w:sz w:val="32"/>
          <w:szCs w:val="32"/>
        </w:rPr>
      </w:pPr>
    </w:p>
    <w:p>
      <w:pPr>
        <w:jc w:val="center"/>
        <w:rPr>
          <w:rFonts w:hint="eastAsia" w:ascii="仿宋" w:hAnsi="仿宋" w:eastAsia="仿宋" w:cs="仿宋"/>
          <w:sz w:val="44"/>
          <w:szCs w:val="44"/>
        </w:rPr>
      </w:pPr>
    </w:p>
    <w:p>
      <w:pPr>
        <w:jc w:val="both"/>
        <w:rPr>
          <w:rFonts w:hint="eastAsia" w:ascii="仿宋" w:hAnsi="仿宋" w:eastAsia="仿宋" w:cs="仿宋"/>
          <w:sz w:val="44"/>
          <w:szCs w:val="44"/>
        </w:rPr>
      </w:pPr>
    </w:p>
    <w:p>
      <w:pPr>
        <w:jc w:val="both"/>
        <w:rPr>
          <w:rFonts w:hint="eastAsia" w:ascii="仿宋" w:hAnsi="仿宋" w:eastAsia="仿宋" w:cs="仿宋"/>
          <w:sz w:val="44"/>
          <w:szCs w:val="44"/>
        </w:rPr>
      </w:pPr>
    </w:p>
    <w:p>
      <w:pPr>
        <w:ind w:firstLine="872" w:firstLineChars="200"/>
        <w:jc w:val="center"/>
        <w:rPr>
          <w:rFonts w:hint="eastAsia" w:ascii="仿宋" w:hAnsi="仿宋" w:eastAsia="仿宋" w:cs="仿宋"/>
          <w:sz w:val="44"/>
          <w:szCs w:val="44"/>
        </w:rPr>
      </w:pPr>
    </w:p>
    <w:p>
      <w:pPr>
        <w:ind w:firstLine="712" w:firstLineChars="200"/>
        <w:jc w:val="both"/>
        <w:rPr>
          <w:rFonts w:hint="eastAsia" w:ascii="仿宋" w:hAnsi="仿宋" w:eastAsia="仿宋" w:cs="仿宋"/>
          <w:sz w:val="36"/>
          <w:szCs w:val="36"/>
          <w:lang w:eastAsia="zh-CN"/>
        </w:rPr>
      </w:pPr>
    </w:p>
    <w:p>
      <w:pPr>
        <w:ind w:firstLine="712" w:firstLineChars="200"/>
        <w:jc w:val="both"/>
        <w:rPr>
          <w:rFonts w:hint="eastAsia" w:ascii="仿宋" w:hAnsi="仿宋" w:eastAsia="仿宋" w:cs="仿宋"/>
          <w:sz w:val="36"/>
          <w:szCs w:val="36"/>
          <w:lang w:eastAsia="zh-CN"/>
        </w:rPr>
      </w:pPr>
    </w:p>
    <w:p>
      <w:pPr>
        <w:ind w:firstLine="712" w:firstLineChars="200"/>
        <w:jc w:val="both"/>
        <w:rPr>
          <w:rFonts w:hint="eastAsia" w:ascii="仿宋" w:hAnsi="仿宋" w:eastAsia="仿宋" w:cs="仿宋"/>
          <w:sz w:val="36"/>
          <w:szCs w:val="36"/>
          <w:u w:val="single"/>
          <w:lang w:val="en-US" w:eastAsia="zh-CN"/>
        </w:rPr>
      </w:pPr>
      <w:r>
        <w:rPr>
          <w:rFonts w:hint="eastAsia" w:ascii="仿宋" w:hAnsi="仿宋" w:eastAsia="仿宋" w:cs="仿宋"/>
          <w:sz w:val="36"/>
          <w:szCs w:val="36"/>
          <w:lang w:eastAsia="zh-CN"/>
        </w:rPr>
        <w:t>部门（</w:t>
      </w:r>
      <w:r>
        <w:rPr>
          <w:rFonts w:hint="eastAsia" w:ascii="仿宋" w:hAnsi="仿宋" w:eastAsia="仿宋" w:cs="仿宋"/>
          <w:sz w:val="36"/>
          <w:szCs w:val="36"/>
        </w:rPr>
        <w:t>单位</w:t>
      </w:r>
      <w:r>
        <w:rPr>
          <w:rFonts w:hint="eastAsia" w:ascii="仿宋" w:hAnsi="仿宋" w:eastAsia="仿宋" w:cs="仿宋"/>
          <w:sz w:val="36"/>
          <w:szCs w:val="36"/>
          <w:lang w:eastAsia="zh-CN"/>
        </w:rPr>
        <w:t>）</w:t>
      </w:r>
      <w:r>
        <w:rPr>
          <w:rFonts w:hint="eastAsia" w:ascii="仿宋" w:hAnsi="仿宋" w:eastAsia="仿宋" w:cs="仿宋"/>
          <w:sz w:val="36"/>
          <w:szCs w:val="36"/>
        </w:rPr>
        <w:t>名称：</w:t>
      </w:r>
      <w:r>
        <w:rPr>
          <w:rFonts w:hint="eastAsia" w:ascii="仿宋" w:hAnsi="仿宋" w:eastAsia="仿宋" w:cs="仿宋"/>
          <w:sz w:val="36"/>
          <w:szCs w:val="36"/>
          <w:lang w:val="en-US" w:eastAsia="zh-CN"/>
        </w:rPr>
        <w:t xml:space="preserve"> </w:t>
      </w:r>
      <w:r>
        <w:rPr>
          <w:rFonts w:hint="eastAsia" w:ascii="仿宋" w:hAnsi="仿宋" w:eastAsia="仿宋" w:cs="仿宋"/>
          <w:sz w:val="36"/>
          <w:szCs w:val="36"/>
          <w:u w:val="single"/>
        </w:rPr>
        <w:t>（盖章）</w:t>
      </w:r>
      <w:r>
        <w:rPr>
          <w:rFonts w:hint="eastAsia" w:ascii="仿宋" w:hAnsi="仿宋" w:eastAsia="仿宋" w:cs="仿宋"/>
          <w:sz w:val="36"/>
          <w:szCs w:val="36"/>
          <w:u w:val="single"/>
          <w:lang w:val="en-US" w:eastAsia="zh-CN"/>
        </w:rPr>
        <w:t xml:space="preserve">       </w:t>
      </w:r>
    </w:p>
    <w:p>
      <w:pPr>
        <w:ind w:firstLine="3204" w:firstLineChars="900"/>
        <w:jc w:val="both"/>
        <w:rPr>
          <w:rFonts w:hint="eastAsia" w:ascii="仿宋" w:hAnsi="仿宋" w:eastAsia="仿宋" w:cs="仿宋"/>
          <w:sz w:val="36"/>
          <w:szCs w:val="36"/>
          <w:u w:val="none"/>
          <w:lang w:val="en-US" w:eastAsia="zh-CN"/>
        </w:rPr>
      </w:pPr>
    </w:p>
    <w:p>
      <w:pPr>
        <w:ind w:firstLine="3204" w:firstLineChars="900"/>
        <w:jc w:val="both"/>
        <w:rPr>
          <w:rFonts w:hint="eastAsia" w:ascii="仿宋" w:hAnsi="仿宋" w:eastAsia="仿宋" w:cs="仿宋"/>
          <w:sz w:val="36"/>
          <w:szCs w:val="36"/>
          <w:u w:val="single"/>
          <w:lang w:val="en-US" w:eastAsia="zh-CN"/>
        </w:rPr>
      </w:pPr>
      <w:r>
        <w:rPr>
          <w:rFonts w:hint="eastAsia" w:ascii="仿宋" w:hAnsi="仿宋" w:eastAsia="仿宋" w:cs="仿宋"/>
          <w:sz w:val="36"/>
          <w:szCs w:val="36"/>
          <w:u w:val="none"/>
          <w:lang w:val="en-US" w:eastAsia="zh-CN"/>
        </w:rPr>
        <w:t>2025年  5 月 21 日</w:t>
      </w:r>
    </w:p>
    <w:p>
      <w:pPr>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pStyle w:val="5"/>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5"/>
        <w:rPr>
          <w:rFonts w:hint="eastAsia"/>
        </w:rPr>
      </w:pPr>
    </w:p>
    <w:p>
      <w:pPr>
        <w:rPr>
          <w:rFonts w:hint="eastAsia"/>
        </w:rPr>
      </w:pPr>
    </w:p>
    <w:p>
      <w:pPr>
        <w:spacing w:line="560" w:lineRule="exact"/>
        <w:jc w:val="both"/>
        <w:rPr>
          <w:rFonts w:hint="eastAsia" w:ascii="仿宋" w:hAnsi="仿宋" w:eastAsia="仿宋" w:cs="仿宋"/>
          <w:sz w:val="36"/>
          <w:szCs w:val="36"/>
          <w:lang w:val="en-US" w:eastAsia="zh-CN"/>
        </w:rPr>
      </w:pPr>
    </w:p>
    <w:p>
      <w:pPr>
        <w:spacing w:line="600" w:lineRule="exact"/>
        <w:jc w:val="center"/>
        <w:rPr>
          <w:rFonts w:hint="eastAsia" w:ascii="方正小标宋简体" w:hAnsi="方正小标宋简体" w:eastAsia="方正小标宋简体" w:cs="方正小标宋简体"/>
          <w:b w:val="0"/>
          <w:bCs w:val="0"/>
          <w:kern w:val="0"/>
          <w:sz w:val="40"/>
          <w:szCs w:val="40"/>
          <w:lang w:val="en-US" w:eastAsia="zh-CN" w:bidi="ar-SA"/>
        </w:rPr>
      </w:pPr>
      <w:r>
        <w:rPr>
          <w:rFonts w:hint="eastAsia" w:ascii="方正小标宋简体" w:hAnsi="方正小标宋简体" w:eastAsia="方正小标宋简体" w:cs="方正小标宋简体"/>
          <w:b w:val="0"/>
          <w:bCs w:val="0"/>
          <w:kern w:val="0"/>
          <w:sz w:val="40"/>
          <w:szCs w:val="40"/>
          <w:lang w:val="en-US" w:eastAsia="zh-CN" w:bidi="ar-SA"/>
        </w:rPr>
        <w:t>2024年度益阳市资阳区接待服务中心部门</w:t>
      </w:r>
    </w:p>
    <w:p>
      <w:pPr>
        <w:spacing w:line="600" w:lineRule="exact"/>
        <w:jc w:val="center"/>
        <w:rPr>
          <w:rFonts w:hint="eastAsia" w:ascii="方正小标宋简体" w:hAnsi="方正小标宋简体" w:eastAsia="方正小标宋简体" w:cs="方正小标宋简体"/>
          <w:b w:val="0"/>
          <w:bCs w:val="0"/>
          <w:kern w:val="0"/>
          <w:sz w:val="40"/>
          <w:szCs w:val="40"/>
          <w:lang w:val="en-US" w:eastAsia="zh-CN" w:bidi="ar-SA"/>
        </w:rPr>
      </w:pPr>
      <w:r>
        <w:rPr>
          <w:rFonts w:hint="eastAsia" w:ascii="方正小标宋简体" w:hAnsi="方正小标宋简体" w:eastAsia="方正小标宋简体" w:cs="方正小标宋简体"/>
          <w:b w:val="0"/>
          <w:bCs w:val="0"/>
          <w:kern w:val="0"/>
          <w:sz w:val="40"/>
          <w:szCs w:val="40"/>
          <w:lang w:val="en-US" w:eastAsia="zh-CN" w:bidi="ar-SA"/>
        </w:rPr>
        <w:t>整体支出绩效自评报告</w:t>
      </w:r>
    </w:p>
    <w:p>
      <w:pPr>
        <w:spacing w:line="560" w:lineRule="exact"/>
        <w:jc w:val="both"/>
        <w:rPr>
          <w:rFonts w:hint="eastAsia" w:ascii="仿宋_GB2312" w:hAnsi="仿宋_GB2312" w:eastAsia="仿宋_GB2312" w:cs="仿宋_GB2312"/>
          <w:sz w:val="32"/>
          <w:szCs w:val="32"/>
        </w:rPr>
      </w:pPr>
    </w:p>
    <w:p>
      <w:pPr>
        <w:spacing w:line="560" w:lineRule="exact"/>
        <w:ind w:firstLine="691"/>
        <w:jc w:val="both"/>
        <w:rPr>
          <w:rFonts w:hint="eastAsia" w:ascii="仿宋" w:hAnsi="仿宋" w:eastAsia="仿宋" w:cs="仿宋"/>
          <w:kern w:val="0"/>
          <w:sz w:val="32"/>
          <w:szCs w:val="32"/>
          <w:lang w:val="en-US" w:eastAsia="zh-CN" w:bidi="ar-SA"/>
        </w:rPr>
      </w:pPr>
      <w:r>
        <w:rPr>
          <w:rFonts w:hint="eastAsia" w:ascii="仿宋" w:hAnsi="仿宋" w:eastAsia="仿宋" w:cs="仿宋"/>
          <w:sz w:val="32"/>
          <w:szCs w:val="32"/>
        </w:rPr>
        <w:t>为进一步规范财政资金管理，牢固树立预算绩效理念，强化部门支出责任，提高财政资金使用效益，根据</w:t>
      </w:r>
      <w:r>
        <w:rPr>
          <w:rFonts w:hint="eastAsia" w:ascii="仿宋" w:hAnsi="仿宋" w:eastAsia="仿宋" w:cs="仿宋"/>
          <w:sz w:val="32"/>
          <w:szCs w:val="32"/>
          <w:lang w:eastAsia="zh-CN"/>
        </w:rPr>
        <w:t>益阳市资阳区财政局关于开展</w:t>
      </w:r>
      <w:r>
        <w:rPr>
          <w:rFonts w:hint="eastAsia" w:ascii="仿宋" w:hAnsi="仿宋" w:eastAsia="仿宋" w:cs="仿宋"/>
          <w:sz w:val="32"/>
          <w:szCs w:val="32"/>
          <w:lang w:val="en-US" w:eastAsia="zh-CN"/>
        </w:rPr>
        <w:t>2024年度部门绩效自评工作的要求，</w:t>
      </w:r>
      <w:r>
        <w:rPr>
          <w:rFonts w:hint="eastAsia" w:ascii="仿宋" w:hAnsi="仿宋" w:eastAsia="仿宋" w:cs="仿宋"/>
          <w:b w:val="0"/>
          <w:bCs w:val="0"/>
          <w:i w:val="0"/>
          <w:iCs w:val="0"/>
          <w:caps w:val="0"/>
          <w:color w:val="auto"/>
          <w:spacing w:val="0"/>
          <w:sz w:val="32"/>
          <w:szCs w:val="32"/>
          <w:shd w:val="clear" w:color="auto" w:fill="FFFFFF"/>
        </w:rPr>
        <w:t>我单位领导高度重视，认真组织，对202</w:t>
      </w:r>
      <w:r>
        <w:rPr>
          <w:rFonts w:hint="eastAsia" w:ascii="仿宋" w:hAnsi="仿宋" w:eastAsia="仿宋" w:cs="仿宋"/>
          <w:b w:val="0"/>
          <w:bCs w:val="0"/>
          <w:i w:val="0"/>
          <w:iCs w:val="0"/>
          <w:caps w:val="0"/>
          <w:color w:val="auto"/>
          <w:spacing w:val="0"/>
          <w:sz w:val="32"/>
          <w:szCs w:val="32"/>
          <w:shd w:val="clear" w:color="auto" w:fill="FFFFFF"/>
          <w:lang w:val="en-US" w:eastAsia="zh-CN"/>
        </w:rPr>
        <w:t>4</w:t>
      </w:r>
      <w:r>
        <w:rPr>
          <w:rFonts w:hint="eastAsia" w:ascii="仿宋" w:hAnsi="仿宋" w:eastAsia="仿宋" w:cs="仿宋"/>
          <w:b w:val="0"/>
          <w:bCs w:val="0"/>
          <w:i w:val="0"/>
          <w:iCs w:val="0"/>
          <w:caps w:val="0"/>
          <w:color w:val="auto"/>
          <w:spacing w:val="0"/>
          <w:sz w:val="32"/>
          <w:szCs w:val="32"/>
          <w:shd w:val="clear" w:color="auto" w:fill="FFFFFF"/>
        </w:rPr>
        <w:t>年部门整体支出进行了绩效自评，现将我单位部门整体支出绩效自评情况报告如下：</w:t>
      </w:r>
    </w:p>
    <w:p>
      <w:pPr>
        <w:widowControl/>
        <w:autoSpaceDN w:val="0"/>
        <w:spacing w:line="540" w:lineRule="exact"/>
        <w:ind w:firstLine="640"/>
        <w:rPr>
          <w:rFonts w:hint="eastAsia" w:ascii="黑体" w:hAnsi="黑体" w:eastAsia="黑体" w:cs="黑体"/>
          <w:b w:val="0"/>
          <w:bCs w:val="0"/>
          <w:color w:val="000000"/>
          <w:kern w:val="0"/>
          <w:sz w:val="32"/>
          <w:szCs w:val="32"/>
        </w:rPr>
      </w:pPr>
      <w:r>
        <w:rPr>
          <w:rFonts w:hint="eastAsia" w:ascii="黑体" w:hAnsi="黑体" w:eastAsia="黑体" w:cs="黑体"/>
          <w:b w:val="0"/>
          <w:bCs w:val="0"/>
          <w:color w:val="000000"/>
          <w:kern w:val="0"/>
          <w:sz w:val="32"/>
          <w:szCs w:val="32"/>
        </w:rPr>
        <w:t>一、部门概况</w:t>
      </w:r>
    </w:p>
    <w:p>
      <w:pPr>
        <w:widowControl/>
        <w:autoSpaceDN w:val="0"/>
        <w:spacing w:line="540" w:lineRule="exact"/>
        <w:ind w:firstLine="640"/>
        <w:rPr>
          <w:rFonts w:hint="eastAsia" w:ascii="楷体" w:hAnsi="楷体" w:eastAsia="楷体" w:cs="楷体"/>
          <w:b/>
          <w:bCs/>
          <w:kern w:val="0"/>
          <w:sz w:val="32"/>
          <w:szCs w:val="32"/>
          <w:lang w:val="en-US" w:eastAsia="zh-CN" w:bidi="ar-SA"/>
        </w:rPr>
      </w:pPr>
      <w:r>
        <w:rPr>
          <w:rFonts w:hint="eastAsia" w:ascii="楷体" w:hAnsi="楷体" w:eastAsia="楷体" w:cs="楷体"/>
          <w:b/>
          <w:bCs/>
          <w:kern w:val="0"/>
          <w:sz w:val="32"/>
          <w:szCs w:val="32"/>
          <w:lang w:val="en-US" w:eastAsia="zh-CN" w:bidi="ar-SA"/>
        </w:rPr>
        <w:t>（一）2024年度重点工作计划</w:t>
      </w:r>
    </w:p>
    <w:p>
      <w:pPr>
        <w:widowControl/>
        <w:autoSpaceDN w:val="0"/>
        <w:spacing w:line="540" w:lineRule="exact"/>
        <w:ind w:firstLine="640"/>
        <w:rPr>
          <w:rFonts w:hint="eastAsia" w:ascii="仿宋_GB2312" w:hAnsi="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202</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年度重点工作计划</w:t>
      </w:r>
      <w:r>
        <w:rPr>
          <w:rFonts w:hint="eastAsia" w:ascii="仿宋_GB2312" w:hAnsi="仿宋_GB2312" w:cs="仿宋_GB2312"/>
          <w:kern w:val="0"/>
          <w:sz w:val="32"/>
          <w:szCs w:val="32"/>
          <w:lang w:val="en-US" w:eastAsia="zh-CN" w:bidi="ar-SA"/>
        </w:rPr>
        <w:t>是</w:t>
      </w:r>
      <w:r>
        <w:rPr>
          <w:rFonts w:hint="eastAsia" w:eastAsia="仿宋_GB2312"/>
          <w:sz w:val="32"/>
          <w:szCs w:val="32"/>
        </w:rPr>
        <w:t>完成区主要领导交办的重要接待对象来资阳区期间接待工作的联络和服务工作</w:t>
      </w:r>
      <w:r>
        <w:rPr>
          <w:rFonts w:hint="eastAsia"/>
          <w:sz w:val="32"/>
          <w:szCs w:val="32"/>
          <w:lang w:eastAsia="zh-CN"/>
        </w:rPr>
        <w:t>，</w:t>
      </w:r>
      <w:r>
        <w:rPr>
          <w:rFonts w:hint="eastAsia" w:eastAsia="仿宋_GB2312"/>
          <w:sz w:val="32"/>
          <w:szCs w:val="32"/>
        </w:rPr>
        <w:t>负责全区重要会议、活动的指导、接待工作</w:t>
      </w:r>
      <w:r>
        <w:rPr>
          <w:rFonts w:hint="eastAsia"/>
          <w:sz w:val="32"/>
          <w:szCs w:val="32"/>
          <w:lang w:eastAsia="zh-CN"/>
        </w:rPr>
        <w:t>，</w:t>
      </w:r>
      <w:r>
        <w:rPr>
          <w:rFonts w:hint="eastAsia" w:eastAsia="仿宋_GB2312"/>
          <w:sz w:val="32"/>
          <w:szCs w:val="32"/>
        </w:rPr>
        <w:t>负责统一管理和使用区财政预算安排的接待经费</w:t>
      </w:r>
      <w:r>
        <w:rPr>
          <w:rFonts w:hint="eastAsia"/>
          <w:sz w:val="32"/>
          <w:szCs w:val="32"/>
          <w:lang w:eastAsia="zh-CN"/>
        </w:rPr>
        <w:t>，</w:t>
      </w:r>
      <w:r>
        <w:rPr>
          <w:rFonts w:hint="eastAsia" w:eastAsia="仿宋_GB2312"/>
          <w:sz w:val="32"/>
          <w:szCs w:val="32"/>
        </w:rPr>
        <w:t>负责与各级接待部门的对口联络，负责对全区接待工作的业务指导，负责做好区直单位有关接待工作的协调。</w:t>
      </w:r>
      <w:r>
        <w:rPr>
          <w:rFonts w:hint="eastAsia"/>
          <w:sz w:val="32"/>
          <w:szCs w:val="32"/>
          <w:lang w:val="en-US" w:eastAsia="zh-CN"/>
        </w:rPr>
        <w:t>以及完成</w:t>
      </w:r>
      <w:r>
        <w:rPr>
          <w:rFonts w:hint="eastAsia" w:eastAsia="仿宋_GB2312"/>
          <w:sz w:val="32"/>
          <w:szCs w:val="32"/>
        </w:rPr>
        <w:t>区委区政府交办的各项工作。</w:t>
      </w:r>
      <w:r>
        <w:rPr>
          <w:rFonts w:hint="eastAsia" w:ascii="仿宋_GB2312" w:hAnsi="仿宋_GB2312" w:eastAsia="仿宋_GB2312" w:cs="仿宋_GB2312"/>
          <w:sz w:val="32"/>
          <w:szCs w:val="32"/>
          <w:lang w:val="en-US" w:eastAsia="zh-CN"/>
        </w:rPr>
        <w:t>本年度接待省委第五巡视组：分3个工作小组（省委选人用人组5人、市委提级巡察组7人、省委第五巡视组13人）</w:t>
      </w:r>
      <w:r>
        <w:rPr>
          <w:rFonts w:hint="eastAsia" w:ascii="仿宋_GB2312" w:hAnsi="仿宋_GB2312" w:cs="仿宋_GB2312"/>
          <w:sz w:val="32"/>
          <w:szCs w:val="32"/>
          <w:lang w:val="en-US" w:eastAsia="zh-CN"/>
        </w:rPr>
        <w:t>、主办了</w:t>
      </w:r>
      <w:r>
        <w:rPr>
          <w:rFonts w:hint="eastAsia" w:ascii="仿宋" w:hAnsi="仿宋" w:eastAsia="仿宋" w:cs="仿宋"/>
          <w:i w:val="0"/>
          <w:caps w:val="0"/>
          <w:color w:val="auto"/>
          <w:spacing w:val="0"/>
          <w:sz w:val="32"/>
          <w:szCs w:val="32"/>
          <w:shd w:val="clear" w:fill="FFFFFF"/>
        </w:rPr>
        <w:t>公务接待服务礼仪培训</w:t>
      </w:r>
      <w:r>
        <w:rPr>
          <w:rFonts w:hint="eastAsia" w:ascii="仿宋" w:hAnsi="仿宋" w:eastAsia="仿宋" w:cs="仿宋"/>
          <w:i w:val="0"/>
          <w:caps w:val="0"/>
          <w:color w:val="auto"/>
          <w:spacing w:val="0"/>
          <w:sz w:val="32"/>
          <w:szCs w:val="32"/>
          <w:shd w:val="clear" w:fill="FFFFFF"/>
          <w:lang w:eastAsia="zh-CN"/>
        </w:rPr>
        <w:t>班。</w:t>
      </w:r>
    </w:p>
    <w:p>
      <w:pPr>
        <w:widowControl/>
        <w:autoSpaceDN w:val="0"/>
        <w:spacing w:line="540" w:lineRule="exact"/>
        <w:ind w:firstLine="640"/>
        <w:rPr>
          <w:rFonts w:hint="eastAsia" w:ascii="仿宋_GB2312" w:hAnsi="仿宋_GB2312" w:eastAsia="仿宋_GB2312" w:cs="仿宋_GB2312"/>
          <w:sz w:val="32"/>
          <w:szCs w:val="32"/>
          <w:lang w:val="en-US" w:eastAsia="zh-CN"/>
        </w:rPr>
      </w:pPr>
      <w:r>
        <w:rPr>
          <w:rFonts w:hint="eastAsia" w:ascii="楷体" w:hAnsi="楷体" w:eastAsia="楷体" w:cs="楷体"/>
          <w:b/>
          <w:bCs/>
          <w:kern w:val="0"/>
          <w:sz w:val="32"/>
          <w:szCs w:val="32"/>
          <w:lang w:val="en-US" w:eastAsia="zh-CN" w:bidi="ar-SA"/>
        </w:rPr>
        <w:t>（二）部门整体支出规模、使用方向、主要内容和涉及范围</w:t>
      </w:r>
    </w:p>
    <w:p>
      <w:pPr>
        <w:widowControl/>
        <w:autoSpaceDN w:val="0"/>
        <w:spacing w:line="540" w:lineRule="exact"/>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en-US"/>
        </w:rPr>
        <w:t>年收入实际完成</w:t>
      </w:r>
      <w:r>
        <w:rPr>
          <w:rFonts w:hint="eastAsia" w:ascii="仿宋_GB2312" w:hAnsi="仿宋_GB2312" w:eastAsia="仿宋_GB2312" w:cs="仿宋_GB2312"/>
          <w:sz w:val="32"/>
          <w:szCs w:val="32"/>
          <w:lang w:val="en-US" w:eastAsia="zh-CN"/>
        </w:rPr>
        <w:t>161.65</w:t>
      </w:r>
      <w:r>
        <w:rPr>
          <w:rFonts w:hint="eastAsia" w:ascii="仿宋_GB2312" w:hAnsi="仿宋_GB2312" w:eastAsia="仿宋_GB2312" w:cs="仿宋_GB2312"/>
          <w:sz w:val="32"/>
          <w:szCs w:val="32"/>
          <w:lang w:val="en-US"/>
        </w:rPr>
        <w:t>万元，比上年增</w:t>
      </w:r>
      <w:r>
        <w:rPr>
          <w:rFonts w:hint="eastAsia" w:ascii="仿宋_GB2312" w:hAnsi="仿宋_GB2312" w:cs="仿宋_GB2312"/>
          <w:sz w:val="32"/>
          <w:szCs w:val="32"/>
          <w:lang w:val="en-US" w:eastAsia="zh-CN"/>
        </w:rPr>
        <w:t>加</w:t>
      </w:r>
      <w:r>
        <w:rPr>
          <w:rFonts w:hint="eastAsia" w:ascii="仿宋_GB2312" w:hAnsi="仿宋_GB2312" w:eastAsia="仿宋_GB2312" w:cs="仿宋_GB2312"/>
          <w:sz w:val="32"/>
          <w:szCs w:val="32"/>
          <w:lang w:val="en-US" w:eastAsia="zh-CN"/>
        </w:rPr>
        <w:t>28.3</w:t>
      </w:r>
      <w:r>
        <w:rPr>
          <w:rFonts w:hint="eastAsia" w:ascii="仿宋_GB2312" w:hAnsi="仿宋_GB2312" w:eastAsia="仿宋_GB2312" w:cs="仿宋_GB2312"/>
          <w:sz w:val="32"/>
          <w:szCs w:val="32"/>
          <w:lang w:val="en-US"/>
        </w:rPr>
        <w:t>万元，增长</w:t>
      </w:r>
      <w:r>
        <w:rPr>
          <w:rFonts w:hint="eastAsia" w:ascii="仿宋_GB2312" w:hAnsi="仿宋_GB2312" w:eastAsia="仿宋_GB2312" w:cs="仿宋_GB2312"/>
          <w:sz w:val="32"/>
          <w:szCs w:val="32"/>
          <w:lang w:val="en-US" w:eastAsia="zh-CN"/>
        </w:rPr>
        <w:t>21.23</w:t>
      </w:r>
      <w:r>
        <w:rPr>
          <w:rFonts w:hint="eastAsia" w:ascii="仿宋_GB2312" w:hAnsi="仿宋_GB2312" w:eastAsia="仿宋_GB2312" w:cs="仿宋_GB2312"/>
          <w:sz w:val="32"/>
          <w:szCs w:val="32"/>
          <w:lang w:val="en-US"/>
        </w:rPr>
        <w:t>%。主要原因是：</w:t>
      </w:r>
      <w:r>
        <w:rPr>
          <w:rFonts w:hint="eastAsia" w:ascii="仿宋" w:hAnsi="仿宋" w:eastAsia="仿宋"/>
          <w:sz w:val="32"/>
          <w:szCs w:val="24"/>
          <w:lang w:val="zh-CN"/>
        </w:rPr>
        <w:t>本年度新增干职工调资、绩效考核奖励发放</w:t>
      </w:r>
      <w:r>
        <w:rPr>
          <w:rFonts w:hint="eastAsia" w:ascii="仿宋" w:hAnsi="仿宋" w:eastAsia="仿宋"/>
          <w:sz w:val="32"/>
          <w:szCs w:val="24"/>
          <w:lang w:val="en-US"/>
        </w:rPr>
        <w:t>。</w:t>
      </w:r>
      <w:r>
        <w:rPr>
          <w:rFonts w:hint="eastAsia" w:ascii="仿宋_GB2312" w:hAnsi="仿宋_GB2312" w:eastAsia="仿宋_GB2312" w:cs="仿宋_GB2312"/>
          <w:sz w:val="32"/>
          <w:szCs w:val="32"/>
          <w:lang w:val="en-US"/>
        </w:rPr>
        <w:t>其他收入完成</w:t>
      </w:r>
      <w:r>
        <w:rPr>
          <w:rFonts w:hint="eastAsia" w:ascii="仿宋_GB2312" w:hAnsi="仿宋_GB2312" w:eastAsia="仿宋_GB2312" w:cs="仿宋_GB2312"/>
          <w:sz w:val="32"/>
          <w:szCs w:val="32"/>
          <w:lang w:val="en-US" w:eastAsia="zh-CN"/>
        </w:rPr>
        <w:t>5.97</w:t>
      </w:r>
      <w:r>
        <w:rPr>
          <w:rFonts w:hint="eastAsia" w:ascii="仿宋_GB2312" w:hAnsi="仿宋_GB2312" w:eastAsia="仿宋_GB2312" w:cs="仿宋_GB2312"/>
          <w:sz w:val="32"/>
          <w:szCs w:val="32"/>
          <w:lang w:val="en-US"/>
        </w:rPr>
        <w:t>万元，比上年</w:t>
      </w:r>
      <w:r>
        <w:rPr>
          <w:rFonts w:hint="eastAsia" w:ascii="仿宋_GB2312" w:hAnsi="仿宋_GB2312" w:eastAsia="仿宋_GB2312" w:cs="仿宋_GB2312"/>
          <w:sz w:val="32"/>
          <w:szCs w:val="32"/>
          <w:lang w:val="en-US" w:eastAsia="zh-CN"/>
        </w:rPr>
        <w:t>减</w:t>
      </w:r>
      <w:r>
        <w:rPr>
          <w:rFonts w:hint="eastAsia" w:ascii="仿宋_GB2312" w:hAnsi="仿宋_GB2312" w:cs="仿宋_GB2312"/>
          <w:sz w:val="32"/>
          <w:szCs w:val="32"/>
          <w:lang w:val="en-US" w:eastAsia="zh-CN"/>
        </w:rPr>
        <w:t>少</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lang w:val="en-US"/>
        </w:rPr>
        <w:t>万元，下降</w:t>
      </w:r>
      <w:r>
        <w:rPr>
          <w:rFonts w:hint="eastAsia" w:ascii="仿宋_GB2312" w:hAnsi="仿宋_GB2312" w:eastAsia="仿宋_GB2312" w:cs="仿宋_GB2312"/>
          <w:sz w:val="32"/>
          <w:szCs w:val="32"/>
          <w:lang w:val="en-US" w:eastAsia="zh-CN"/>
        </w:rPr>
        <w:t>31.95</w:t>
      </w:r>
      <w:r>
        <w:rPr>
          <w:rFonts w:hint="eastAsia" w:ascii="仿宋_GB2312" w:hAnsi="仿宋_GB2312" w:eastAsia="仿宋_GB2312" w:cs="仿宋_GB2312"/>
          <w:sz w:val="32"/>
          <w:szCs w:val="32"/>
          <w:lang w:val="zh-CN"/>
        </w:rPr>
        <w:t>%，变化的主要原因是：</w:t>
      </w:r>
      <w:r>
        <w:rPr>
          <w:rFonts w:hint="eastAsia" w:ascii="仿宋_GB2312" w:hAnsi="仿宋_GB2312" w:eastAsia="仿宋_GB2312" w:cs="仿宋_GB2312"/>
          <w:sz w:val="32"/>
          <w:szCs w:val="32"/>
          <w:lang w:val="en-US"/>
        </w:rPr>
        <w:t>本年度单位其他收入</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rPr>
        <w:t>应收代扣的养老保险个人部分</w:t>
      </w:r>
      <w:r>
        <w:rPr>
          <w:rFonts w:hint="eastAsia" w:ascii="仿宋_GB2312" w:hAnsi="仿宋_GB2312" w:eastAsia="仿宋_GB2312" w:cs="仿宋_GB2312"/>
          <w:sz w:val="32"/>
          <w:szCs w:val="32"/>
          <w:lang w:val="en-US" w:eastAsia="zh-CN"/>
        </w:rPr>
        <w:t>减少</w:t>
      </w:r>
      <w:r>
        <w:rPr>
          <w:rFonts w:hint="eastAsia" w:ascii="仿宋_GB2312" w:hAnsi="仿宋_GB2312" w:eastAsia="仿宋_GB2312" w:cs="仿宋_GB2312"/>
          <w:sz w:val="32"/>
          <w:szCs w:val="32"/>
          <w:lang w:val="en-US"/>
        </w:rPr>
        <w:t>。</w:t>
      </w:r>
      <w:r>
        <w:rPr>
          <w:rFonts w:hint="eastAsia" w:ascii="仿宋_GB2312" w:hAnsi="仿宋_GB2312" w:eastAsia="仿宋_GB2312" w:cs="仿宋_GB2312"/>
          <w:sz w:val="32"/>
          <w:szCs w:val="32"/>
        </w:rPr>
        <w:t>本部门收入主要包括</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rPr>
        <w:t>1</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财政拨款收入</w:t>
      </w:r>
      <w:r>
        <w:rPr>
          <w:rFonts w:hint="eastAsia" w:ascii="仿宋_GB2312" w:hAnsi="仿宋_GB2312" w:cs="仿宋_GB2312"/>
          <w:sz w:val="32"/>
          <w:szCs w:val="32"/>
          <w:lang w:val="en-US" w:eastAsia="zh-CN"/>
        </w:rPr>
        <w:t>155.68</w:t>
      </w:r>
      <w:r>
        <w:rPr>
          <w:rFonts w:hint="eastAsia" w:ascii="仿宋_GB2312" w:hAnsi="仿宋_GB2312" w:eastAsia="仿宋_GB2312" w:cs="仿宋_GB2312"/>
          <w:sz w:val="32"/>
          <w:szCs w:val="32"/>
        </w:rPr>
        <w:t>万元。明细如下：一般公共服务支出</w:t>
      </w:r>
      <w:r>
        <w:rPr>
          <w:rFonts w:hint="eastAsia" w:ascii="仿宋_GB2312" w:hAnsi="仿宋_GB2312" w:cs="仿宋_GB2312"/>
          <w:sz w:val="32"/>
          <w:szCs w:val="32"/>
          <w:lang w:val="en-US" w:eastAsia="zh-CN"/>
        </w:rPr>
        <w:t>111.82</w:t>
      </w:r>
      <w:r>
        <w:rPr>
          <w:rFonts w:hint="eastAsia" w:ascii="仿宋_GB2312" w:hAnsi="仿宋_GB2312" w:eastAsia="仿宋_GB2312" w:cs="仿宋_GB2312"/>
          <w:sz w:val="32"/>
          <w:szCs w:val="32"/>
        </w:rPr>
        <w:t>万元；社会保障和就业支出</w:t>
      </w:r>
      <w:r>
        <w:rPr>
          <w:rFonts w:hint="eastAsia" w:ascii="仿宋_GB2312" w:hAnsi="仿宋_GB2312" w:cs="仿宋_GB2312"/>
          <w:sz w:val="32"/>
          <w:szCs w:val="32"/>
          <w:lang w:val="en-US" w:eastAsia="zh-CN"/>
        </w:rPr>
        <w:t>12.48</w:t>
      </w:r>
      <w:r>
        <w:rPr>
          <w:rFonts w:hint="eastAsia" w:ascii="仿宋_GB2312" w:hAnsi="仿宋_GB2312" w:eastAsia="仿宋_GB2312" w:cs="仿宋_GB2312"/>
          <w:sz w:val="32"/>
          <w:szCs w:val="32"/>
        </w:rPr>
        <w:t>万元</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卫生健康支出</w:t>
      </w:r>
      <w:r>
        <w:rPr>
          <w:rFonts w:hint="eastAsia" w:ascii="仿宋_GB2312" w:hAnsi="仿宋_GB2312" w:cs="仿宋_GB2312"/>
          <w:sz w:val="32"/>
          <w:szCs w:val="32"/>
          <w:lang w:val="en-US" w:eastAsia="zh-CN"/>
        </w:rPr>
        <w:t>2.19</w:t>
      </w:r>
      <w:r>
        <w:rPr>
          <w:rFonts w:hint="eastAsia" w:ascii="仿宋_GB2312" w:hAnsi="仿宋_GB2312" w:eastAsia="仿宋_GB2312" w:cs="仿宋_GB2312"/>
          <w:sz w:val="32"/>
          <w:szCs w:val="32"/>
        </w:rPr>
        <w:t>万元</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城乡社区支出</w:t>
      </w:r>
      <w:r>
        <w:rPr>
          <w:rFonts w:hint="eastAsia" w:ascii="仿宋_GB2312" w:hAnsi="仿宋_GB2312" w:cs="仿宋_GB2312"/>
          <w:sz w:val="32"/>
          <w:szCs w:val="32"/>
          <w:lang w:val="en-US" w:eastAsia="zh-CN"/>
        </w:rPr>
        <w:t>26.26</w:t>
      </w:r>
      <w:r>
        <w:rPr>
          <w:rFonts w:hint="eastAsia" w:ascii="仿宋_GB2312" w:hAnsi="仿宋_GB2312" w:eastAsia="仿宋_GB2312" w:cs="仿宋_GB2312"/>
          <w:sz w:val="32"/>
          <w:szCs w:val="32"/>
        </w:rPr>
        <w:t>万元</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住房保障支出</w:t>
      </w:r>
      <w:r>
        <w:rPr>
          <w:rFonts w:hint="eastAsia" w:ascii="仿宋_GB2312" w:hAnsi="仿宋_GB2312" w:cs="仿宋_GB2312"/>
          <w:sz w:val="32"/>
          <w:szCs w:val="32"/>
          <w:lang w:val="en-US" w:eastAsia="zh-CN"/>
        </w:rPr>
        <w:t>2.93</w:t>
      </w:r>
      <w:r>
        <w:rPr>
          <w:rFonts w:hint="eastAsia" w:ascii="仿宋_GB2312" w:hAnsi="仿宋_GB2312" w:eastAsia="仿宋_GB2312" w:cs="仿宋_GB2312"/>
          <w:sz w:val="32"/>
          <w:szCs w:val="32"/>
        </w:rPr>
        <w:t>万元。</w:t>
      </w:r>
    </w:p>
    <w:p>
      <w:pPr>
        <w:widowControl/>
        <w:autoSpaceDN w:val="0"/>
        <w:spacing w:line="540" w:lineRule="exact"/>
        <w:ind w:firstLine="640"/>
        <w:rPr>
          <w:rFonts w:hint="eastAsia"/>
        </w:rPr>
      </w:pPr>
      <w:r>
        <w:rPr>
          <w:rFonts w:hint="eastAsia" w:ascii="仿宋_GB2312" w:hAnsi="仿宋_GB2312" w:eastAsia="仿宋_GB2312" w:cs="仿宋_GB2312"/>
          <w:sz w:val="32"/>
          <w:szCs w:val="32"/>
        </w:rPr>
        <w:t>2</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仿宋_GB2312" w:hAnsi="仿宋_GB2312" w:cs="仿宋_GB2312"/>
          <w:sz w:val="32"/>
          <w:szCs w:val="32"/>
          <w:lang w:val="en-US" w:eastAsia="zh-CN"/>
        </w:rPr>
        <w:t>5.97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明细如下：202</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rPr>
        <w:t>年民政局“迎新春、送温暖”慰问困难群众资金4.5万元</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应收原利晶宾馆工作人员养老保险</w:t>
      </w:r>
      <w:r>
        <w:rPr>
          <w:rFonts w:hint="eastAsia" w:ascii="仿宋_GB2312" w:hAnsi="仿宋_GB2312" w:cs="仿宋_GB2312"/>
          <w:sz w:val="32"/>
          <w:szCs w:val="32"/>
          <w:lang w:val="en-US" w:eastAsia="zh-CN"/>
        </w:rPr>
        <w:t>1.47</w:t>
      </w:r>
      <w:r>
        <w:rPr>
          <w:rFonts w:hint="eastAsia" w:ascii="仿宋_GB2312" w:hAnsi="仿宋_GB2312" w:eastAsia="仿宋_GB2312" w:cs="仿宋_GB2312"/>
          <w:sz w:val="32"/>
          <w:szCs w:val="32"/>
        </w:rPr>
        <w:t>万元。</w:t>
      </w:r>
    </w:p>
    <w:p>
      <w:pPr>
        <w:widowControl/>
        <w:autoSpaceDN w:val="0"/>
        <w:spacing w:line="560" w:lineRule="exact"/>
        <w:ind w:firstLine="645"/>
        <w:rPr>
          <w:rFonts w:ascii="黑体" w:hAnsi="黑体" w:eastAsia="黑体" w:cs="黑体"/>
          <w:b w:val="0"/>
          <w:bCs w:val="0"/>
          <w:sz w:val="32"/>
          <w:szCs w:val="32"/>
        </w:rPr>
      </w:pPr>
      <w:r>
        <w:rPr>
          <w:rFonts w:hint="eastAsia" w:ascii="黑体" w:hAnsi="黑体" w:eastAsia="黑体" w:cs="黑体"/>
          <w:b w:val="0"/>
          <w:bCs w:val="0"/>
          <w:color w:val="000000"/>
          <w:kern w:val="0"/>
          <w:sz w:val="32"/>
          <w:szCs w:val="32"/>
        </w:rPr>
        <w:t>二、</w:t>
      </w:r>
      <w:r>
        <w:rPr>
          <w:rFonts w:hint="eastAsia" w:ascii="黑体" w:hAnsi="黑体" w:eastAsia="黑体" w:cs="黑体"/>
          <w:b w:val="0"/>
          <w:bCs w:val="0"/>
          <w:sz w:val="32"/>
          <w:szCs w:val="32"/>
        </w:rPr>
        <w:t>一般公共预算支出情况</w:t>
      </w:r>
    </w:p>
    <w:p>
      <w:pPr>
        <w:spacing w:line="600" w:lineRule="exact"/>
        <w:ind w:firstLine="620" w:firstLineChars="196"/>
        <w:jc w:val="left"/>
        <w:rPr>
          <w:rFonts w:hint="eastAsia" w:ascii="楷体" w:hAnsi="楷体" w:eastAsia="楷体" w:cs="楷体"/>
          <w:b/>
          <w:bCs/>
          <w:kern w:val="0"/>
          <w:sz w:val="32"/>
          <w:szCs w:val="32"/>
          <w:lang w:val="en-US" w:eastAsia="zh-CN" w:bidi="ar-SA"/>
        </w:rPr>
      </w:pPr>
      <w:r>
        <w:rPr>
          <w:rFonts w:hint="eastAsia" w:ascii="楷体" w:hAnsi="楷体" w:eastAsia="楷体" w:cs="楷体"/>
          <w:b/>
          <w:bCs/>
          <w:kern w:val="0"/>
          <w:sz w:val="32"/>
          <w:szCs w:val="32"/>
          <w:lang w:val="en-US" w:eastAsia="zh-CN" w:bidi="ar-SA"/>
        </w:rPr>
        <w:t>（一）基本支出情况</w:t>
      </w:r>
    </w:p>
    <w:p>
      <w:pPr>
        <w:pStyle w:val="5"/>
        <w:spacing w:line="240" w:lineRule="auto"/>
        <w:rPr>
          <w:rFonts w:hint="eastAsia" w:ascii="仿宋_GB2312" w:hAnsi="仿宋_GB2312" w:eastAsia="仿宋_GB2312" w:cs="仿宋_GB2312"/>
          <w:b w:val="0"/>
          <w:bCs w:val="0"/>
          <w:kern w:val="0"/>
          <w:sz w:val="32"/>
          <w:szCs w:val="32"/>
          <w:lang w:val="en-US" w:eastAsia="zh-CN" w:bidi="ar-SA"/>
        </w:rPr>
      </w:pPr>
      <w:r>
        <w:rPr>
          <w:rFonts w:hint="eastAsia" w:ascii="楷体_GB2312" w:hAnsi="Times New Roman" w:eastAsia="楷体_GB2312" w:cs="Times New Roman"/>
          <w:b/>
          <w:kern w:val="2"/>
          <w:sz w:val="32"/>
          <w:szCs w:val="32"/>
          <w:lang w:val="en-US" w:eastAsia="zh-CN" w:bidi="ar-SA"/>
        </w:rPr>
        <w:t xml:space="preserve">    </w:t>
      </w:r>
      <w:r>
        <w:rPr>
          <w:rFonts w:hint="eastAsia" w:ascii="仿宋_GB2312" w:hAnsi="仿宋_GB2312" w:eastAsia="仿宋_GB2312" w:cs="仿宋_GB2312"/>
          <w:b w:val="0"/>
          <w:bCs/>
          <w:kern w:val="2"/>
          <w:sz w:val="32"/>
          <w:szCs w:val="32"/>
          <w:lang w:val="en-US" w:eastAsia="zh-CN" w:bidi="ar-SA"/>
        </w:rPr>
        <w:t>202</w:t>
      </w:r>
      <w:r>
        <w:rPr>
          <w:rFonts w:hint="eastAsia" w:ascii="仿宋_GB2312" w:hAnsi="仿宋_GB2312" w:cs="仿宋_GB2312"/>
          <w:b w:val="0"/>
          <w:bCs/>
          <w:kern w:val="2"/>
          <w:sz w:val="32"/>
          <w:szCs w:val="32"/>
          <w:lang w:val="en-US" w:eastAsia="zh-CN" w:bidi="ar-SA"/>
        </w:rPr>
        <w:t>4</w:t>
      </w:r>
      <w:r>
        <w:rPr>
          <w:rFonts w:hint="eastAsia" w:ascii="仿宋_GB2312" w:hAnsi="仿宋_GB2312" w:eastAsia="仿宋_GB2312" w:cs="仿宋_GB2312"/>
          <w:b w:val="0"/>
          <w:bCs/>
          <w:kern w:val="2"/>
          <w:sz w:val="32"/>
          <w:szCs w:val="32"/>
          <w:lang w:val="en-US" w:eastAsia="zh-CN" w:bidi="ar-SA"/>
        </w:rPr>
        <w:t>年基本支出</w:t>
      </w:r>
      <w:r>
        <w:rPr>
          <w:rFonts w:hint="eastAsia" w:ascii="仿宋_GB2312" w:hAnsi="仿宋_GB2312" w:cs="仿宋_GB2312"/>
          <w:b w:val="0"/>
          <w:bCs/>
          <w:kern w:val="2"/>
          <w:sz w:val="32"/>
          <w:szCs w:val="32"/>
          <w:lang w:val="en-US" w:eastAsia="zh-CN" w:bidi="ar-SA"/>
        </w:rPr>
        <w:t xml:space="preserve"> 80.31万元，其中人员经费60.85万元，</w:t>
      </w:r>
      <w:r>
        <w:rPr>
          <w:rFonts w:hint="eastAsia" w:ascii="Times New Roman" w:hAnsi="Times New Roman" w:eastAsia="仿宋_GB2312" w:cs="Times New Roman"/>
          <w:sz w:val="32"/>
          <w:szCs w:val="32"/>
        </w:rPr>
        <w:t>主要包括基本工资、津贴补贴、奖金、基本养老保险缴费、职业年金、医疗保险缴费、住房公积金等</w:t>
      </w:r>
      <w:r>
        <w:rPr>
          <w:rFonts w:hint="eastAsia" w:ascii="Times New Roman" w:hAnsi="Times New Roman" w:cs="Times New Roman"/>
          <w:sz w:val="32"/>
          <w:szCs w:val="32"/>
          <w:lang w:eastAsia="zh-CN"/>
        </w:rPr>
        <w:t>；</w:t>
      </w:r>
      <w:r>
        <w:rPr>
          <w:rFonts w:hint="eastAsia" w:ascii="仿宋_GB2312" w:hAnsi="仿宋_GB2312" w:cs="仿宋_GB2312"/>
          <w:b w:val="0"/>
          <w:bCs/>
          <w:kern w:val="2"/>
          <w:sz w:val="32"/>
          <w:szCs w:val="32"/>
          <w:lang w:val="en-US" w:eastAsia="zh-CN" w:bidi="ar-SA"/>
        </w:rPr>
        <w:t>日常公用经费19.46万元，</w:t>
      </w:r>
      <w:r>
        <w:rPr>
          <w:rFonts w:hint="eastAsia" w:ascii="Times New Roman" w:hAnsi="Times New Roman" w:eastAsia="仿宋_GB2312" w:cs="Times New Roman"/>
          <w:sz w:val="32"/>
          <w:szCs w:val="32"/>
        </w:rPr>
        <w:t>包括办公费、水电费、维修（护）费、物业费、</w:t>
      </w:r>
      <w:r>
        <w:rPr>
          <w:rFonts w:hint="eastAsia" w:ascii="仿宋_GB2312" w:hAnsi="仿宋_GB2312" w:cs="仿宋_GB2312"/>
          <w:b w:val="0"/>
          <w:bCs/>
          <w:kern w:val="2"/>
          <w:sz w:val="32"/>
          <w:szCs w:val="32"/>
          <w:lang w:val="en-US" w:eastAsia="zh-CN" w:bidi="ar-SA"/>
        </w:rPr>
        <w:t>工会经费、福利费、其他交通费用、</w:t>
      </w:r>
      <w:r>
        <w:rPr>
          <w:rFonts w:ascii="仿宋_GB2312" w:hAnsi="宋体" w:eastAsia="仿宋_GB2312" w:cs="仿宋_GB2312"/>
          <w:i w:val="0"/>
          <w:iCs w:val="0"/>
          <w:caps w:val="0"/>
          <w:color w:val="000000"/>
          <w:spacing w:val="0"/>
          <w:sz w:val="32"/>
          <w:szCs w:val="32"/>
          <w:shd w:val="clear" w:color="auto" w:fill="FFFFFF"/>
        </w:rPr>
        <w:t>其他商品和服务支出</w:t>
      </w:r>
      <w:r>
        <w:rPr>
          <w:rFonts w:hint="eastAsia" w:ascii="仿宋_GB2312" w:hAnsi="仿宋_GB2312" w:cs="仿宋_GB2312"/>
          <w:b w:val="0"/>
          <w:bCs/>
          <w:kern w:val="2"/>
          <w:sz w:val="32"/>
          <w:szCs w:val="32"/>
          <w:lang w:val="en-US" w:eastAsia="zh-CN" w:bidi="ar-SA"/>
        </w:rPr>
        <w:t>等。</w:t>
      </w:r>
    </w:p>
    <w:p>
      <w:pPr>
        <w:spacing w:line="600" w:lineRule="exact"/>
        <w:ind w:firstLine="620" w:firstLineChars="196"/>
        <w:jc w:val="left"/>
        <w:rPr>
          <w:rFonts w:hint="default" w:ascii="楷体" w:hAnsi="楷体" w:eastAsia="楷体" w:cs="楷体"/>
          <w:b/>
          <w:bCs/>
          <w:kern w:val="0"/>
          <w:sz w:val="32"/>
          <w:szCs w:val="32"/>
          <w:lang w:val="en-US" w:eastAsia="zh-CN" w:bidi="ar-SA"/>
        </w:rPr>
      </w:pPr>
      <w:r>
        <w:rPr>
          <w:rFonts w:hint="eastAsia" w:ascii="楷体" w:hAnsi="楷体" w:eastAsia="楷体" w:cs="楷体"/>
          <w:b/>
          <w:bCs/>
          <w:kern w:val="0"/>
          <w:sz w:val="32"/>
          <w:szCs w:val="32"/>
          <w:lang w:val="en-US" w:eastAsia="zh-CN" w:bidi="ar-SA"/>
        </w:rPr>
        <w:t>（二）项目支出情况</w:t>
      </w:r>
    </w:p>
    <w:p>
      <w:pPr>
        <w:ind w:firstLine="632" w:firstLineChars="200"/>
        <w:rPr>
          <w:rFonts w:hint="eastAsia" w:ascii="仿宋" w:hAnsi="仿宋" w:eastAsia="仿宋" w:cs="仿宋"/>
          <w:color w:val="auto"/>
          <w:sz w:val="32"/>
          <w:szCs w:val="32"/>
          <w:lang w:val="en-US" w:eastAsia="zh-CN"/>
        </w:rPr>
      </w:pPr>
      <w:r>
        <w:rPr>
          <w:rFonts w:hint="eastAsia" w:ascii="仿宋_GB2312" w:hAnsi="仿宋_GB2312" w:eastAsia="仿宋_GB2312" w:cs="仿宋_GB2312"/>
          <w:b w:val="0"/>
          <w:bCs/>
          <w:kern w:val="2"/>
          <w:sz w:val="32"/>
          <w:szCs w:val="32"/>
          <w:lang w:val="en-US" w:eastAsia="zh-CN" w:bidi="ar-SA"/>
        </w:rPr>
        <w:t>202</w:t>
      </w:r>
      <w:r>
        <w:rPr>
          <w:rFonts w:hint="eastAsia" w:ascii="仿宋_GB2312" w:hAnsi="仿宋_GB2312" w:cs="仿宋_GB2312"/>
          <w:b w:val="0"/>
          <w:bCs/>
          <w:kern w:val="2"/>
          <w:sz w:val="32"/>
          <w:szCs w:val="32"/>
          <w:lang w:val="en-US" w:eastAsia="zh-CN" w:bidi="ar-SA"/>
        </w:rPr>
        <w:t>4</w:t>
      </w:r>
      <w:r>
        <w:rPr>
          <w:rFonts w:hint="eastAsia" w:ascii="仿宋_GB2312" w:hAnsi="仿宋_GB2312" w:eastAsia="仿宋_GB2312" w:cs="仿宋_GB2312"/>
          <w:b w:val="0"/>
          <w:bCs/>
          <w:kern w:val="2"/>
          <w:sz w:val="32"/>
          <w:szCs w:val="32"/>
          <w:lang w:val="en-US" w:eastAsia="zh-CN" w:bidi="ar-SA"/>
        </w:rPr>
        <w:t>年</w:t>
      </w:r>
      <w:r>
        <w:rPr>
          <w:rFonts w:hint="eastAsia" w:ascii="仿宋_GB2312" w:hAnsi="仿宋_GB2312" w:eastAsia="仿宋_GB2312" w:cs="仿宋_GB2312"/>
          <w:sz w:val="32"/>
          <w:szCs w:val="32"/>
        </w:rPr>
        <w:t>度</w:t>
      </w:r>
      <w:r>
        <w:rPr>
          <w:rFonts w:hint="eastAsia" w:ascii="仿宋_GB2312" w:hAnsi="仿宋_GB2312" w:eastAsia="仿宋_GB2312" w:cs="仿宋_GB2312"/>
          <w:b w:val="0"/>
          <w:bCs/>
          <w:kern w:val="2"/>
          <w:sz w:val="32"/>
          <w:szCs w:val="32"/>
          <w:lang w:val="en-US" w:eastAsia="zh-CN" w:bidi="ar-SA"/>
        </w:rPr>
        <w:t>项目支出</w:t>
      </w:r>
      <w:r>
        <w:rPr>
          <w:rFonts w:hint="eastAsia" w:ascii="仿宋_GB2312" w:hAnsi="仿宋_GB2312" w:cs="仿宋_GB2312"/>
          <w:b w:val="0"/>
          <w:bCs/>
          <w:kern w:val="2"/>
          <w:sz w:val="32"/>
          <w:szCs w:val="32"/>
          <w:lang w:val="en-US" w:eastAsia="zh-CN" w:bidi="ar-SA"/>
        </w:rPr>
        <w:t>81.34</w:t>
      </w:r>
      <w:r>
        <w:rPr>
          <w:rFonts w:hint="eastAsia" w:ascii="仿宋_GB2312" w:hAnsi="仿宋_GB2312" w:eastAsia="仿宋_GB2312" w:cs="仿宋_GB2312"/>
          <w:b w:val="0"/>
          <w:bCs/>
          <w:kern w:val="2"/>
          <w:sz w:val="32"/>
          <w:szCs w:val="32"/>
          <w:lang w:val="en-US" w:eastAsia="zh-CN" w:bidi="ar-SA"/>
        </w:rPr>
        <w:t>万元，</w:t>
      </w:r>
      <w:r>
        <w:rPr>
          <w:rFonts w:hint="eastAsia" w:ascii="仿宋_GB2312" w:hAnsi="仿宋_GB2312" w:eastAsia="仿宋_GB2312" w:cs="仿宋_GB2312"/>
          <w:sz w:val="32"/>
          <w:szCs w:val="32"/>
          <w:lang w:val="en-US" w:eastAsia="zh-CN"/>
        </w:rPr>
        <w:t>其中：1、公务接待费用</w:t>
      </w:r>
      <w:r>
        <w:rPr>
          <w:rFonts w:hint="eastAsia" w:ascii="仿宋_GB2312" w:hAnsi="仿宋_GB2312" w:cs="仿宋_GB2312"/>
          <w:sz w:val="32"/>
          <w:szCs w:val="32"/>
          <w:lang w:val="en-US" w:eastAsia="zh-CN"/>
        </w:rPr>
        <w:t>36.75</w:t>
      </w:r>
      <w:r>
        <w:rPr>
          <w:rFonts w:hint="eastAsia" w:ascii="仿宋_GB2312" w:hAnsi="仿宋_GB2312" w:eastAsia="仿宋_GB2312" w:cs="仿宋_GB2312"/>
          <w:sz w:val="32"/>
          <w:szCs w:val="32"/>
          <w:lang w:val="en-US" w:eastAsia="zh-CN"/>
        </w:rPr>
        <w:t>万元，本年度接待省委第五巡视组：分3个工作小组（省委选人用人组5人、市委提级巡察组7人、省委第五巡视组13人）；资阳区对接工作人员共计29人，巡视时间2024年9月6日-11月20日。另外还有信访人员、工作间等费用。2、</w:t>
      </w:r>
      <w:r>
        <w:rPr>
          <w:rFonts w:hint="eastAsia" w:ascii="仿宋" w:hAnsi="仿宋" w:eastAsia="仿宋" w:cs="仿宋"/>
          <w:i w:val="0"/>
          <w:caps w:val="0"/>
          <w:color w:val="auto"/>
          <w:spacing w:val="0"/>
          <w:sz w:val="32"/>
          <w:szCs w:val="32"/>
          <w:shd w:val="clear" w:fill="FFFFFF"/>
        </w:rPr>
        <w:t>资阳区农产品推广公用经费开支、公务接待服务礼仪培训费用</w:t>
      </w:r>
      <w:r>
        <w:rPr>
          <w:rFonts w:hint="eastAsia" w:ascii="仿宋" w:hAnsi="仿宋" w:eastAsia="仿宋" w:cs="仿宋"/>
          <w:i w:val="0"/>
          <w:caps w:val="0"/>
          <w:color w:val="auto"/>
          <w:spacing w:val="0"/>
          <w:sz w:val="32"/>
          <w:szCs w:val="32"/>
          <w:shd w:val="clear" w:fill="FFFFFF"/>
          <w:lang w:eastAsia="zh-CN"/>
        </w:rPr>
        <w:t>等</w:t>
      </w:r>
      <w:r>
        <w:rPr>
          <w:rFonts w:hint="eastAsia" w:ascii="仿宋" w:hAnsi="仿宋" w:eastAsia="仿宋" w:cs="仿宋"/>
          <w:i w:val="0"/>
          <w:caps w:val="0"/>
          <w:color w:val="auto"/>
          <w:spacing w:val="0"/>
          <w:sz w:val="32"/>
          <w:szCs w:val="32"/>
          <w:shd w:val="clear" w:fill="FFFFFF"/>
          <w:lang w:val="en-US" w:eastAsia="zh-CN"/>
        </w:rPr>
        <w:t>44.59万元</w:t>
      </w:r>
      <w:r>
        <w:rPr>
          <w:rFonts w:hint="eastAsia" w:ascii="仿宋" w:hAnsi="仿宋" w:eastAsia="仿宋" w:cs="仿宋"/>
          <w:color w:val="auto"/>
          <w:sz w:val="32"/>
          <w:szCs w:val="32"/>
          <w:lang w:val="en-US" w:eastAsia="zh-CN"/>
        </w:rPr>
        <w:t>。</w:t>
      </w:r>
    </w:p>
    <w:p>
      <w:pPr>
        <w:widowControl/>
        <w:autoSpaceDN w:val="0"/>
        <w:spacing w:line="540" w:lineRule="exact"/>
        <w:ind w:firstLine="632"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三、部门整体支出绩效情况</w:t>
      </w:r>
    </w:p>
    <w:p>
      <w:pPr>
        <w:pStyle w:val="5"/>
        <w:ind w:firstLine="632"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w:t>
      </w:r>
      <w:r>
        <w:rPr>
          <w:rFonts w:hint="eastAsia" w:ascii="仿宋_GB2312" w:hAnsi="仿宋_GB2312" w:cs="仿宋_GB2312"/>
          <w:kern w:val="2"/>
          <w:sz w:val="32"/>
          <w:szCs w:val="32"/>
          <w:lang w:val="en-US" w:eastAsia="zh-CN" w:bidi="ar-SA"/>
        </w:rPr>
        <w:t>4</w:t>
      </w:r>
      <w:r>
        <w:rPr>
          <w:rFonts w:hint="eastAsia" w:ascii="仿宋_GB2312" w:hAnsi="仿宋_GB2312" w:eastAsia="仿宋_GB2312" w:cs="仿宋_GB2312"/>
          <w:kern w:val="2"/>
          <w:sz w:val="32"/>
          <w:szCs w:val="32"/>
          <w:lang w:val="en-US" w:eastAsia="zh-CN" w:bidi="ar-SA"/>
        </w:rPr>
        <w:t xml:space="preserve">年度我单位实际收到一般公共预算财政拨款收入 </w:t>
      </w:r>
      <w:r>
        <w:rPr>
          <w:rFonts w:hint="eastAsia" w:ascii="仿宋_GB2312" w:hAnsi="仿宋_GB2312" w:cs="仿宋_GB2312"/>
          <w:kern w:val="2"/>
          <w:sz w:val="32"/>
          <w:szCs w:val="32"/>
          <w:lang w:val="en-US" w:eastAsia="zh-CN" w:bidi="ar-SA"/>
        </w:rPr>
        <w:t>155.68</w:t>
      </w:r>
      <w:r>
        <w:rPr>
          <w:rFonts w:hint="eastAsia" w:ascii="仿宋_GB2312" w:hAnsi="仿宋_GB2312" w:eastAsia="仿宋_GB2312" w:cs="仿宋_GB2312"/>
          <w:kern w:val="2"/>
          <w:sz w:val="32"/>
          <w:szCs w:val="32"/>
          <w:lang w:val="en-US" w:eastAsia="zh-CN" w:bidi="ar-SA"/>
        </w:rPr>
        <w:t>万元，其他预算收入</w:t>
      </w:r>
      <w:r>
        <w:rPr>
          <w:rFonts w:hint="eastAsia" w:ascii="仿宋_GB2312" w:hAnsi="仿宋_GB2312" w:cs="仿宋_GB2312"/>
          <w:kern w:val="2"/>
          <w:sz w:val="32"/>
          <w:szCs w:val="32"/>
          <w:lang w:val="en-US" w:eastAsia="zh-CN" w:bidi="ar-SA"/>
        </w:rPr>
        <w:t>5.97</w:t>
      </w:r>
      <w:r>
        <w:rPr>
          <w:rFonts w:hint="eastAsia" w:ascii="仿宋_GB2312" w:hAnsi="仿宋_GB2312" w:eastAsia="仿宋_GB2312" w:cs="仿宋_GB2312"/>
          <w:kern w:val="2"/>
          <w:sz w:val="32"/>
          <w:szCs w:val="32"/>
          <w:lang w:val="en-US" w:eastAsia="zh-CN" w:bidi="ar-SA"/>
        </w:rPr>
        <w:t>万元，全年整体支出</w:t>
      </w:r>
      <w:r>
        <w:rPr>
          <w:rFonts w:hint="eastAsia" w:ascii="仿宋_GB2312" w:hAnsi="仿宋_GB2312" w:cs="仿宋_GB2312"/>
          <w:kern w:val="2"/>
          <w:sz w:val="32"/>
          <w:szCs w:val="32"/>
          <w:lang w:val="en-US" w:eastAsia="zh-CN" w:bidi="ar-SA"/>
        </w:rPr>
        <w:t>161.65</w:t>
      </w:r>
      <w:r>
        <w:rPr>
          <w:rFonts w:hint="eastAsia" w:ascii="仿宋_GB2312" w:hAnsi="仿宋_GB2312" w:eastAsia="仿宋_GB2312" w:cs="仿宋_GB2312"/>
          <w:kern w:val="2"/>
          <w:sz w:val="32"/>
          <w:szCs w:val="32"/>
          <w:lang w:val="en-US" w:eastAsia="zh-CN" w:bidi="ar-SA"/>
        </w:rPr>
        <w:t>万元。</w:t>
      </w:r>
      <w:r>
        <w:rPr>
          <w:rFonts w:hint="eastAsia" w:ascii="仿宋_GB2312" w:hAnsi="仿宋_GB2312" w:eastAsia="仿宋_GB2312" w:cs="仿宋_GB2312"/>
          <w:sz w:val="32"/>
          <w:szCs w:val="32"/>
          <w:lang w:val="en-US" w:eastAsia="zh-CN"/>
        </w:rPr>
        <w:t>本年度接待省委第五巡视组：分3个工作小组（省委选人用人组5人、市委提级巡察组7人、省委第五巡视组13人）；资阳区对接工作人员共计29人，巡视时间2024年9月6日-11月20日。</w:t>
      </w:r>
    </w:p>
    <w:p>
      <w:pPr>
        <w:widowControl/>
        <w:autoSpaceDN w:val="0"/>
        <w:spacing w:line="540" w:lineRule="exact"/>
        <w:ind w:firstLine="632" w:firstLineChars="20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40"/>
          <w:lang w:val="en-US" w:eastAsia="zh-CN"/>
        </w:rPr>
        <w:t>我们</w:t>
      </w:r>
      <w:r>
        <w:rPr>
          <w:rFonts w:hint="eastAsia" w:ascii="仿宋_GB2312" w:hAnsi="仿宋_GB2312" w:eastAsia="仿宋_GB2312" w:cs="仿宋_GB2312"/>
          <w:sz w:val="32"/>
          <w:szCs w:val="40"/>
          <w:lang w:val="en-US" w:eastAsia="zh-CN"/>
        </w:rPr>
        <w:t>认真贯彻落实中央和省市关于公务接待的相关规定,</w:t>
      </w:r>
      <w:r>
        <w:rPr>
          <w:rFonts w:hint="eastAsia" w:ascii="仿宋_GB2312" w:hAnsi="仿宋_GB2312" w:eastAsia="仿宋_GB2312" w:cs="仿宋_GB2312"/>
          <w:sz w:val="32"/>
          <w:szCs w:val="32"/>
          <w:lang w:val="en-US" w:eastAsia="zh-CN"/>
        </w:rPr>
        <w:t>坚持围绕区委、区政府的重点工作，结合促发展搞接待、搞好接待促发展的理念，树立高标准、严要求的工作作风，认真钻研接待工作业务，丰富接待工作内涵，全力提高工作标准，严格日常管理。一是坚持规范标准，强化交流学习。始终以“以制度管人、以制度管事”的原则，不断加强制度建设，完善公务接待制度，进一步规范接待流程，明确接待标准、责任分工和审批权限，不断规范日常费用审批及报账工作流程，通过制度化、规范化的管理，确保公务接待工作的有序进行。同时，加强与市接待服务中心的沟通交流，借鉴优秀经验，促使在大型活动中不断提升自己的业务水平和能力，推动接待工作更高质量、更有效率地发展。二是规范服务流程，实现</w:t>
      </w:r>
      <w:r>
        <w:rPr>
          <w:rFonts w:hint="default" w:ascii="仿宋_GB2312" w:hAnsi="仿宋_GB2312" w:eastAsia="仿宋_GB2312" w:cs="仿宋_GB2312"/>
          <w:sz w:val="32"/>
          <w:szCs w:val="32"/>
          <w:lang w:val="en-US" w:eastAsia="zh-CN"/>
        </w:rPr>
        <w:t>整体联动</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根据</w:t>
      </w:r>
      <w:r>
        <w:rPr>
          <w:rFonts w:hint="eastAsia" w:ascii="仿宋_GB2312" w:hAnsi="仿宋_GB2312" w:eastAsia="仿宋_GB2312" w:cs="仿宋_GB2312"/>
          <w:sz w:val="32"/>
          <w:szCs w:val="32"/>
          <w:lang w:val="en-US" w:eastAsia="zh-CN"/>
        </w:rPr>
        <w:t>接待对象</w:t>
      </w:r>
      <w:r>
        <w:rPr>
          <w:rFonts w:hint="default" w:ascii="仿宋_GB2312" w:hAnsi="仿宋_GB2312" w:eastAsia="仿宋_GB2312" w:cs="仿宋_GB2312"/>
          <w:sz w:val="32"/>
          <w:szCs w:val="32"/>
          <w:lang w:val="en-US" w:eastAsia="zh-CN"/>
        </w:rPr>
        <w:t>的级别和特点精心制定方案</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确定相应的接待标准，安排相应的接待人员，确保接待工作符合礼仪和规定</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做到有预见性</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前瞻性</w:t>
      </w:r>
      <w:r>
        <w:rPr>
          <w:rFonts w:hint="eastAsia" w:ascii="仿宋_GB2312" w:hAnsi="仿宋_GB2312" w:eastAsia="仿宋_GB2312" w:cs="仿宋_GB2312"/>
          <w:sz w:val="32"/>
          <w:szCs w:val="32"/>
          <w:lang w:val="en-US" w:eastAsia="zh-CN"/>
        </w:rPr>
        <w:t>。主动与接待对象的需求相对接、相融合，并按要求规范执行，注重突出资阳名片和地方文化特色，使接待工作更具科学化、节约化和规范化，不断提高接待工作质量和水平，充分发挥辅政职能。三是提升接待品质，突出发展主题。重点打造“一鱼、一花、一茶、一酒、一米、一药”的“六个一”特色接待品牌，按照“安全、优质、高效、节约”的要求，结合资阳实际，设计、开发独具资阳特色的“资阳有礼”系列接待用品等，丰富接待内涵，展示资阳的独特形象</w:t>
      </w:r>
      <w:r>
        <w:rPr>
          <w:rFonts w:hint="eastAsia" w:ascii="仿宋_GB2312" w:hAnsi="仿宋_GB2312" w:eastAsia="仿宋_GB2312" w:cs="仿宋_GB2312"/>
          <w:sz w:val="32"/>
          <w:szCs w:val="40"/>
          <w:lang w:eastAsia="zh-CN"/>
        </w:rPr>
        <w:t>。</w:t>
      </w:r>
    </w:p>
    <w:p>
      <w:pPr>
        <w:widowControl/>
        <w:autoSpaceDN w:val="0"/>
        <w:spacing w:line="540" w:lineRule="exact"/>
        <w:ind w:firstLine="632"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四、总体评价和自评得分情况</w:t>
      </w:r>
    </w:p>
    <w:p>
      <w:pPr>
        <w:spacing w:line="600" w:lineRule="exact"/>
        <w:ind w:firstLine="620" w:firstLineChars="196"/>
        <w:rPr>
          <w:rFonts w:hint="eastAsia" w:ascii="仿宋_GB2312" w:hAnsi="仿宋_GB2312" w:eastAsia="仿宋_GB2312" w:cs="仿宋_GB2312"/>
          <w:kern w:val="0"/>
          <w:sz w:val="32"/>
          <w:szCs w:val="32"/>
          <w:lang w:val="en-US" w:eastAsia="zh-CN" w:bidi="ar-SA"/>
        </w:rPr>
      </w:pPr>
      <w:r>
        <w:rPr>
          <w:rFonts w:ascii="Times New Roman" w:hAnsi="Times New Roman" w:eastAsia="仿宋_GB2312"/>
          <w:sz w:val="32"/>
          <w:szCs w:val="32"/>
        </w:rPr>
        <w:t>202</w:t>
      </w:r>
      <w:r>
        <w:rPr>
          <w:rFonts w:hint="eastAsia" w:ascii="Times New Roman" w:hAnsi="Times New Roman"/>
          <w:sz w:val="32"/>
          <w:szCs w:val="32"/>
          <w:lang w:val="en-US" w:eastAsia="zh-CN"/>
        </w:rPr>
        <w:t>4</w:t>
      </w:r>
      <w:r>
        <w:rPr>
          <w:rFonts w:ascii="Times New Roman" w:hAnsi="Times New Roman" w:eastAsia="仿宋_GB2312"/>
          <w:sz w:val="32"/>
          <w:szCs w:val="32"/>
        </w:rPr>
        <w:t>年</w:t>
      </w:r>
      <w:r>
        <w:rPr>
          <w:rFonts w:hint="eastAsia" w:ascii="Times New Roman" w:hAnsi="Times New Roman"/>
          <w:sz w:val="32"/>
          <w:szCs w:val="32"/>
          <w:lang w:eastAsia="zh-CN"/>
        </w:rPr>
        <w:t>资阳区</w:t>
      </w:r>
      <w:r>
        <w:rPr>
          <w:rFonts w:hint="eastAsia" w:ascii="Times New Roman" w:hAnsi="Times New Roman" w:eastAsia="仿宋_GB2312"/>
          <w:sz w:val="32"/>
          <w:szCs w:val="32"/>
        </w:rPr>
        <w:t>接待服务中心</w:t>
      </w:r>
      <w:r>
        <w:rPr>
          <w:rFonts w:ascii="Times New Roman" w:hAnsi="Times New Roman" w:eastAsia="仿宋_GB2312"/>
          <w:sz w:val="32"/>
          <w:szCs w:val="32"/>
        </w:rPr>
        <w:t>整体支出绩效自评</w:t>
      </w:r>
      <w:r>
        <w:rPr>
          <w:rFonts w:hint="eastAsia" w:ascii="Times New Roman" w:hAnsi="Times New Roman"/>
          <w:sz w:val="32"/>
          <w:szCs w:val="32"/>
          <w:lang w:val="en-US" w:eastAsia="zh-CN"/>
        </w:rPr>
        <w:t>96</w:t>
      </w:r>
      <w:bookmarkStart w:id="0" w:name="_GoBack"/>
      <w:bookmarkEnd w:id="0"/>
      <w:r>
        <w:rPr>
          <w:rFonts w:ascii="Times New Roman" w:hAnsi="Times New Roman" w:eastAsia="仿宋_GB2312"/>
          <w:sz w:val="32"/>
          <w:szCs w:val="32"/>
        </w:rPr>
        <w:t>分，自评结果</w:t>
      </w:r>
      <w:r>
        <w:rPr>
          <w:rFonts w:hint="eastAsia" w:ascii="Times New Roman" w:hAnsi="Times New Roman" w:eastAsia="仿宋_GB2312"/>
          <w:sz w:val="32"/>
          <w:szCs w:val="32"/>
        </w:rPr>
        <w:t>为“</w:t>
      </w:r>
      <w:r>
        <w:rPr>
          <w:rFonts w:hint="eastAsia" w:ascii="Times New Roman" w:hAnsi="Times New Roman"/>
          <w:sz w:val="32"/>
          <w:szCs w:val="32"/>
          <w:lang w:eastAsia="zh-CN"/>
        </w:rPr>
        <w:t>优</w:t>
      </w:r>
      <w:r>
        <w:rPr>
          <w:rFonts w:hint="eastAsia" w:ascii="Times New Roman" w:hAnsi="Times New Roman" w:eastAsia="仿宋_GB2312"/>
          <w:sz w:val="32"/>
          <w:szCs w:val="32"/>
        </w:rPr>
        <w:t>”。</w:t>
      </w:r>
      <w:r>
        <w:rPr>
          <w:rFonts w:hint="eastAsia" w:ascii="仿宋_GB2312" w:hAnsi="仿宋_GB2312" w:eastAsia="仿宋_GB2312" w:cs="仿宋_GB2312"/>
          <w:kern w:val="0"/>
          <w:sz w:val="32"/>
          <w:szCs w:val="32"/>
          <w:lang w:val="en-US" w:eastAsia="zh-CN" w:bidi="ar-SA"/>
        </w:rPr>
        <w:t>始终按照党政机关公务接待管理规定执行，坚持“围绕发展搞接待、搞好接待促发展”的接待理念，突出“服务政务、服务经济、服务客商”的主题，在思想观念、机制体制、特色服务上创新，努力丰富接待工作的内涵，全面提升接待水平。</w:t>
      </w:r>
    </w:p>
    <w:p>
      <w:pPr>
        <w:ind w:firstLine="632" w:firstLineChars="200"/>
        <w:rPr>
          <w:rFonts w:hint="eastAsia" w:ascii="楷体" w:hAnsi="楷体" w:eastAsia="楷体" w:cs="楷体"/>
          <w:b/>
          <w:bCs/>
          <w:sz w:val="32"/>
          <w:szCs w:val="32"/>
        </w:rPr>
      </w:pPr>
      <w:r>
        <w:rPr>
          <w:rFonts w:hint="eastAsia" w:ascii="楷体" w:hAnsi="楷体" w:eastAsia="楷体" w:cs="楷体"/>
          <w:b/>
          <w:bCs/>
          <w:sz w:val="32"/>
          <w:szCs w:val="32"/>
        </w:rPr>
        <w:t>（一）项目资金使用及管理情况</w:t>
      </w:r>
    </w:p>
    <w:p>
      <w:pPr>
        <w:ind w:firstLine="632"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项目资金安排落实、总投入等情况分析。</w:t>
      </w:r>
      <w:r>
        <w:rPr>
          <w:rFonts w:hint="eastAsia" w:ascii="仿宋_GB2312" w:hAnsi="仿宋_GB2312" w:eastAsia="仿宋_GB2312" w:cs="仿宋_GB2312"/>
          <w:sz w:val="32"/>
          <w:szCs w:val="32"/>
          <w:lang w:val="en-US" w:eastAsia="zh-CN"/>
        </w:rPr>
        <w:t>202</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en-US" w:eastAsia="zh-CN"/>
        </w:rPr>
        <w:t>年申报预算</w:t>
      </w:r>
      <w:r>
        <w:rPr>
          <w:rFonts w:hint="eastAsia" w:ascii="仿宋_GB2312" w:hAnsi="仿宋_GB2312" w:cs="仿宋_GB2312"/>
          <w:sz w:val="32"/>
          <w:szCs w:val="32"/>
          <w:lang w:val="en-US" w:eastAsia="zh-CN"/>
        </w:rPr>
        <w:t>67.6</w:t>
      </w:r>
      <w:r>
        <w:rPr>
          <w:rFonts w:hint="eastAsia" w:ascii="仿宋_GB2312" w:hAnsi="仿宋_GB2312" w:eastAsia="仿宋_GB2312" w:cs="仿宋_GB2312"/>
          <w:sz w:val="32"/>
          <w:szCs w:val="32"/>
          <w:lang w:val="en-US" w:eastAsia="zh-CN"/>
        </w:rPr>
        <w:t>万元，202</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en-US" w:eastAsia="zh-CN"/>
        </w:rPr>
        <w:t>年初预算批复</w:t>
      </w:r>
      <w:r>
        <w:rPr>
          <w:rFonts w:hint="eastAsia" w:ascii="仿宋_GB2312" w:hAnsi="仿宋_GB2312" w:cs="仿宋_GB2312"/>
          <w:sz w:val="32"/>
          <w:szCs w:val="32"/>
          <w:lang w:val="en-US" w:eastAsia="zh-CN"/>
        </w:rPr>
        <w:t>67.6</w:t>
      </w:r>
      <w:r>
        <w:rPr>
          <w:rFonts w:hint="eastAsia" w:ascii="仿宋_GB2312" w:hAnsi="仿宋_GB2312" w:eastAsia="仿宋_GB2312" w:cs="仿宋_GB2312"/>
          <w:sz w:val="32"/>
          <w:szCs w:val="32"/>
          <w:lang w:val="en-US" w:eastAsia="zh-CN"/>
        </w:rPr>
        <w:t>万元。</w:t>
      </w:r>
    </w:p>
    <w:p>
      <w:pPr>
        <w:ind w:firstLine="632" w:firstLineChars="200"/>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32"/>
          <w:szCs w:val="32"/>
          <w:lang w:val="en-US" w:eastAsia="zh-CN"/>
        </w:rPr>
        <w:t>项目总预算批复</w:t>
      </w:r>
      <w:r>
        <w:rPr>
          <w:rFonts w:hint="eastAsia" w:ascii="仿宋_GB2312" w:hAnsi="仿宋_GB2312" w:cs="仿宋_GB2312"/>
          <w:sz w:val="32"/>
          <w:szCs w:val="32"/>
          <w:lang w:val="en-US" w:eastAsia="zh-CN"/>
        </w:rPr>
        <w:t>67.6</w:t>
      </w:r>
      <w:r>
        <w:rPr>
          <w:rFonts w:hint="eastAsia" w:ascii="仿宋_GB2312" w:hAnsi="仿宋_GB2312" w:eastAsia="仿宋_GB2312" w:cs="仿宋_GB2312"/>
          <w:sz w:val="32"/>
          <w:szCs w:val="32"/>
          <w:lang w:val="en-US" w:eastAsia="zh-CN"/>
        </w:rPr>
        <w:t>万元，全部为公务接待费用。</w:t>
      </w:r>
      <w:r>
        <w:rPr>
          <w:rFonts w:hint="eastAsia" w:ascii="仿宋_GB2312" w:hAnsi="仿宋_GB2312" w:eastAsia="仿宋_GB2312" w:cs="仿宋_GB2312"/>
          <w:i w:val="0"/>
          <w:iCs w:val="0"/>
          <w:caps w:val="0"/>
          <w:color w:val="auto"/>
          <w:spacing w:val="0"/>
          <w:sz w:val="32"/>
          <w:szCs w:val="32"/>
          <w:shd w:val="clear" w:fill="FFFFFF"/>
        </w:rPr>
        <w:t>系我单位为保障区委、区政府正常公（商）务接待运行，完成区委、区政府接待工作和市级、区级各类工作会议工作而发生的支出。</w:t>
      </w:r>
    </w:p>
    <w:p>
      <w:pPr>
        <w:numPr>
          <w:ilvl w:val="0"/>
          <w:numId w:val="0"/>
        </w:numPr>
        <w:ind w:firstLine="632" w:firstLineChars="200"/>
        <w:rPr>
          <w:rFonts w:hint="eastAsia" w:ascii="仿宋_GB2312" w:hAnsi="仿宋_GB2312" w:eastAsia="仿宋_GB2312" w:cs="仿宋_GB2312"/>
          <w:sz w:val="21"/>
          <w:szCs w:val="21"/>
        </w:rPr>
      </w:pPr>
      <w:r>
        <w:rPr>
          <w:rFonts w:hint="eastAsia" w:ascii="仿宋_GB2312" w:hAnsi="仿宋_GB2312" w:eastAsia="仿宋_GB2312" w:cs="仿宋_GB2312"/>
          <w:sz w:val="32"/>
          <w:szCs w:val="32"/>
          <w:lang w:val="en-US" w:eastAsia="zh-CN"/>
        </w:rPr>
        <w:t>2</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rPr>
        <w:t>项目资金实际使用情况分析。截至202</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rPr>
        <w:t>年末，</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财政实际</w:t>
      </w:r>
      <w:r>
        <w:rPr>
          <w:rFonts w:hint="eastAsia" w:ascii="仿宋_GB2312" w:hAnsi="仿宋_GB2312" w:eastAsia="仿宋_GB2312" w:cs="仿宋_GB2312"/>
          <w:sz w:val="32"/>
          <w:szCs w:val="32"/>
          <w:lang w:eastAsia="zh-CN"/>
        </w:rPr>
        <w:t>拨款公务接待资金</w:t>
      </w:r>
      <w:r>
        <w:rPr>
          <w:rFonts w:hint="eastAsia" w:ascii="仿宋_GB2312" w:hAnsi="仿宋_GB2312" w:cs="仿宋_GB2312"/>
          <w:sz w:val="32"/>
          <w:szCs w:val="32"/>
          <w:lang w:val="en-US" w:eastAsia="zh-CN"/>
        </w:rPr>
        <w:t>81.34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，包括本年度预算</w:t>
      </w:r>
      <w:r>
        <w:rPr>
          <w:rFonts w:hint="eastAsia" w:ascii="仿宋_GB2312" w:hAnsi="仿宋_GB2312" w:cs="仿宋_GB2312"/>
          <w:sz w:val="32"/>
          <w:szCs w:val="32"/>
          <w:lang w:val="en-US" w:eastAsia="zh-CN"/>
        </w:rPr>
        <w:t>62.94</w:t>
      </w:r>
      <w:r>
        <w:rPr>
          <w:rFonts w:hint="eastAsia" w:ascii="仿宋_GB2312" w:hAnsi="仿宋_GB2312" w:eastAsia="仿宋_GB2312" w:cs="仿宋_GB2312"/>
          <w:sz w:val="32"/>
          <w:szCs w:val="32"/>
          <w:lang w:val="en-US" w:eastAsia="zh-CN"/>
        </w:rPr>
        <w:t>万元及上年度结余</w:t>
      </w:r>
      <w:r>
        <w:rPr>
          <w:rFonts w:hint="eastAsia" w:ascii="仿宋_GB2312" w:hAnsi="仿宋_GB2312" w:cs="仿宋_GB2312"/>
          <w:sz w:val="32"/>
          <w:szCs w:val="32"/>
          <w:lang w:val="en-US" w:eastAsia="zh-CN"/>
        </w:rPr>
        <w:t>18.4</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w:t>
      </w:r>
    </w:p>
    <w:p>
      <w:pPr>
        <w:numPr>
          <w:ilvl w:val="0"/>
          <w:numId w:val="0"/>
        </w:numPr>
        <w:ind w:firstLine="632" w:firstLineChars="200"/>
        <w:rPr>
          <w:rFonts w:hint="eastAsia" w:ascii="仿宋_GB2312" w:hAnsi="仿宋_GB2312" w:eastAsia="仿宋_GB2312" w:cs="仿宋_GB2312"/>
          <w:sz w:val="21"/>
          <w:szCs w:val="21"/>
        </w:rPr>
      </w:pPr>
      <w:r>
        <w:rPr>
          <w:rFonts w:hint="eastAsia" w:ascii="仿宋_GB2312" w:hAnsi="仿宋_GB2312" w:eastAsia="仿宋_GB2312" w:cs="仿宋_GB2312"/>
          <w:kern w:val="2"/>
          <w:sz w:val="32"/>
          <w:szCs w:val="32"/>
          <w:lang w:val="en-US" w:eastAsia="zh-CN" w:bidi="ar-SA"/>
        </w:rPr>
        <w:t>3</w:t>
      </w:r>
      <w:r>
        <w:rPr>
          <w:rFonts w:hint="eastAsia" w:ascii="仿宋_GB2312" w:hAnsi="仿宋_GB2312" w:cs="仿宋_GB2312"/>
          <w:kern w:val="2"/>
          <w:sz w:val="32"/>
          <w:szCs w:val="32"/>
          <w:lang w:val="en-US" w:eastAsia="zh-CN" w:bidi="ar-SA"/>
        </w:rPr>
        <w:t>.</w:t>
      </w:r>
      <w:r>
        <w:rPr>
          <w:rFonts w:hint="eastAsia" w:ascii="仿宋_GB2312" w:hAnsi="仿宋_GB2312" w:eastAsia="仿宋_GB2312" w:cs="仿宋_GB2312"/>
          <w:sz w:val="32"/>
          <w:szCs w:val="32"/>
        </w:rPr>
        <w:t>项目资金管理情况分析。我</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建立健全财务管理规章制度，强化内部财务管理，优化业务流程，加强内部风险防控。</w:t>
      </w:r>
      <w:r>
        <w:rPr>
          <w:rFonts w:hint="eastAsia" w:ascii="仿宋_GB2312" w:hAnsi="仿宋_GB2312" w:eastAsia="仿宋_GB2312" w:cs="仿宋_GB2312"/>
          <w:sz w:val="32"/>
          <w:szCs w:val="32"/>
          <w:lang w:eastAsia="zh-CN"/>
        </w:rPr>
        <w:t>认真做好</w:t>
      </w:r>
      <w:r>
        <w:rPr>
          <w:rFonts w:hint="eastAsia" w:eastAsia="仿宋_GB2312"/>
          <w:sz w:val="32"/>
          <w:szCs w:val="32"/>
        </w:rPr>
        <w:t>区级接待工作</w:t>
      </w:r>
      <w:r>
        <w:rPr>
          <w:rFonts w:hint="eastAsia" w:eastAsia="仿宋_GB2312"/>
          <w:sz w:val="32"/>
          <w:szCs w:val="32"/>
          <w:lang w:eastAsia="zh-CN"/>
        </w:rPr>
        <w:t>。</w:t>
      </w:r>
    </w:p>
    <w:p>
      <w:pPr>
        <w:ind w:firstLine="632" w:firstLineChars="200"/>
        <w:rPr>
          <w:rFonts w:hint="eastAsia" w:ascii="楷体" w:hAnsi="楷体" w:eastAsia="楷体" w:cs="楷体"/>
          <w:b/>
          <w:bCs/>
          <w:sz w:val="32"/>
          <w:szCs w:val="32"/>
        </w:rPr>
      </w:pPr>
      <w:r>
        <w:rPr>
          <w:rFonts w:hint="eastAsia" w:ascii="楷体" w:hAnsi="楷体" w:eastAsia="楷体" w:cs="楷体"/>
          <w:b/>
          <w:bCs/>
          <w:sz w:val="32"/>
          <w:szCs w:val="32"/>
        </w:rPr>
        <w:t>（二）绩效指标完成情况分析</w:t>
      </w:r>
    </w:p>
    <w:p>
      <w:pPr>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numPr>
          <w:ilvl w:val="0"/>
          <w:numId w:val="0"/>
        </w:numPr>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（1）数量指标。全年项目实际安排</w:t>
      </w:r>
      <w:r>
        <w:rPr>
          <w:rFonts w:hint="eastAsia" w:ascii="仿宋_GB2312" w:hAnsi="仿宋_GB2312" w:cs="仿宋_GB2312"/>
          <w:sz w:val="32"/>
          <w:szCs w:val="32"/>
          <w:lang w:val="en-US" w:eastAsia="zh-CN"/>
        </w:rPr>
        <w:t>67.6</w:t>
      </w:r>
      <w:r>
        <w:rPr>
          <w:rFonts w:hint="eastAsia" w:ascii="仿宋_GB2312" w:hAnsi="仿宋_GB2312" w:eastAsia="仿宋_GB2312" w:cs="仿宋_GB2312"/>
          <w:sz w:val="32"/>
          <w:szCs w:val="32"/>
        </w:rPr>
        <w:t>万元，实际到位资金</w:t>
      </w:r>
      <w:r>
        <w:rPr>
          <w:rFonts w:hint="eastAsia" w:ascii="仿宋_GB2312" w:hAnsi="仿宋_GB2312" w:cs="仿宋_GB2312"/>
          <w:sz w:val="32"/>
          <w:szCs w:val="32"/>
          <w:lang w:val="en-US" w:eastAsia="zh-CN"/>
        </w:rPr>
        <w:t>81.34</w:t>
      </w:r>
      <w:r>
        <w:rPr>
          <w:rFonts w:hint="eastAsia" w:ascii="仿宋_GB2312" w:hAnsi="仿宋_GB2312" w:eastAsia="仿宋_GB2312" w:cs="仿宋_GB2312"/>
          <w:sz w:val="32"/>
          <w:szCs w:val="32"/>
        </w:rPr>
        <w:t>万元，实际完成值为</w:t>
      </w:r>
      <w:r>
        <w:rPr>
          <w:rFonts w:hint="eastAsia" w:ascii="仿宋_GB2312" w:hAnsi="仿宋_GB2312" w:cs="仿宋_GB2312"/>
          <w:sz w:val="32"/>
          <w:szCs w:val="32"/>
          <w:lang w:val="en-US" w:eastAsia="zh-CN"/>
        </w:rPr>
        <w:t>120.3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包括本年度预算</w:t>
      </w:r>
      <w:r>
        <w:rPr>
          <w:rFonts w:hint="eastAsia" w:ascii="仿宋_GB2312" w:hAnsi="仿宋_GB2312" w:cs="仿宋_GB2312"/>
          <w:sz w:val="32"/>
          <w:szCs w:val="32"/>
          <w:lang w:val="en-US" w:eastAsia="zh-CN"/>
        </w:rPr>
        <w:t>62.94</w:t>
      </w:r>
      <w:r>
        <w:rPr>
          <w:rFonts w:hint="eastAsia" w:ascii="仿宋_GB2312" w:hAnsi="仿宋_GB2312" w:eastAsia="仿宋_GB2312" w:cs="仿宋_GB2312"/>
          <w:sz w:val="32"/>
          <w:szCs w:val="32"/>
          <w:lang w:val="en-US" w:eastAsia="zh-CN"/>
        </w:rPr>
        <w:t>万元及上年度结余</w:t>
      </w:r>
      <w:r>
        <w:rPr>
          <w:rFonts w:hint="eastAsia" w:ascii="仿宋_GB2312" w:hAnsi="仿宋_GB2312" w:cs="仿宋_GB2312"/>
          <w:sz w:val="32"/>
          <w:szCs w:val="32"/>
          <w:lang w:val="en-US" w:eastAsia="zh-CN"/>
        </w:rPr>
        <w:t>18.4</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w:t>
      </w:r>
    </w:p>
    <w:p>
      <w:pPr>
        <w:ind w:firstLine="632"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）时效指标。年度设定的完成期限为202</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rPr>
        <w:t>年12月31日前，实际完成时间为202</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按计划</w:t>
      </w:r>
      <w:r>
        <w:rPr>
          <w:rFonts w:hint="eastAsia" w:ascii="仿宋_GB2312" w:hAnsi="仿宋_GB2312" w:eastAsia="仿宋_GB2312" w:cs="仿宋_GB2312"/>
          <w:sz w:val="32"/>
          <w:szCs w:val="32"/>
        </w:rPr>
        <w:t>完成了年度时效指标。</w:t>
      </w:r>
    </w:p>
    <w:p>
      <w:pPr>
        <w:ind w:firstLine="632" w:firstLineChars="200"/>
        <w:rPr>
          <w:rFonts w:hint="default"/>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）成本指标。年初设定的成本指标为管理制度健全性，我</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通过建立健全财务管理规章制度，强化内部财务管理，优化业务流程，加强内部风险防控，确保了项目资金的安全，符合年初设定的工作目标。</w:t>
      </w:r>
    </w:p>
    <w:p>
      <w:pPr>
        <w:pStyle w:val="16"/>
        <w:widowControl/>
        <w:spacing w:line="600" w:lineRule="exact"/>
        <w:jc w:val="left"/>
        <w:rPr>
          <w:rFonts w:ascii="Times New Roman" w:hAnsi="Times New Roman" w:eastAsia="黑体"/>
          <w:sz w:val="32"/>
          <w:szCs w:val="32"/>
        </w:rPr>
      </w:pPr>
      <w:r>
        <w:rPr>
          <w:rFonts w:hint="eastAsia" w:ascii="黑体" w:hAnsi="黑体" w:eastAsia="黑体" w:cs="宋体"/>
          <w:color w:val="000000"/>
          <w:kern w:val="0"/>
          <w:sz w:val="32"/>
          <w:szCs w:val="32"/>
        </w:rPr>
        <w:t>五、</w:t>
      </w:r>
      <w:r>
        <w:rPr>
          <w:rFonts w:hint="eastAsia" w:ascii="Times New Roman" w:hAnsi="Times New Roman" w:eastAsia="黑体"/>
          <w:sz w:val="32"/>
          <w:szCs w:val="32"/>
        </w:rPr>
        <w:t>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3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存在的问题：</w:t>
      </w:r>
      <w:r>
        <w:rPr>
          <w:rFonts w:hint="eastAsia" w:ascii="仿宋_GB2312" w:hAnsi="仿宋_GB2312" w:eastAsia="仿宋_GB2312" w:cs="仿宋_GB2312"/>
          <w:sz w:val="32"/>
          <w:szCs w:val="32"/>
          <w:lang w:val="en-US" w:eastAsia="zh-CN"/>
        </w:rPr>
        <w:t>一是个别</w:t>
      </w:r>
      <w:r>
        <w:rPr>
          <w:rFonts w:hint="default" w:ascii="仿宋_GB2312" w:hAnsi="仿宋_GB2312" w:eastAsia="仿宋_GB2312" w:cs="仿宋_GB2312"/>
          <w:sz w:val="32"/>
          <w:szCs w:val="32"/>
          <w:lang w:val="en-US" w:eastAsia="zh-CN"/>
        </w:rPr>
        <w:t>临时</w:t>
      </w:r>
      <w:r>
        <w:rPr>
          <w:rFonts w:hint="eastAsia" w:ascii="仿宋_GB2312" w:hAnsi="仿宋_GB2312" w:eastAsia="仿宋_GB2312" w:cs="仿宋_GB2312"/>
          <w:sz w:val="32"/>
          <w:szCs w:val="32"/>
          <w:lang w:val="en-US" w:eastAsia="zh-CN"/>
        </w:rPr>
        <w:t>通知</w:t>
      </w:r>
      <w:r>
        <w:rPr>
          <w:rFonts w:hint="default"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val="en-US" w:eastAsia="zh-CN"/>
        </w:rPr>
        <w:t>接待任务，</w:t>
      </w:r>
      <w:r>
        <w:rPr>
          <w:rFonts w:hint="eastAsia" w:ascii="仿宋_GB2312" w:hAnsi="仿宋_GB2312" w:cs="仿宋_GB2312"/>
          <w:sz w:val="32"/>
          <w:szCs w:val="32"/>
          <w:lang w:val="en-US" w:eastAsia="zh-CN"/>
        </w:rPr>
        <w:t>使</w:t>
      </w:r>
      <w:r>
        <w:rPr>
          <w:rFonts w:hint="eastAsia" w:ascii="仿宋_GB2312" w:hAnsi="仿宋_GB2312" w:eastAsia="仿宋_GB2312" w:cs="仿宋_GB2312"/>
          <w:sz w:val="32"/>
          <w:szCs w:val="32"/>
          <w:lang w:val="en-US" w:eastAsia="zh-CN"/>
        </w:rPr>
        <w:t>公函延迟送达、工作衔接</w:t>
      </w:r>
      <w:r>
        <w:rPr>
          <w:rFonts w:hint="eastAsia" w:ascii="仿宋_GB2312" w:hAnsi="仿宋_GB2312" w:cs="仿宋_GB2312"/>
          <w:sz w:val="32"/>
          <w:szCs w:val="32"/>
          <w:lang w:val="en-US" w:eastAsia="zh-CN"/>
        </w:rPr>
        <w:t>不及时</w:t>
      </w:r>
      <w:r>
        <w:rPr>
          <w:rFonts w:hint="eastAsia" w:ascii="仿宋_GB2312" w:hAnsi="仿宋_GB2312" w:eastAsia="仿宋_GB2312" w:cs="仿宋_GB2312"/>
          <w:sz w:val="32"/>
          <w:szCs w:val="32"/>
          <w:lang w:val="en-US" w:eastAsia="zh-CN"/>
        </w:rPr>
        <w:t>，公务接待项目已实施，部分资金拨付延迟</w:t>
      </w:r>
      <w:r>
        <w:rPr>
          <w:rFonts w:hint="default"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二是</w:t>
      </w:r>
      <w:r>
        <w:rPr>
          <w:rFonts w:hint="eastAsia" w:ascii="仿宋_GB2312" w:hAnsi="仿宋_GB2312" w:eastAsia="仿宋_GB2312" w:cs="仿宋_GB2312"/>
          <w:sz w:val="32"/>
          <w:szCs w:val="32"/>
          <w:lang w:val="en-US" w:eastAsia="zh-CN"/>
        </w:rPr>
        <w:t>因就餐人数临时减少，而已备菜品已无法退单，故偶尔还存在餐桌上的浪费。</w:t>
      </w:r>
      <w:r>
        <w:rPr>
          <w:rFonts w:hint="eastAsia" w:ascii="仿宋_GB2312" w:hAnsi="仿宋_GB2312" w:cs="仿宋_GB2312"/>
          <w:sz w:val="32"/>
          <w:szCs w:val="32"/>
          <w:lang w:val="en-US" w:eastAsia="zh-CN"/>
        </w:rPr>
        <w:t>三</w:t>
      </w:r>
      <w:r>
        <w:rPr>
          <w:rFonts w:hint="eastAsia" w:ascii="仿宋_GB2312" w:hAnsi="仿宋_GB2312" w:eastAsia="仿宋_GB2312" w:cs="仿宋_GB2312"/>
          <w:sz w:val="32"/>
          <w:szCs w:val="32"/>
          <w:lang w:val="en-US" w:eastAsia="zh-CN"/>
        </w:rPr>
        <w:t>是存在超标准、超范围接待的情况，如陪餐人员超标、违规支付住宿费用等。</w:t>
      </w:r>
    </w:p>
    <w:p>
      <w:pPr>
        <w:pStyle w:val="12"/>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ascii="仿宋_GB2312" w:hAnsi="仿宋_GB2312" w:eastAsia="仿宋_GB2312" w:cs="仿宋_GB2312"/>
          <w:sz w:val="32"/>
          <w:szCs w:val="32"/>
          <w:lang w:val="en-US" w:eastAsia="zh-CN"/>
        </w:rPr>
        <w:t>原因分析：</w:t>
      </w:r>
      <w:r>
        <w:rPr>
          <w:rFonts w:hint="eastAsia" w:ascii="仿宋_GB2312" w:hAnsi="仿宋_GB2312" w:eastAsia="仿宋_GB2312" w:cs="仿宋_GB2312"/>
          <w:color w:val="auto"/>
          <w:sz w:val="32"/>
          <w:szCs w:val="32"/>
          <w:lang w:val="en-US" w:eastAsia="zh-CN"/>
        </w:rPr>
        <w:t>没有充分认识到新形势下做好党政机关国内公务接待工作，需要</w:t>
      </w:r>
      <w:r>
        <w:rPr>
          <w:rFonts w:hint="default" w:ascii="仿宋_GB2312" w:hAnsi="仿宋_GB2312" w:eastAsia="仿宋_GB2312" w:cs="仿宋_GB2312"/>
          <w:color w:val="auto"/>
          <w:sz w:val="32"/>
          <w:szCs w:val="32"/>
          <w:lang w:val="en-US" w:eastAsia="zh-CN"/>
        </w:rPr>
        <w:t>既有传统思想中谦虚谨慎的态度，又有新时代的敢于冲破思维定式的精神</w:t>
      </w:r>
      <w:r>
        <w:rPr>
          <w:rFonts w:hint="eastAsia" w:ascii="仿宋_GB2312" w:hAnsi="仿宋_GB2312" w:eastAsia="仿宋_GB2312" w:cs="仿宋_GB2312"/>
          <w:color w:val="auto"/>
          <w:sz w:val="32"/>
          <w:szCs w:val="32"/>
          <w:lang w:val="en-US" w:eastAsia="zh-CN"/>
        </w:rPr>
        <w:t>，习惯用经验办事、用惯性思维解决问题，</w:t>
      </w:r>
      <w:r>
        <w:rPr>
          <w:rFonts w:hint="eastAsia" w:ascii="仿宋_GB2312" w:hAnsi="仿宋_GB2312" w:eastAsia="仿宋_GB2312" w:cs="仿宋_GB2312"/>
          <w:b w:val="0"/>
          <w:bCs w:val="0"/>
          <w:kern w:val="2"/>
          <w:sz w:val="32"/>
          <w:szCs w:val="32"/>
          <w:lang w:val="en-US" w:eastAsia="zh-CN" w:bidi="ar-SA"/>
        </w:rPr>
        <w:t>对岗位所需掌握的业务新理论、新政策只是浅尝辄止，</w:t>
      </w:r>
      <w:r>
        <w:rPr>
          <w:rFonts w:hint="eastAsia" w:ascii="仿宋_GB2312" w:hAnsi="仿宋_GB2312" w:eastAsia="仿宋_GB2312" w:cs="仿宋_GB2312"/>
          <w:color w:val="auto"/>
          <w:sz w:val="32"/>
          <w:szCs w:val="32"/>
          <w:lang w:val="en-US" w:eastAsia="zh-CN"/>
        </w:rPr>
        <w:t>在</w:t>
      </w:r>
      <w:r>
        <w:rPr>
          <w:rFonts w:hint="eastAsia" w:ascii="仿宋_GB2312" w:hAnsi="仿宋_GB2312" w:eastAsia="仿宋_GB2312" w:cs="仿宋_GB2312"/>
          <w:spacing w:val="0"/>
          <w:position w:val="0"/>
          <w:sz w:val="32"/>
          <w:szCs w:val="32"/>
          <w:lang w:val="en-US" w:eastAsia="zh-CN"/>
        </w:rPr>
        <w:t>推动公务接待高质量发展上有一定差距。</w:t>
      </w:r>
    </w:p>
    <w:p>
      <w:pPr>
        <w:widowControl/>
        <w:numPr>
          <w:ilvl w:val="0"/>
          <w:numId w:val="0"/>
        </w:numPr>
        <w:spacing w:line="600" w:lineRule="exact"/>
        <w:ind w:firstLine="632" w:firstLineChars="200"/>
        <w:jc w:val="left"/>
        <w:rPr>
          <w:rFonts w:hint="eastAsia" w:eastAsia="黑体"/>
          <w:sz w:val="32"/>
          <w:szCs w:val="32"/>
        </w:rPr>
      </w:pPr>
      <w:r>
        <w:rPr>
          <w:rFonts w:hint="eastAsia" w:eastAsia="黑体"/>
          <w:sz w:val="32"/>
          <w:szCs w:val="32"/>
          <w:lang w:val="en-US" w:eastAsia="zh-CN"/>
        </w:rPr>
        <w:t>六、</w:t>
      </w:r>
      <w:r>
        <w:rPr>
          <w:rFonts w:hint="eastAsia" w:eastAsia="黑体"/>
          <w:sz w:val="32"/>
          <w:szCs w:val="32"/>
        </w:rPr>
        <w:t>下一步改进措施</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32"/>
          <w:lang w:val="en-US" w:eastAsia="zh-CN"/>
        </w:rPr>
        <w:t>1.围绕工作中遇到的疑难困惑开展交流探讨等形式，通过线上、线下结合，进一步加强业务知识学习，确保学习不断线。</w:t>
      </w:r>
      <w:r>
        <w:rPr>
          <w:rFonts w:hint="eastAsia" w:ascii="仿宋_GB2312" w:hAnsi="仿宋_GB2312" w:eastAsia="仿宋_GB2312" w:cs="仿宋_GB2312"/>
          <w:sz w:val="32"/>
          <w:szCs w:val="40"/>
          <w:lang w:val="en-US" w:eastAsia="zh-CN"/>
        </w:rPr>
        <w:t>强化</w:t>
      </w:r>
      <w:r>
        <w:rPr>
          <w:rFonts w:hint="eastAsia" w:ascii="仿宋_GB2312" w:hAnsi="仿宋_GB2312" w:eastAsia="仿宋_GB2312" w:cs="仿宋_GB2312"/>
          <w:sz w:val="32"/>
          <w:szCs w:val="40"/>
        </w:rPr>
        <w:t>廉洁自律意识，确保在公务接待过程中不出现违规违纪行为。</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2.加强与上级接待服务部门单位的沟通交流，借鉴优秀经验，促使在大型活动中不断提升自己的业务水平和能力，推动接待工作更高质量、更有效率地发展。</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40"/>
          <w:lang w:val="en-US" w:eastAsia="zh-CN"/>
        </w:rPr>
        <w:t>3.</w:t>
      </w:r>
      <w:r>
        <w:rPr>
          <w:rFonts w:hint="eastAsia" w:ascii="仿宋_GB2312" w:hAnsi="仿宋_GB2312" w:eastAsia="仿宋_GB2312" w:cs="仿宋_GB2312"/>
          <w:sz w:val="32"/>
          <w:szCs w:val="32"/>
          <w:lang w:val="en-US" w:eastAsia="zh-CN"/>
        </w:rPr>
        <w:t>进一步</w:t>
      </w:r>
      <w:r>
        <w:rPr>
          <w:rFonts w:hint="eastAsia" w:ascii="仿宋_GB2312" w:hAnsi="仿宋_GB2312" w:eastAsia="仿宋_GB2312" w:cs="仿宋_GB2312"/>
          <w:sz w:val="32"/>
          <w:szCs w:val="32"/>
        </w:rPr>
        <w:t>加强和规范公务</w:t>
      </w:r>
      <w:r>
        <w:rPr>
          <w:rFonts w:hint="eastAsia" w:ascii="仿宋_GB2312" w:hAnsi="仿宋_GB2312" w:eastAsia="仿宋_GB2312" w:cs="仿宋_GB2312"/>
          <w:sz w:val="32"/>
          <w:szCs w:val="32"/>
          <w:lang w:val="en-US" w:eastAsia="zh-CN"/>
        </w:rPr>
        <w:t>接待管理工作，严格落实报备制度，</w:t>
      </w:r>
      <w:r>
        <w:rPr>
          <w:rFonts w:hint="default" w:ascii="仿宋_GB2312" w:hAnsi="仿宋_GB2312" w:eastAsia="仿宋_GB2312" w:cs="仿宋_GB2312"/>
          <w:sz w:val="32"/>
          <w:szCs w:val="32"/>
          <w:lang w:val="en-US" w:eastAsia="zh-CN"/>
        </w:rPr>
        <w:t>完善接待记录制度，确保每次接待都有完整的记录，严格执行公务接待</w:t>
      </w:r>
      <w:r>
        <w:rPr>
          <w:rFonts w:hint="eastAsia" w:ascii="仿宋_GB2312" w:hAnsi="仿宋_GB2312" w:eastAsia="仿宋_GB2312" w:cs="仿宋_GB2312"/>
          <w:sz w:val="32"/>
          <w:szCs w:val="32"/>
          <w:lang w:val="en-US" w:eastAsia="zh-CN"/>
        </w:rPr>
        <w:t>规定</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严格按照接待范围和接待标准安排接待，严格接待费用核算。</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default" w:ascii="仿宋_GB2312" w:hAnsi="仿宋_GB2312" w:eastAsia="仿宋_GB2312" w:cs="仿宋_GB2312"/>
          <w:sz w:val="32"/>
          <w:szCs w:val="32"/>
          <w:lang w:val="en-US" w:eastAsia="zh-CN"/>
        </w:rPr>
        <w:t>统一接待流程和标准，明确各个环节的职责和要求，确保接待工作的规范化和标准化。</w:t>
      </w:r>
      <w:r>
        <w:rPr>
          <w:rFonts w:hint="eastAsia" w:ascii="仿宋_GB2312" w:hAnsi="仿宋_GB2312" w:eastAsia="仿宋_GB2312" w:cs="仿宋_GB2312"/>
          <w:sz w:val="32"/>
          <w:szCs w:val="40"/>
        </w:rPr>
        <w:t>加强与</w:t>
      </w:r>
      <w:r>
        <w:rPr>
          <w:rFonts w:hint="eastAsia" w:ascii="仿宋_GB2312" w:hAnsi="仿宋_GB2312" w:eastAsia="仿宋_GB2312" w:cs="仿宋_GB2312"/>
          <w:sz w:val="32"/>
          <w:szCs w:val="40"/>
          <w:lang w:val="en-US" w:eastAsia="zh-CN"/>
        </w:rPr>
        <w:t>其他地区接待服务部门单位</w:t>
      </w:r>
      <w:r>
        <w:rPr>
          <w:rFonts w:hint="eastAsia" w:ascii="仿宋_GB2312" w:hAnsi="仿宋_GB2312" w:eastAsia="仿宋_GB2312" w:cs="仿宋_GB2312"/>
          <w:sz w:val="32"/>
          <w:szCs w:val="40"/>
        </w:rPr>
        <w:t>的信息共享和经验交流</w:t>
      </w:r>
      <w:r>
        <w:rPr>
          <w:rFonts w:hint="eastAsia" w:ascii="仿宋_GB2312" w:hAnsi="仿宋_GB2312" w:eastAsia="仿宋_GB2312" w:cs="仿宋_GB2312"/>
          <w:sz w:val="32"/>
          <w:szCs w:val="40"/>
          <w:lang w:val="en-US" w:eastAsia="zh-CN"/>
        </w:rPr>
        <w:t>等</w:t>
      </w:r>
      <w:r>
        <w:rPr>
          <w:rFonts w:hint="eastAsia" w:ascii="仿宋_GB2312" w:hAnsi="仿宋_GB2312" w:eastAsia="仿宋_GB2312" w:cs="仿宋_GB2312"/>
          <w:sz w:val="32"/>
          <w:szCs w:val="40"/>
          <w:lang w:eastAsia="zh-CN"/>
        </w:rPr>
        <w:t>，</w:t>
      </w:r>
      <w:r>
        <w:rPr>
          <w:rFonts w:hint="eastAsia" w:ascii="仿宋_GB2312" w:hAnsi="仿宋_GB2312" w:eastAsia="仿宋_GB2312" w:cs="仿宋_GB2312"/>
          <w:sz w:val="32"/>
          <w:szCs w:val="40"/>
        </w:rPr>
        <w:t>提升</w:t>
      </w:r>
      <w:r>
        <w:rPr>
          <w:rFonts w:hint="eastAsia" w:ascii="仿宋_GB2312" w:hAnsi="仿宋_GB2312" w:eastAsia="仿宋_GB2312" w:cs="仿宋_GB2312"/>
          <w:sz w:val="32"/>
          <w:szCs w:val="40"/>
          <w:lang w:val="en-US" w:eastAsia="zh-CN"/>
        </w:rPr>
        <w:t>资阳区</w:t>
      </w:r>
      <w:r>
        <w:rPr>
          <w:rFonts w:hint="eastAsia" w:ascii="仿宋_GB2312" w:hAnsi="仿宋_GB2312" w:eastAsia="仿宋_GB2312" w:cs="仿宋_GB2312"/>
          <w:sz w:val="32"/>
          <w:szCs w:val="40"/>
        </w:rPr>
        <w:t>接待服务的自身实力</w:t>
      </w:r>
      <w:r>
        <w:rPr>
          <w:rFonts w:hint="eastAsia" w:ascii="仿宋_GB2312" w:hAnsi="仿宋_GB2312" w:eastAsia="仿宋_GB2312" w:cs="仿宋_GB2312"/>
          <w:sz w:val="32"/>
          <w:szCs w:val="40"/>
          <w:lang w:val="en-US" w:eastAsia="zh-CN"/>
        </w:rPr>
        <w:t>和整体水平</w:t>
      </w:r>
      <w:r>
        <w:rPr>
          <w:rFonts w:hint="eastAsia" w:ascii="仿宋_GB2312" w:hAnsi="仿宋_GB2312" w:eastAsia="仿宋_GB2312" w:cs="仿宋_GB2312"/>
          <w:sz w:val="32"/>
          <w:szCs w:val="40"/>
          <w:lang w:eastAsia="zh-CN"/>
        </w:rPr>
        <w:t>。</w:t>
      </w:r>
    </w:p>
    <w:p>
      <w:pPr>
        <w:widowControl/>
        <w:numPr>
          <w:ilvl w:val="0"/>
          <w:numId w:val="0"/>
        </w:numPr>
        <w:spacing w:line="600" w:lineRule="exact"/>
        <w:ind w:left="0" w:leftChars="0" w:firstLine="632" w:firstLineChars="200"/>
        <w:jc w:val="left"/>
        <w:rPr>
          <w:rFonts w:hint="eastAsia" w:eastAsia="黑体"/>
          <w:sz w:val="32"/>
          <w:szCs w:val="32"/>
          <w:lang w:eastAsia="zh-CN"/>
        </w:rPr>
      </w:pPr>
      <w:r>
        <w:rPr>
          <w:rFonts w:hint="eastAsia" w:ascii="Calibri" w:hAnsi="Calibri" w:eastAsia="黑体" w:cs="Times New Roman"/>
          <w:kern w:val="2"/>
          <w:sz w:val="32"/>
          <w:szCs w:val="32"/>
          <w:lang w:val="en-US" w:eastAsia="zh-CN" w:bidi="ar-SA"/>
        </w:rPr>
        <w:t>七、</w:t>
      </w:r>
      <w:r>
        <w:rPr>
          <w:rFonts w:hint="eastAsia" w:eastAsia="黑体"/>
          <w:sz w:val="32"/>
          <w:szCs w:val="32"/>
        </w:rPr>
        <w:t>整体支出绩效自评结果拟应用</w:t>
      </w:r>
      <w:r>
        <w:rPr>
          <w:rFonts w:hint="eastAsia" w:eastAsia="黑体"/>
          <w:sz w:val="32"/>
          <w:szCs w:val="32"/>
          <w:lang w:eastAsia="zh-CN"/>
        </w:rPr>
        <w:t>和</w:t>
      </w:r>
      <w:r>
        <w:rPr>
          <w:rFonts w:hint="eastAsia" w:eastAsia="黑体"/>
          <w:sz w:val="32"/>
          <w:szCs w:val="32"/>
        </w:rPr>
        <w:t>公开</w:t>
      </w:r>
      <w:r>
        <w:rPr>
          <w:rFonts w:hint="eastAsia" w:eastAsia="黑体"/>
          <w:sz w:val="32"/>
          <w:szCs w:val="32"/>
          <w:lang w:eastAsia="zh-CN"/>
        </w:rPr>
        <w:t>情况。</w:t>
      </w:r>
    </w:p>
    <w:p>
      <w:pPr>
        <w:spacing w:line="560" w:lineRule="exact"/>
        <w:ind w:firstLine="632" w:firstLineChars="200"/>
        <w:rPr>
          <w:rFonts w:hint="eastAsia" w:eastAsia="黑体"/>
          <w:sz w:val="32"/>
          <w:szCs w:val="32"/>
          <w:lang w:eastAsia="zh-CN"/>
        </w:rPr>
      </w:pPr>
      <w:r>
        <w:rPr>
          <w:rFonts w:hint="eastAsia" w:ascii="仿宋" w:hAnsi="仿宋" w:eastAsia="仿宋" w:cs="仿宋"/>
          <w:sz w:val="32"/>
          <w:szCs w:val="32"/>
          <w:lang w:val="en-US" w:eastAsia="zh-CN"/>
        </w:rPr>
        <w:t>整体支出绩效</w:t>
      </w:r>
      <w:r>
        <w:rPr>
          <w:rFonts w:hint="eastAsia" w:ascii="Times New Roman" w:hAnsi="Times New Roman" w:eastAsia="仿宋_GB2312"/>
          <w:sz w:val="32"/>
          <w:szCs w:val="32"/>
        </w:rPr>
        <w:t>自评报告及结果</w:t>
      </w:r>
      <w:r>
        <w:rPr>
          <w:rFonts w:ascii="Times New Roman" w:hAnsi="Times New Roman" w:eastAsia="仿宋_GB2312"/>
          <w:sz w:val="32"/>
          <w:szCs w:val="32"/>
        </w:rPr>
        <w:t>将在</w:t>
      </w:r>
      <w:r>
        <w:rPr>
          <w:rFonts w:hint="eastAsia" w:ascii="仿宋_GB2312" w:hAnsi="仿宋_GB2312" w:cs="仿宋_GB2312"/>
          <w:b w:val="0"/>
          <w:bCs w:val="0"/>
          <w:sz w:val="32"/>
          <w:szCs w:val="32"/>
          <w:lang w:eastAsia="zh-CN"/>
        </w:rPr>
        <w:t>益阳市资阳区人民政府网站公开，</w:t>
      </w:r>
      <w:r>
        <w:rPr>
          <w:rFonts w:ascii="仿宋_GB2312" w:hAnsi="宋体" w:eastAsia="仿宋_GB2312" w:cs="仿宋_GB2312"/>
          <w:i w:val="0"/>
          <w:iCs w:val="0"/>
          <w:caps w:val="0"/>
          <w:color w:val="000000"/>
          <w:spacing w:val="0"/>
          <w:sz w:val="32"/>
          <w:szCs w:val="32"/>
          <w:shd w:val="clear" w:color="auto" w:fill="FFFFFF"/>
        </w:rPr>
        <w:t>数据真实、完整、准确</w:t>
      </w:r>
      <w:r>
        <w:rPr>
          <w:rFonts w:hint="eastAsia" w:ascii="仿宋_GB2312" w:hAnsi="宋体" w:cs="仿宋_GB2312"/>
          <w:i w:val="0"/>
          <w:iCs w:val="0"/>
          <w:caps w:val="0"/>
          <w:color w:val="000000"/>
          <w:spacing w:val="0"/>
          <w:sz w:val="32"/>
          <w:szCs w:val="32"/>
          <w:shd w:val="clear" w:color="auto" w:fill="FFFFFF"/>
          <w:lang w:eastAsia="zh-CN"/>
        </w:rPr>
        <w:t>，</w:t>
      </w:r>
      <w:r>
        <w:rPr>
          <w:rFonts w:hint="eastAsia" w:ascii="仿宋_GB2312" w:hAnsi="仿宋_GB2312" w:cs="仿宋_GB2312"/>
          <w:b w:val="0"/>
          <w:bCs w:val="0"/>
          <w:sz w:val="32"/>
          <w:szCs w:val="32"/>
          <w:lang w:eastAsia="zh-CN"/>
        </w:rPr>
        <w:t>接受社会监督。</w:t>
      </w:r>
      <w:r>
        <w:rPr>
          <w:rFonts w:ascii="Times New Roman" w:hAnsi="Times New Roman" w:eastAsia="仿宋_GB2312"/>
          <w:sz w:val="32"/>
          <w:szCs w:val="32"/>
        </w:rPr>
        <w:t>对绩效自评工作中发现的问题及时整改，优化部门管理，进一步提升单位工作效能和履责效益。</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报告需要以下附件：</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1</w:t>
      </w:r>
      <w:r>
        <w:rPr>
          <w:rFonts w:hint="eastAsia" w:ascii="仿宋_GB2312" w:hAnsi="仿宋_GB2312" w:eastAsia="仿宋_GB2312" w:cs="仿宋_GB2312"/>
          <w:sz w:val="32"/>
          <w:szCs w:val="40"/>
          <w:lang w:val="en-US" w:eastAsia="zh-CN"/>
        </w:rPr>
        <w:t>.</w:t>
      </w:r>
      <w:r>
        <w:rPr>
          <w:rFonts w:hint="eastAsia" w:ascii="仿宋_GB2312" w:hAnsi="仿宋_GB2312" w:eastAsia="仿宋_GB2312" w:cs="仿宋_GB2312"/>
          <w:sz w:val="32"/>
          <w:szCs w:val="40"/>
        </w:rPr>
        <w:t>部门整体支出绩效评价基础数据表</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2</w:t>
      </w:r>
      <w:r>
        <w:rPr>
          <w:rFonts w:hint="eastAsia" w:ascii="仿宋_GB2312" w:hAnsi="仿宋_GB2312" w:eastAsia="仿宋_GB2312" w:cs="仿宋_GB2312"/>
          <w:sz w:val="32"/>
          <w:szCs w:val="40"/>
          <w:lang w:val="en-US" w:eastAsia="zh-CN"/>
        </w:rPr>
        <w:t>.</w:t>
      </w:r>
      <w:r>
        <w:rPr>
          <w:rFonts w:hint="eastAsia" w:ascii="仿宋_GB2312" w:hAnsi="仿宋_GB2312" w:eastAsia="仿宋_GB2312" w:cs="仿宋_GB2312"/>
          <w:sz w:val="32"/>
          <w:szCs w:val="40"/>
        </w:rPr>
        <w:t>部门整体支出绩效自评表</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3.</w:t>
      </w:r>
      <w:r>
        <w:rPr>
          <w:rFonts w:hint="eastAsia" w:ascii="仿宋_GB2312" w:hAnsi="仿宋_GB2312" w:eastAsia="仿宋_GB2312" w:cs="仿宋_GB2312"/>
          <w:sz w:val="32"/>
          <w:szCs w:val="40"/>
        </w:rPr>
        <w:t>项目支出绩效自评表</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textAlignment w:val="auto"/>
      </w:pPr>
      <w:r>
        <w:rPr>
          <w:rFonts w:hint="eastAsia" w:ascii="仿宋_GB2312" w:hAnsi="仿宋_GB2312" w:eastAsia="仿宋_GB2312" w:cs="仿宋_GB2312"/>
          <w:sz w:val="32"/>
          <w:szCs w:val="40"/>
          <w:lang w:val="en-US" w:eastAsia="zh-CN"/>
        </w:rPr>
        <w:t>4.其他必要材料（当年度预算绩效目标</w:t>
      </w:r>
      <w:r>
        <w:rPr>
          <w:rFonts w:hint="eastAsia" w:ascii="仿宋_GB2312" w:hAnsi="仿宋_GB2312" w:eastAsia="仿宋_GB2312" w:cs="仿宋_GB2312"/>
          <w:kern w:val="0"/>
          <w:sz w:val="32"/>
          <w:szCs w:val="32"/>
          <w:lang w:val="en-US" w:eastAsia="zh-CN" w:bidi="ar-SA"/>
        </w:rPr>
        <w:t>申报表、单位年度工作总结、预决算报表、有关表彰奖励复印件等）及与自评报告、基础表、自评表内容相符的相关佐证材料（佐证资料必须列目录，与自评表指标对应）</w:t>
      </w:r>
      <w:r>
        <w:rPr>
          <w:rFonts w:hint="eastAsia" w:ascii="仿宋_GB2312" w:hAnsi="仿宋_GB2312" w:cs="仿宋_GB2312"/>
          <w:kern w:val="0"/>
          <w:sz w:val="32"/>
          <w:szCs w:val="32"/>
          <w:lang w:val="en-US" w:eastAsia="zh-CN" w:bidi="ar-SA"/>
        </w:rPr>
        <w:t>。</w:t>
      </w:r>
    </w:p>
    <w:sectPr>
      <w:footerReference r:id="rId3" w:type="default"/>
      <w:footerReference r:id="rId4" w:type="even"/>
      <w:pgSz w:w="11907" w:h="16840"/>
      <w:pgMar w:top="2041" w:right="1531" w:bottom="1871" w:left="1531" w:header="851" w:footer="1304" w:gutter="0"/>
      <w:cols w:space="720" w:num="1"/>
      <w:rtlGutter w:val="0"/>
      <w:docGrid w:type="linesAndChars" w:linePitch="58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jc w:val="right"/>
      <w:rPr>
        <w:rFonts w:hint="eastAsia"/>
        <w:sz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ind w:right="335"/>
                            <w:rPr>
                              <w:rStyle w:val="11"/>
                              <w:rFonts w:hint="eastAsia" w:ascii="宋体" w:hAnsi="宋体" w:eastAsia="宋体"/>
                              <w:sz w:val="28"/>
                            </w:rPr>
                          </w:pPr>
                          <w:r>
                            <w:rPr>
                              <w:rStyle w:val="11"/>
                              <w:rFonts w:hint="eastAsia" w:ascii="宋体" w:hAnsi="宋体" w:eastAsia="宋体"/>
                              <w:sz w:val="28"/>
                            </w:rPr>
                            <w:t>—</w:t>
                          </w:r>
                          <w:r>
                            <w:rPr>
                              <w:rFonts w:ascii="宋体" w:hAnsi="宋体" w:eastAsia="宋体"/>
                              <w:sz w:val="28"/>
                            </w:rPr>
                            <w:fldChar w:fldCharType="begin"/>
                          </w:r>
                          <w:r>
                            <w:rPr>
                              <w:rStyle w:val="11"/>
                              <w:rFonts w:ascii="宋体" w:hAnsi="宋体" w:eastAsia="宋体"/>
                              <w:sz w:val="28"/>
                            </w:rPr>
                            <w:instrText xml:space="preserve">PAGE  </w:instrText>
                          </w:r>
                          <w:r>
                            <w:rPr>
                              <w:rFonts w:ascii="宋体" w:hAnsi="宋体" w:eastAsia="宋体"/>
                              <w:sz w:val="28"/>
                            </w:rPr>
                            <w:fldChar w:fldCharType="separate"/>
                          </w:r>
                          <w:r>
                            <w:rPr>
                              <w:rStyle w:val="11"/>
                              <w:rFonts w:ascii="宋体" w:hAnsi="宋体" w:eastAsia="宋体"/>
                              <w:sz w:val="28"/>
                            </w:rPr>
                            <w:t>3</w:t>
                          </w:r>
                          <w:r>
                            <w:rPr>
                              <w:rFonts w:ascii="宋体" w:hAnsi="宋体" w:eastAsia="宋体"/>
                              <w:sz w:val="28"/>
                            </w:rPr>
                            <w:fldChar w:fldCharType="end"/>
                          </w:r>
                          <w:r>
                            <w:rPr>
                              <w:rStyle w:val="11"/>
                              <w:rFonts w:hint="eastAsia" w:ascii="宋体" w:hAnsi="宋体" w:eastAsia="宋体"/>
                              <w:sz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ind w:right="335"/>
                      <w:rPr>
                        <w:rStyle w:val="11"/>
                        <w:rFonts w:hint="eastAsia" w:ascii="宋体" w:hAnsi="宋体" w:eastAsia="宋体"/>
                        <w:sz w:val="28"/>
                      </w:rPr>
                    </w:pPr>
                    <w:r>
                      <w:rPr>
                        <w:rStyle w:val="11"/>
                        <w:rFonts w:hint="eastAsia" w:ascii="宋体" w:hAnsi="宋体" w:eastAsia="宋体"/>
                        <w:sz w:val="28"/>
                      </w:rPr>
                      <w:t>—</w:t>
                    </w:r>
                    <w:r>
                      <w:rPr>
                        <w:rFonts w:ascii="宋体" w:hAnsi="宋体" w:eastAsia="宋体"/>
                        <w:sz w:val="28"/>
                      </w:rPr>
                      <w:fldChar w:fldCharType="begin"/>
                    </w:r>
                    <w:r>
                      <w:rPr>
                        <w:rStyle w:val="11"/>
                        <w:rFonts w:ascii="宋体" w:hAnsi="宋体" w:eastAsia="宋体"/>
                        <w:sz w:val="28"/>
                      </w:rPr>
                      <w:instrText xml:space="preserve">PAGE  </w:instrText>
                    </w:r>
                    <w:r>
                      <w:rPr>
                        <w:rFonts w:ascii="宋体" w:hAnsi="宋体" w:eastAsia="宋体"/>
                        <w:sz w:val="28"/>
                      </w:rPr>
                      <w:fldChar w:fldCharType="separate"/>
                    </w:r>
                    <w:r>
                      <w:rPr>
                        <w:rStyle w:val="11"/>
                        <w:rFonts w:ascii="宋体" w:hAnsi="宋体" w:eastAsia="宋体"/>
                        <w:sz w:val="28"/>
                      </w:rPr>
                      <w:t>3</w:t>
                    </w:r>
                    <w:r>
                      <w:rPr>
                        <w:rFonts w:ascii="宋体" w:hAnsi="宋体" w:eastAsia="宋体"/>
                        <w:sz w:val="28"/>
                      </w:rPr>
                      <w:fldChar w:fldCharType="end"/>
                    </w:r>
                    <w:r>
                      <w:rPr>
                        <w:rStyle w:val="11"/>
                        <w:rFonts w:hint="eastAsia" w:ascii="宋体" w:hAnsi="宋体" w:eastAsia="宋体"/>
                        <w:sz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335"/>
      <w:rPr>
        <w:rStyle w:val="11"/>
        <w:rFonts w:hint="eastAsia" w:ascii="宋体" w:hAnsi="宋体" w:eastAsia="宋体"/>
        <w:sz w:val="28"/>
      </w:rPr>
    </w:pPr>
    <w:r>
      <w:rPr>
        <w:rStyle w:val="11"/>
        <w:rFonts w:hint="eastAsia" w:ascii="宋体" w:hAnsi="宋体" w:eastAsia="宋体"/>
        <w:sz w:val="28"/>
      </w:rPr>
      <w:t>—</w:t>
    </w:r>
    <w:r>
      <w:rPr>
        <w:rFonts w:ascii="宋体" w:hAnsi="宋体" w:eastAsia="宋体"/>
        <w:sz w:val="28"/>
      </w:rPr>
      <w:fldChar w:fldCharType="begin"/>
    </w:r>
    <w:r>
      <w:rPr>
        <w:rStyle w:val="11"/>
        <w:rFonts w:ascii="宋体" w:hAnsi="宋体" w:eastAsia="宋体"/>
        <w:sz w:val="28"/>
      </w:rPr>
      <w:instrText xml:space="preserve">PAGE  </w:instrText>
    </w:r>
    <w:r>
      <w:rPr>
        <w:rFonts w:ascii="宋体" w:hAnsi="宋体" w:eastAsia="宋体"/>
        <w:sz w:val="28"/>
      </w:rPr>
      <w:fldChar w:fldCharType="separate"/>
    </w:r>
    <w:r>
      <w:rPr>
        <w:rStyle w:val="11"/>
        <w:rFonts w:ascii="宋体" w:hAnsi="宋体" w:eastAsia="宋体"/>
        <w:sz w:val="28"/>
      </w:rPr>
      <w:t>4</w:t>
    </w:r>
    <w:r>
      <w:rPr>
        <w:rFonts w:ascii="宋体" w:hAnsi="宋体" w:eastAsia="宋体"/>
        <w:sz w:val="28"/>
      </w:rPr>
      <w:fldChar w:fldCharType="end"/>
    </w:r>
    <w:r>
      <w:rPr>
        <w:rStyle w:val="11"/>
        <w:rFonts w:hint="eastAsia" w:ascii="宋体" w:hAnsi="宋体" w:eastAsia="宋体"/>
        <w:sz w:val="28"/>
      </w:rPr>
      <w:t>—</w:t>
    </w:r>
  </w:p>
  <w:p>
    <w:pPr>
      <w:pStyle w:val="3"/>
      <w:ind w:left="300" w:right="360" w:firstLine="360"/>
      <w:rPr>
        <w:rFonts w:hint="eastAsia"/>
        <w:sz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zZWI1MTc5NWUwOTU3ZGYwMjU4ZTI2YzVmOWM2ZmYifQ=="/>
  </w:docVars>
  <w:rsids>
    <w:rsidRoot w:val="599C2549"/>
    <w:rsid w:val="011D2EC2"/>
    <w:rsid w:val="029F26DE"/>
    <w:rsid w:val="03E7124D"/>
    <w:rsid w:val="041D2A41"/>
    <w:rsid w:val="0528598E"/>
    <w:rsid w:val="069334A6"/>
    <w:rsid w:val="08955AB8"/>
    <w:rsid w:val="09515220"/>
    <w:rsid w:val="09953F94"/>
    <w:rsid w:val="0EE32B49"/>
    <w:rsid w:val="10355485"/>
    <w:rsid w:val="11AE066B"/>
    <w:rsid w:val="14787E5E"/>
    <w:rsid w:val="16151A7F"/>
    <w:rsid w:val="1701135C"/>
    <w:rsid w:val="18405E53"/>
    <w:rsid w:val="1B620D90"/>
    <w:rsid w:val="1D4831B7"/>
    <w:rsid w:val="1DD86729"/>
    <w:rsid w:val="1F455033"/>
    <w:rsid w:val="1F80226B"/>
    <w:rsid w:val="210F55F0"/>
    <w:rsid w:val="213F169E"/>
    <w:rsid w:val="22BC5BC7"/>
    <w:rsid w:val="23AE3255"/>
    <w:rsid w:val="24154541"/>
    <w:rsid w:val="2525302F"/>
    <w:rsid w:val="255F6137"/>
    <w:rsid w:val="26686FF7"/>
    <w:rsid w:val="273A50BA"/>
    <w:rsid w:val="29063A71"/>
    <w:rsid w:val="292C2B83"/>
    <w:rsid w:val="294E20FB"/>
    <w:rsid w:val="29B069ED"/>
    <w:rsid w:val="2B49491C"/>
    <w:rsid w:val="2B773064"/>
    <w:rsid w:val="2E850069"/>
    <w:rsid w:val="30656A0C"/>
    <w:rsid w:val="31612711"/>
    <w:rsid w:val="31D8620A"/>
    <w:rsid w:val="32FB4354"/>
    <w:rsid w:val="3A5A1C1D"/>
    <w:rsid w:val="3B6C3489"/>
    <w:rsid w:val="3B704B41"/>
    <w:rsid w:val="3BC03949"/>
    <w:rsid w:val="3D7520F8"/>
    <w:rsid w:val="424231EE"/>
    <w:rsid w:val="43751BFC"/>
    <w:rsid w:val="4382352C"/>
    <w:rsid w:val="44ED463E"/>
    <w:rsid w:val="452F54A5"/>
    <w:rsid w:val="455D20D9"/>
    <w:rsid w:val="45B053FD"/>
    <w:rsid w:val="45D8637B"/>
    <w:rsid w:val="49996F4C"/>
    <w:rsid w:val="4B7A5E36"/>
    <w:rsid w:val="4C423816"/>
    <w:rsid w:val="4C6D58DB"/>
    <w:rsid w:val="4C785FB0"/>
    <w:rsid w:val="4DE07AE0"/>
    <w:rsid w:val="4E7B1FCD"/>
    <w:rsid w:val="4E7C0DAC"/>
    <w:rsid w:val="50467C9C"/>
    <w:rsid w:val="534567A5"/>
    <w:rsid w:val="53764C47"/>
    <w:rsid w:val="53DF1260"/>
    <w:rsid w:val="543F73ED"/>
    <w:rsid w:val="547C27CC"/>
    <w:rsid w:val="575E0DF4"/>
    <w:rsid w:val="59084BE7"/>
    <w:rsid w:val="599C2549"/>
    <w:rsid w:val="5AC12BCA"/>
    <w:rsid w:val="5B3B3010"/>
    <w:rsid w:val="5D782765"/>
    <w:rsid w:val="5DE26B26"/>
    <w:rsid w:val="5E595457"/>
    <w:rsid w:val="5EA36AAD"/>
    <w:rsid w:val="607A37CD"/>
    <w:rsid w:val="620824F7"/>
    <w:rsid w:val="63A741B4"/>
    <w:rsid w:val="63F21A96"/>
    <w:rsid w:val="67091993"/>
    <w:rsid w:val="684C43D0"/>
    <w:rsid w:val="699C2821"/>
    <w:rsid w:val="6A790534"/>
    <w:rsid w:val="6B165887"/>
    <w:rsid w:val="6D0A45C0"/>
    <w:rsid w:val="6E1118C6"/>
    <w:rsid w:val="71CB2750"/>
    <w:rsid w:val="72FD1FF2"/>
    <w:rsid w:val="74924599"/>
    <w:rsid w:val="74CD20AE"/>
    <w:rsid w:val="760C2BA7"/>
    <w:rsid w:val="79A73C2A"/>
    <w:rsid w:val="7B3B3C7E"/>
    <w:rsid w:val="7CE83964"/>
    <w:rsid w:val="7D123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Indent"/>
    <w:basedOn w:val="1"/>
    <w:qFormat/>
    <w:uiPriority w:val="0"/>
    <w:pPr>
      <w:ind w:firstLine="632"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qFormat/>
    <w:uiPriority w:val="0"/>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7">
    <w:name w:val="Body Text First Indent 2"/>
    <w:basedOn w:val="2"/>
    <w:qFormat/>
    <w:uiPriority w:val="0"/>
    <w:pPr>
      <w:spacing w:before="100" w:beforeAutospacing="1" w:after="0"/>
      <w:ind w:left="0" w:firstLine="42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page number"/>
    <w:basedOn w:val="10"/>
    <w:qFormat/>
    <w:uiPriority w:val="0"/>
  </w:style>
  <w:style w:type="paragraph" w:customStyle="1" w:styleId="12">
    <w:name w:val="正文-公1"/>
    <w:basedOn w:val="13"/>
    <w:next w:val="1"/>
    <w:qFormat/>
    <w:uiPriority w:val="0"/>
    <w:pPr>
      <w:ind w:firstLine="200" w:firstLineChars="200"/>
    </w:pPr>
  </w:style>
  <w:style w:type="paragraph" w:customStyle="1" w:styleId="13">
    <w:name w:val="正文 New New New New New New New New New New New New New New New New New New New New New New New New New New New New New New New New New New New New New New New New New New New New New New New New New New New New New New New New New New New New New New Ne"/>
    <w:next w:val="12"/>
    <w:qFormat/>
    <w:uiPriority w:val="0"/>
    <w:pPr>
      <w:widowControl w:val="0"/>
      <w:jc w:val="both"/>
    </w:pPr>
    <w:rPr>
      <w:rFonts w:ascii="Times New Roman" w:hAnsi="Times New Roman" w:eastAsia="宋体" w:cs="Times New Roman"/>
      <w:kern w:val="2"/>
      <w:sz w:val="21"/>
      <w:lang w:val="en-US" w:eastAsia="zh-CN"/>
    </w:rPr>
  </w:style>
  <w:style w:type="paragraph" w:customStyle="1" w:styleId="14">
    <w:name w:val="BodyText1I2"/>
    <w:basedOn w:val="15"/>
    <w:qFormat/>
    <w:uiPriority w:val="0"/>
    <w:pPr>
      <w:ind w:firstLine="420"/>
    </w:pPr>
  </w:style>
  <w:style w:type="paragraph" w:customStyle="1" w:styleId="15">
    <w:name w:val="BodyTextIndent"/>
    <w:basedOn w:val="1"/>
    <w:qFormat/>
    <w:uiPriority w:val="0"/>
    <w:pPr>
      <w:spacing w:after="120"/>
      <w:ind w:left="420" w:leftChars="200" w:firstLine="200" w:firstLineChars="200"/>
      <w:textAlignment w:val="baseline"/>
    </w:pPr>
  </w:style>
  <w:style w:type="paragraph" w:styleId="16">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香洲区</Company>
  <Pages>8</Pages>
  <Words>3236</Words>
  <Characters>3459</Characters>
  <Lines>0</Lines>
  <Paragraphs>0</Paragraphs>
  <TotalTime>25</TotalTime>
  <ScaleCrop>false</ScaleCrop>
  <LinksUpToDate>false</LinksUpToDate>
  <CharactersWithSpaces>3491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2024-04-24T03:36:00Z</dcterms:created>
  <dc:creator>Administrator</dc:creator>
  <cp:lastModifiedBy>Administrator</cp:lastModifiedBy>
  <dcterms:modified xsi:type="dcterms:W3CDTF">2025-10-20T02:27:51Z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8DAFB4F00233401B83328E5E2421A5ED_11</vt:lpwstr>
  </property>
  <property fmtid="{D5CDD505-2E9C-101B-9397-08002B2CF9AE}" pid="4" name="KSOTemplateDocerSaveRecord">
    <vt:lpwstr>eyJoZGlkIjoiYTRlNWNhOWM2ZjE1YzAyMTBjNjM1NDdhM2I2OGZlMmQiLCJ1c2VySWQiOiIzNDE3MjM0NzcifQ==</vt:lpwstr>
  </property>
</Properties>
</file>