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Theme="majorEastAsia" w:hAnsiTheme="majorEastAsia" w:eastAsiaTheme="majorEastAsia" w:cstheme="majorEastAsia"/>
          <w:b w:val="0"/>
          <w:bCs w:val="0"/>
          <w:kern w:val="0"/>
          <w:sz w:val="44"/>
          <w:szCs w:val="44"/>
          <w:lang w:val="en-US" w:eastAsia="zh-CN" w:bidi="ar-SA"/>
        </w:rPr>
      </w:pPr>
      <w:r>
        <w:rPr>
          <w:rFonts w:hint="eastAsia" w:asciiTheme="majorEastAsia" w:hAnsiTheme="majorEastAsia" w:eastAsiaTheme="majorEastAsia" w:cstheme="majorEastAsia"/>
          <w:b w:val="0"/>
          <w:bCs w:val="0"/>
          <w:kern w:val="0"/>
          <w:sz w:val="44"/>
          <w:szCs w:val="44"/>
          <w:lang w:val="en-US" w:eastAsia="zh-CN" w:bidi="ar-SA"/>
        </w:rPr>
        <w:t>2024年度资阳区财政局部门整体支出绩效</w:t>
      </w:r>
    </w:p>
    <w:p>
      <w:pPr>
        <w:keepNext w:val="0"/>
        <w:keepLines w:val="0"/>
        <w:pageBreakBefore w:val="0"/>
        <w:kinsoku/>
        <w:wordWrap/>
        <w:overflowPunct/>
        <w:topLinePunct w:val="0"/>
        <w:autoSpaceDE/>
        <w:bidi w:val="0"/>
        <w:spacing w:line="560" w:lineRule="exact"/>
        <w:jc w:val="center"/>
        <w:textAlignment w:val="auto"/>
        <w:rPr>
          <w:rFonts w:hint="eastAsia" w:asciiTheme="majorEastAsia" w:hAnsiTheme="majorEastAsia" w:eastAsiaTheme="majorEastAsia" w:cstheme="majorEastAsia"/>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bCs/>
          <w:kern w:val="0"/>
          <w:sz w:val="44"/>
          <w:szCs w:val="44"/>
          <w:lang w:val="en-US" w:eastAsia="zh-CN" w:bidi="ar-SA"/>
        </w:rPr>
      </w:pPr>
      <w:r>
        <w:rPr>
          <w:rFonts w:hint="eastAsia" w:asciiTheme="majorEastAsia" w:hAnsiTheme="majorEastAsia" w:eastAsiaTheme="majorEastAsia" w:cstheme="majorEastAsia"/>
          <w:b w:val="0"/>
          <w:bCs w:val="0"/>
          <w:kern w:val="0"/>
          <w:sz w:val="44"/>
          <w:szCs w:val="44"/>
          <w:lang w:val="en-US" w:eastAsia="zh-CN" w:bidi="ar-SA"/>
        </w:rPr>
        <w:t>自评报告</w:t>
      </w:r>
      <w:r>
        <w:rPr>
          <w:rFonts w:hint="eastAsia" w:ascii="黑体" w:hAnsi="黑体" w:eastAsia="黑体" w:cs="黑体"/>
          <w:b/>
          <w:bCs/>
          <w:kern w:val="0"/>
          <w:sz w:val="44"/>
          <w:szCs w:val="44"/>
          <w:lang w:val="en-US" w:eastAsia="zh-CN" w:bidi="ar-SA"/>
        </w:rPr>
        <w:t>　　　　　　　　　　　　</w:t>
      </w: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bCs/>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numPr>
          <w:ilvl w:val="0"/>
          <w:numId w:val="0"/>
        </w:numPr>
        <w:kinsoku/>
        <w:wordWrap/>
        <w:overflowPunct/>
        <w:topLinePunct w:val="0"/>
        <w:autoSpaceDE/>
        <w:bidi w:val="0"/>
        <w:snapToGrid/>
        <w:spacing w:line="560" w:lineRule="exact"/>
        <w:ind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部门（单位）名称：</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u w:val="single"/>
          <w:lang w:val="en-US" w:eastAsia="zh-CN"/>
        </w:rPr>
        <w:t>盖章</w:t>
      </w:r>
      <w:r>
        <w:rPr>
          <w:rFonts w:hint="eastAsia" w:ascii="仿宋_GB2312" w:hAnsi="仿宋_GB2312" w:cs="仿宋_GB2312"/>
          <w:sz w:val="32"/>
          <w:szCs w:val="32"/>
          <w:u w:val="single"/>
          <w:lang w:val="en-US" w:eastAsia="zh-CN"/>
        </w:rPr>
        <w:t>）　　　　</w:t>
      </w:r>
      <w:r>
        <w:rPr>
          <w:rFonts w:hint="eastAsia" w:ascii="仿宋_GB2312" w:hAnsi="仿宋_GB2312" w:eastAsia="仿宋_GB2312" w:cs="仿宋_GB2312"/>
          <w:sz w:val="32"/>
          <w:szCs w:val="32"/>
          <w:lang w:val="en-US" w:eastAsia="zh-CN"/>
        </w:rPr>
        <w:t>　</w:t>
      </w:r>
    </w:p>
    <w:p>
      <w:pPr>
        <w:keepNext w:val="0"/>
        <w:keepLines w:val="0"/>
        <w:pageBreakBefore w:val="0"/>
        <w:numPr>
          <w:ilvl w:val="0"/>
          <w:numId w:val="0"/>
        </w:numPr>
        <w:kinsoku/>
        <w:wordWrap/>
        <w:overflowPunct/>
        <w:topLinePunct w:val="0"/>
        <w:autoSpaceDE/>
        <w:bidi w:val="0"/>
        <w:snapToGrid/>
        <w:spacing w:line="560" w:lineRule="exact"/>
        <w:ind w:right="0" w:rightChars="0" w:firstLine="640" w:firstLineChars="200"/>
        <w:textAlignment w:val="auto"/>
        <w:outlineLvl w:val="9"/>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　　　　　　</w:t>
      </w:r>
    </w:p>
    <w:p>
      <w:pPr>
        <w:keepNext w:val="0"/>
        <w:keepLines w:val="0"/>
        <w:pageBreakBefore w:val="0"/>
        <w:numPr>
          <w:ilvl w:val="0"/>
          <w:numId w:val="0"/>
        </w:numPr>
        <w:kinsoku/>
        <w:wordWrap/>
        <w:overflowPunct/>
        <w:topLinePunct w:val="0"/>
        <w:autoSpaceDE/>
        <w:bidi w:val="0"/>
        <w:snapToGrid/>
        <w:spacing w:line="560" w:lineRule="exact"/>
        <w:ind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　　　　　2025年5月26日</w:t>
      </w:r>
      <w:r>
        <w:rPr>
          <w:rFonts w:hint="eastAsia" w:ascii="仿宋_GB2312" w:hAnsi="仿宋_GB2312" w:eastAsia="仿宋_GB2312" w:cs="仿宋_GB2312"/>
          <w:sz w:val="32"/>
          <w:szCs w:val="32"/>
          <w:lang w:val="en-US" w:eastAsia="zh-CN"/>
        </w:rPr>
        <w:t>　</w:t>
      </w: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bookmarkStart w:id="0" w:name="_GoBack"/>
      <w:bookmarkEnd w:id="0"/>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p>
    <w:p>
      <w:pPr>
        <w:keepNext w:val="0"/>
        <w:keepLines w:val="0"/>
        <w:pageBreakBefore w:val="0"/>
        <w:kinsoku/>
        <w:wordWrap/>
        <w:overflowPunct/>
        <w:topLinePunct w:val="0"/>
        <w:autoSpaceDE/>
        <w:bidi w:val="0"/>
        <w:spacing w:line="560" w:lineRule="exact"/>
        <w:jc w:val="both"/>
        <w:textAlignment w:val="auto"/>
        <w:rPr>
          <w:rFonts w:hint="eastAsia" w:ascii="黑体" w:hAnsi="黑体" w:eastAsia="黑体" w:cs="黑体"/>
          <w:b w:val="0"/>
          <w:bCs w:val="0"/>
          <w:kern w:val="0"/>
          <w:sz w:val="44"/>
          <w:szCs w:val="44"/>
          <w:lang w:val="en-US" w:eastAsia="zh-CN" w:bidi="ar-SA"/>
        </w:rPr>
      </w:pPr>
      <w:r>
        <w:rPr>
          <w:rFonts w:hint="eastAsia" w:ascii="黑体" w:hAnsi="黑体" w:eastAsia="黑体" w:cs="黑体"/>
          <w:b w:val="0"/>
          <w:bCs w:val="0"/>
          <w:kern w:val="0"/>
          <w:sz w:val="44"/>
          <w:szCs w:val="44"/>
          <w:lang w:val="en-US" w:eastAsia="zh-CN" w:bidi="ar-SA"/>
        </w:rPr>
        <w:t>　　2024年度资阳区财政局整体支出绩效</w:t>
      </w:r>
    </w:p>
    <w:p>
      <w:pPr>
        <w:keepNext w:val="0"/>
        <w:keepLines w:val="0"/>
        <w:pageBreakBefore w:val="0"/>
        <w:kinsoku/>
        <w:wordWrap/>
        <w:overflowPunct/>
        <w:topLinePunct w:val="0"/>
        <w:autoSpaceDE/>
        <w:bidi w:val="0"/>
        <w:spacing w:line="560" w:lineRule="exact"/>
        <w:jc w:val="center"/>
        <w:textAlignment w:val="auto"/>
        <w:rPr>
          <w:rFonts w:hint="eastAsia" w:ascii="黑体" w:hAnsi="黑体" w:eastAsia="黑体" w:cs="黑体"/>
          <w:b w:val="0"/>
          <w:bCs w:val="0"/>
          <w:kern w:val="0"/>
          <w:sz w:val="44"/>
          <w:szCs w:val="44"/>
          <w:lang w:val="en-US" w:eastAsia="zh-CN" w:bidi="ar-SA"/>
        </w:rPr>
      </w:pPr>
      <w:r>
        <w:rPr>
          <w:rFonts w:hint="eastAsia" w:ascii="黑体" w:hAnsi="黑体" w:eastAsia="黑体" w:cs="黑体"/>
          <w:b w:val="0"/>
          <w:bCs w:val="0"/>
          <w:kern w:val="0"/>
          <w:sz w:val="44"/>
          <w:szCs w:val="44"/>
          <w:lang w:val="en-US" w:eastAsia="zh-CN" w:bidi="ar-SA"/>
        </w:rPr>
        <w:t>自评报告</w:t>
      </w:r>
    </w:p>
    <w:p>
      <w:pPr>
        <w:keepNext w:val="0"/>
        <w:keepLines w:val="0"/>
        <w:pageBreakBefore w:val="0"/>
        <w:numPr>
          <w:ilvl w:val="0"/>
          <w:numId w:val="0"/>
        </w:numPr>
        <w:kinsoku/>
        <w:wordWrap/>
        <w:overflowPunct/>
        <w:topLinePunct w:val="0"/>
        <w:autoSpaceDE/>
        <w:bidi w:val="0"/>
        <w:snapToGrid/>
        <w:spacing w:line="560" w:lineRule="exact"/>
        <w:ind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numPr>
          <w:ilvl w:val="0"/>
          <w:numId w:val="0"/>
        </w:numPr>
        <w:kinsoku/>
        <w:wordWrap/>
        <w:overflowPunct/>
        <w:topLinePunct w:val="0"/>
        <w:autoSpaceDE/>
        <w:bidi w:val="0"/>
        <w:snapToGrid/>
        <w:spacing w:line="560" w:lineRule="exact"/>
        <w:ind w:right="0" w:rightChars="0" w:firstLine="640" w:firstLineChars="200"/>
        <w:textAlignment w:val="auto"/>
        <w:outlineLvl w:val="9"/>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sz w:val="32"/>
          <w:szCs w:val="32"/>
        </w:rPr>
        <w:t>为加强财政资金管理，强化支出责任，提高财政资金的使用效益，建立科学、合理的财政支出绩效评价管理体系，根据2024年部门绩效自评工作的要求，遵循“科学规范、公开公正、分类管理、绩效相关”的原则，及时布置自评工作，明确分工，落实责任，运用科学、合理的绩效评价方法，对</w:t>
      </w:r>
      <w:r>
        <w:rPr>
          <w:rFonts w:hint="eastAsia" w:ascii="仿宋_GB2312" w:hAnsi="仿宋_GB2312" w:cs="仿宋_GB2312"/>
          <w:sz w:val="32"/>
          <w:szCs w:val="32"/>
          <w:lang w:eastAsia="zh-CN"/>
        </w:rPr>
        <w:t>我单位</w:t>
      </w:r>
      <w:r>
        <w:rPr>
          <w:rFonts w:hint="eastAsia" w:ascii="仿宋_GB2312" w:hAnsi="仿宋_GB2312" w:eastAsia="仿宋_GB2312" w:cs="仿宋_GB2312"/>
          <w:sz w:val="32"/>
          <w:szCs w:val="32"/>
        </w:rPr>
        <w:t>2024年度预算绩效情况进行了客观、公正的评价。现就我单位2024年度整体支出绩效评价报告如下：</w:t>
      </w:r>
    </w:p>
    <w:p>
      <w:pPr>
        <w:keepNext w:val="0"/>
        <w:keepLines w:val="0"/>
        <w:pageBreakBefore w:val="0"/>
        <w:numPr>
          <w:ilvl w:val="0"/>
          <w:numId w:val="1"/>
        </w:numPr>
        <w:kinsoku/>
        <w:wordWrap/>
        <w:overflowPunct/>
        <w:topLinePunct w:val="0"/>
        <w:autoSpaceDE/>
        <w:bidi w:val="0"/>
        <w:spacing w:line="560" w:lineRule="exact"/>
        <w:ind w:right="317"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部门概况</w:t>
      </w:r>
    </w:p>
    <w:p>
      <w:pPr>
        <w:keepNext w:val="0"/>
        <w:keepLines w:val="0"/>
        <w:pageBreakBefore w:val="0"/>
        <w:numPr>
          <w:ilvl w:val="0"/>
          <w:numId w:val="0"/>
        </w:numPr>
        <w:kinsoku/>
        <w:wordWrap/>
        <w:overflowPunct/>
        <w:topLinePunct w:val="0"/>
        <w:autoSpaceDE/>
        <w:bidi w:val="0"/>
        <w:snapToGrid/>
        <w:spacing w:line="560" w:lineRule="exact"/>
        <w:ind w:right="0" w:rightChars="0" w:firstLine="643" w:firstLineChars="200"/>
        <w:textAlignment w:val="auto"/>
        <w:outlineLvl w:val="9"/>
        <w:rPr>
          <w:rFonts w:hint="eastAsia" w:ascii="楷体_GB2312" w:hAnsi="楷体_GB2312" w:eastAsia="楷体_GB2312" w:cs="楷体_GB2312"/>
          <w:b/>
          <w:bCs/>
          <w:sz w:val="30"/>
          <w:szCs w:val="30"/>
        </w:rPr>
      </w:pPr>
      <w:r>
        <w:rPr>
          <w:rFonts w:hint="eastAsia" w:ascii="仿宋_GB2312" w:hAnsi="仿宋_GB2312" w:eastAsia="仿宋_GB2312" w:cs="仿宋_GB2312"/>
          <w:b/>
          <w:bCs/>
          <w:sz w:val="32"/>
          <w:szCs w:val="32"/>
          <w:lang w:eastAsia="zh-CN"/>
        </w:rPr>
        <w:t>（</w:t>
      </w:r>
      <w:r>
        <w:rPr>
          <w:rFonts w:hint="eastAsia" w:ascii="楷体_GB2312" w:hAnsi="楷体_GB2312" w:eastAsia="楷体_GB2312" w:cs="楷体_GB2312"/>
          <w:b/>
          <w:bCs/>
          <w:sz w:val="30"/>
          <w:szCs w:val="30"/>
          <w:lang w:eastAsia="zh-CN"/>
        </w:rPr>
        <w:t>一）</w:t>
      </w:r>
      <w:r>
        <w:rPr>
          <w:rFonts w:hint="eastAsia" w:ascii="楷体_GB2312" w:hAnsi="楷体_GB2312" w:eastAsia="楷体_GB2312" w:cs="楷体_GB2312"/>
          <w:b/>
          <w:bCs/>
          <w:sz w:val="30"/>
          <w:szCs w:val="30"/>
        </w:rPr>
        <w:t>2024年度重点工作计划</w:t>
      </w:r>
    </w:p>
    <w:p>
      <w:pPr>
        <w:keepNext w:val="0"/>
        <w:keepLines w:val="0"/>
        <w:pageBreakBefore w:val="0"/>
        <w:numPr>
          <w:ilvl w:val="0"/>
          <w:numId w:val="0"/>
        </w:numPr>
        <w:kinsoku/>
        <w:wordWrap/>
        <w:overflowPunct/>
        <w:topLinePunct w:val="0"/>
        <w:autoSpaceDE/>
        <w:bidi w:val="0"/>
        <w:snapToGrid/>
        <w:spacing w:line="560" w:lineRule="exact"/>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面贯彻落实党的二十大精神，主动作为、应变克难，加强经济形势和财政收支分析研判，强化财政资源统筹，多渠道盘活国有“三资”，科学调度国库库款，严格落实“过紧日子”要求，全力保障民生等重点支出需要，进一步严肃财经纪律，较好完成了年初确定的各项目标任务，预算执行情况良好，为资阳区经济社会发展提供了必要的财力支撑。</w:t>
      </w:r>
    </w:p>
    <w:p>
      <w:pPr>
        <w:keepNext w:val="0"/>
        <w:keepLines w:val="0"/>
        <w:pageBreakBefore w:val="0"/>
        <w:numPr>
          <w:ilvl w:val="0"/>
          <w:numId w:val="2"/>
        </w:numPr>
        <w:kinsoku/>
        <w:wordWrap/>
        <w:overflowPunct/>
        <w:topLinePunct w:val="0"/>
        <w:autoSpaceDE/>
        <w:bidi w:val="0"/>
        <w:snapToGrid/>
        <w:spacing w:line="560" w:lineRule="exact"/>
        <w:ind w:left="595" w:leftChars="186" w:right="0" w:rightChars="0" w:firstLine="0" w:firstLineChars="0"/>
        <w:textAlignment w:val="auto"/>
        <w:outlineLvl w:val="9"/>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部门整体支出规模、使用方向、主要内容和涉及范</w:t>
      </w:r>
      <w:r>
        <w:rPr>
          <w:rFonts w:hint="eastAsia" w:ascii="楷体_GB2312" w:hAnsi="楷体_GB2312" w:eastAsia="楷体_GB2312" w:cs="楷体_GB2312"/>
          <w:b/>
          <w:bCs/>
          <w:sz w:val="30"/>
          <w:szCs w:val="30"/>
          <w:lang w:eastAsia="zh-CN"/>
        </w:rPr>
        <w:t>围</w:t>
      </w:r>
    </w:p>
    <w:p>
      <w:pPr>
        <w:keepNext w:val="0"/>
        <w:keepLines w:val="0"/>
        <w:pageBreakBefore w:val="0"/>
        <w:numPr>
          <w:ilvl w:val="0"/>
          <w:numId w:val="0"/>
        </w:numPr>
        <w:kinsoku/>
        <w:wordWrap/>
        <w:overflowPunct/>
        <w:topLinePunct w:val="0"/>
        <w:autoSpaceDE/>
        <w:bidi w:val="0"/>
        <w:snapToGrid/>
        <w:spacing w:line="560" w:lineRule="exact"/>
        <w:ind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2024年整体预算支出1863.73万元，其中：基本支出1458.99万元，包括人员经费1183.98万元，公用经费支出275.01万元。项目支出404.75万元。</w:t>
      </w:r>
    </w:p>
    <w:p>
      <w:pPr>
        <w:keepNext w:val="0"/>
        <w:keepLines w:val="0"/>
        <w:pageBreakBefore w:val="0"/>
        <w:widowControl/>
        <w:kinsoku/>
        <w:wordWrap/>
        <w:overflowPunct/>
        <w:topLinePunct w:val="0"/>
        <w:autoSpaceDE/>
        <w:autoSpaceDN w:val="0"/>
        <w:bidi w:val="0"/>
        <w:spacing w:line="560" w:lineRule="exact"/>
        <w:ind w:right="0" w:rightChars="0"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color w:val="000000"/>
          <w:kern w:val="0"/>
          <w:sz w:val="32"/>
          <w:szCs w:val="32"/>
        </w:rPr>
        <w:t>二、</w:t>
      </w:r>
      <w:r>
        <w:rPr>
          <w:rFonts w:hint="eastAsia" w:ascii="黑体" w:hAnsi="黑体" w:eastAsia="黑体" w:cs="黑体"/>
          <w:b w:val="0"/>
          <w:bCs w:val="0"/>
          <w:sz w:val="32"/>
          <w:szCs w:val="32"/>
        </w:rPr>
        <w:t>一般公共预算支出情况</w:t>
      </w:r>
    </w:p>
    <w:p>
      <w:pPr>
        <w:keepNext w:val="0"/>
        <w:keepLines w:val="0"/>
        <w:pageBreakBefore w:val="0"/>
        <w:widowControl/>
        <w:kinsoku/>
        <w:wordWrap/>
        <w:overflowPunct/>
        <w:topLinePunct w:val="0"/>
        <w:autoSpaceDE/>
        <w:autoSpaceDN w:val="0"/>
        <w:bidi w:val="0"/>
        <w:spacing w:line="560" w:lineRule="exact"/>
        <w:ind w:left="0" w:leftChars="0" w:right="0" w:rightChars="0" w:firstLine="643" w:firstLineChars="200"/>
        <w:textAlignment w:val="auto"/>
        <w:outlineLvl w:val="9"/>
        <w:rPr>
          <w:rFonts w:hint="eastAsia" w:ascii="楷体_GB2312" w:hAnsi="Times New Roman" w:eastAsia="楷体_GB2312" w:cs="Times New Roman"/>
          <w:b/>
          <w:kern w:val="2"/>
          <w:sz w:val="32"/>
          <w:szCs w:val="32"/>
          <w:lang w:val="en-US" w:eastAsia="zh-CN" w:bidi="ar-SA"/>
        </w:rPr>
      </w:pPr>
      <w:r>
        <w:rPr>
          <w:rFonts w:hint="eastAsia" w:ascii="楷体_GB2312" w:hAnsi="Times New Roman" w:eastAsia="楷体_GB2312" w:cs="Times New Roman"/>
          <w:b/>
          <w:kern w:val="2"/>
          <w:sz w:val="32"/>
          <w:szCs w:val="32"/>
          <w:lang w:val="en-US" w:eastAsia="zh-CN" w:bidi="ar-SA"/>
        </w:rPr>
        <w:t>（一）基本支出情况</w:t>
      </w:r>
    </w:p>
    <w:p>
      <w:pPr>
        <w:keepNext w:val="0"/>
        <w:keepLines w:val="0"/>
        <w:pageBreakBefore w:val="0"/>
        <w:numPr>
          <w:ilvl w:val="0"/>
          <w:numId w:val="0"/>
        </w:numPr>
        <w:kinsoku/>
        <w:wordWrap/>
        <w:overflowPunct/>
        <w:topLinePunct w:val="0"/>
        <w:autoSpaceDE/>
        <w:bidi w:val="0"/>
        <w:spacing w:line="560" w:lineRule="exact"/>
        <w:ind w:left="0" w:leftChars="0" w:right="0" w:rightChars="0" w:firstLine="640" w:firstLineChars="200"/>
        <w:textAlignment w:val="auto"/>
        <w:outlineLvl w:val="9"/>
        <w:rPr>
          <w:rFonts w:hint="eastAsia" w:ascii="仿宋_GB2312" w:hAnsi="微软雅黑" w:eastAsia="仿宋_GB2312" w:cs="仿宋_GB2312"/>
          <w:color w:val="000000"/>
          <w:kern w:val="0"/>
          <w:sz w:val="32"/>
          <w:szCs w:val="32"/>
          <w:highlight w:val="none"/>
          <w:shd w:val="clear" w:color="auto" w:fill="FFFFFF"/>
          <w:lang w:val="en-US" w:eastAsia="zh-CN"/>
        </w:rPr>
      </w:pPr>
      <w:r>
        <w:rPr>
          <w:rFonts w:hint="eastAsia" w:ascii="仿宋_GB2312" w:hAnsi="微软雅黑" w:eastAsia="仿宋_GB2312" w:cs="仿宋_GB2312"/>
          <w:color w:val="000000"/>
          <w:kern w:val="0"/>
          <w:sz w:val="32"/>
          <w:szCs w:val="32"/>
          <w:highlight w:val="none"/>
          <w:shd w:val="clear" w:color="auto" w:fill="FFFFFF"/>
          <w:lang w:val="en-US" w:eastAsia="zh-CN"/>
        </w:rPr>
        <w:t>202</w:t>
      </w:r>
      <w:r>
        <w:rPr>
          <w:rFonts w:hint="eastAsia" w:ascii="仿宋_GB2312" w:hAnsi="微软雅黑" w:cs="仿宋_GB2312"/>
          <w:color w:val="000000"/>
          <w:kern w:val="0"/>
          <w:sz w:val="32"/>
          <w:szCs w:val="32"/>
          <w:highlight w:val="none"/>
          <w:shd w:val="clear" w:color="auto" w:fill="FFFFFF"/>
          <w:lang w:val="en-US" w:eastAsia="zh-CN"/>
        </w:rPr>
        <w:t>4</w:t>
      </w:r>
      <w:r>
        <w:rPr>
          <w:rFonts w:hint="eastAsia" w:ascii="仿宋_GB2312" w:hAnsi="微软雅黑" w:eastAsia="仿宋_GB2312" w:cs="仿宋_GB2312"/>
          <w:color w:val="000000"/>
          <w:kern w:val="0"/>
          <w:sz w:val="32"/>
          <w:szCs w:val="32"/>
          <w:highlight w:val="none"/>
          <w:shd w:val="clear" w:color="auto" w:fill="FFFFFF"/>
          <w:lang w:val="en-US" w:eastAsia="zh-CN"/>
        </w:rPr>
        <w:t>年基本支出1</w:t>
      </w:r>
      <w:r>
        <w:rPr>
          <w:rFonts w:hint="eastAsia" w:ascii="仿宋_GB2312" w:hAnsi="微软雅黑" w:cs="仿宋_GB2312"/>
          <w:color w:val="000000"/>
          <w:kern w:val="0"/>
          <w:sz w:val="32"/>
          <w:szCs w:val="32"/>
          <w:highlight w:val="none"/>
          <w:shd w:val="clear" w:color="auto" w:fill="FFFFFF"/>
          <w:lang w:val="en-US" w:eastAsia="zh-CN"/>
        </w:rPr>
        <w:t>440.19</w:t>
      </w:r>
      <w:r>
        <w:rPr>
          <w:rFonts w:hint="eastAsia" w:ascii="仿宋_GB2312" w:hAnsi="微软雅黑" w:eastAsia="仿宋_GB2312" w:cs="仿宋_GB2312"/>
          <w:color w:val="000000"/>
          <w:kern w:val="0"/>
          <w:sz w:val="32"/>
          <w:szCs w:val="32"/>
          <w:highlight w:val="none"/>
          <w:shd w:val="clear" w:color="auto" w:fill="FFFFFF"/>
          <w:lang w:val="en-US" w:eastAsia="zh-CN"/>
        </w:rPr>
        <w:t>万元，其中人员经费</w:t>
      </w:r>
      <w:r>
        <w:rPr>
          <w:rFonts w:hint="eastAsia" w:ascii="仿宋_GB2312" w:hAnsi="微软雅黑" w:cs="仿宋_GB2312"/>
          <w:color w:val="000000"/>
          <w:kern w:val="0"/>
          <w:sz w:val="32"/>
          <w:szCs w:val="32"/>
          <w:highlight w:val="none"/>
          <w:shd w:val="clear" w:color="auto" w:fill="FFFFFF"/>
          <w:lang w:val="en-US" w:eastAsia="zh-CN"/>
        </w:rPr>
        <w:t>1183.62</w:t>
      </w:r>
      <w:r>
        <w:rPr>
          <w:rFonts w:hint="eastAsia" w:ascii="仿宋_GB2312" w:hAnsi="微软雅黑" w:eastAsia="仿宋_GB2312" w:cs="仿宋_GB2312"/>
          <w:color w:val="000000"/>
          <w:kern w:val="0"/>
          <w:sz w:val="32"/>
          <w:szCs w:val="32"/>
          <w:highlight w:val="none"/>
          <w:shd w:val="clear" w:color="auto" w:fill="FFFFFF"/>
          <w:lang w:val="en-US" w:eastAsia="zh-CN"/>
        </w:rPr>
        <w:t>万元，主要用于局机关及下属机构的基本工资、津贴补贴、绩效奖、机关事业单位基本养老保险缴费、其他社会保障缴费、其他工资福利支出等。公用经费</w:t>
      </w:r>
      <w:r>
        <w:rPr>
          <w:rFonts w:hint="eastAsia" w:ascii="仿宋_GB2312" w:hAnsi="微软雅黑" w:cs="仿宋_GB2312"/>
          <w:color w:val="000000"/>
          <w:kern w:val="0"/>
          <w:sz w:val="32"/>
          <w:szCs w:val="32"/>
          <w:highlight w:val="none"/>
          <w:shd w:val="clear" w:color="auto" w:fill="FFFFFF"/>
          <w:lang w:val="en-US" w:eastAsia="zh-CN"/>
        </w:rPr>
        <w:t>256.57</w:t>
      </w:r>
      <w:r>
        <w:rPr>
          <w:rFonts w:hint="eastAsia" w:ascii="仿宋_GB2312" w:hAnsi="微软雅黑" w:eastAsia="仿宋_GB2312" w:cs="仿宋_GB2312"/>
          <w:color w:val="000000"/>
          <w:kern w:val="0"/>
          <w:sz w:val="32"/>
          <w:szCs w:val="32"/>
          <w:highlight w:val="none"/>
          <w:shd w:val="clear" w:color="auto" w:fill="FFFFFF"/>
          <w:lang w:val="en-US" w:eastAsia="zh-CN"/>
        </w:rPr>
        <w:t>万元，主要包括：办公费、手续费、水费、电费、邮电费、差旅费、维修（护）费、培训费、公务接待费、劳务费、工会经费、福利费、其他交通费、其他商品和服务支出等。</w:t>
      </w:r>
    </w:p>
    <w:p>
      <w:pPr>
        <w:keepNext w:val="0"/>
        <w:keepLines w:val="0"/>
        <w:pageBreakBefore w:val="0"/>
        <w:numPr>
          <w:ilvl w:val="0"/>
          <w:numId w:val="0"/>
        </w:numPr>
        <w:kinsoku/>
        <w:wordWrap/>
        <w:overflowPunct/>
        <w:topLinePunct w:val="0"/>
        <w:autoSpaceDE/>
        <w:bidi w:val="0"/>
        <w:spacing w:line="560" w:lineRule="exact"/>
        <w:ind w:right="0" w:rightChars="0" w:firstLine="643" w:firstLineChars="200"/>
        <w:textAlignment w:val="auto"/>
        <w:outlineLvl w:val="9"/>
        <w:rPr>
          <w:rFonts w:ascii="仿宋_GB2312" w:hAnsi="微软雅黑" w:eastAsia="仿宋_GB2312" w:cs="仿宋_GB2312"/>
          <w:color w:val="000000"/>
          <w:kern w:val="0"/>
          <w:sz w:val="32"/>
          <w:szCs w:val="32"/>
          <w:shd w:val="clear" w:color="auto" w:fill="FFFFFF"/>
          <w:lang w:val="en-US" w:eastAsia="zh-CN"/>
        </w:rPr>
      </w:pPr>
      <w:r>
        <w:rPr>
          <w:rFonts w:hint="eastAsia" w:ascii="楷体_GB2312" w:hAnsi="Times New Roman" w:eastAsia="楷体_GB2312" w:cs="Times New Roman"/>
          <w:b/>
          <w:kern w:val="2"/>
          <w:sz w:val="32"/>
          <w:szCs w:val="32"/>
          <w:lang w:val="en-US" w:eastAsia="zh-CN" w:bidi="ar-SA"/>
        </w:rPr>
        <w:t>（二）项目支出情况</w:t>
      </w:r>
    </w:p>
    <w:p>
      <w:pPr>
        <w:keepNext w:val="0"/>
        <w:keepLines w:val="0"/>
        <w:pageBreakBefore w:val="0"/>
        <w:numPr>
          <w:ilvl w:val="0"/>
          <w:numId w:val="0"/>
        </w:numPr>
        <w:kinsoku/>
        <w:wordWrap/>
        <w:overflowPunct/>
        <w:topLinePunct w:val="0"/>
        <w:autoSpaceDE/>
        <w:bidi w:val="0"/>
        <w:spacing w:line="560" w:lineRule="exact"/>
        <w:ind w:left="0" w:leftChars="0" w:right="0" w:rightChars="0" w:firstLine="640" w:firstLineChars="200"/>
        <w:textAlignment w:val="auto"/>
        <w:outlineLvl w:val="9"/>
        <w:rPr>
          <w:rFonts w:hint="eastAsia" w:ascii="仿宋_GB2312" w:hAnsi="微软雅黑" w:eastAsia="仿宋_GB2312" w:cs="仿宋_GB2312"/>
          <w:color w:val="000000"/>
          <w:kern w:val="0"/>
          <w:sz w:val="32"/>
          <w:szCs w:val="32"/>
          <w:shd w:val="clear" w:color="auto" w:fill="FFFFFF"/>
          <w:lang w:val="en-US" w:eastAsia="zh-CN"/>
        </w:rPr>
      </w:pPr>
      <w:r>
        <w:rPr>
          <w:rFonts w:hint="eastAsia" w:ascii="仿宋_GB2312" w:hAnsi="微软雅黑" w:eastAsia="仿宋_GB2312" w:cs="仿宋_GB2312"/>
          <w:color w:val="000000"/>
          <w:kern w:val="0"/>
          <w:sz w:val="32"/>
          <w:szCs w:val="32"/>
          <w:shd w:val="clear" w:color="auto" w:fill="FFFFFF"/>
          <w:lang w:val="en-US" w:eastAsia="zh-CN"/>
        </w:rPr>
        <w:t>202</w:t>
      </w:r>
      <w:r>
        <w:rPr>
          <w:rFonts w:hint="eastAsia" w:ascii="仿宋_GB2312" w:hAnsi="微软雅黑" w:cs="仿宋_GB2312"/>
          <w:color w:val="000000"/>
          <w:kern w:val="0"/>
          <w:sz w:val="32"/>
          <w:szCs w:val="32"/>
          <w:shd w:val="clear" w:color="auto" w:fill="FFFFFF"/>
          <w:lang w:val="en-US" w:eastAsia="zh-CN"/>
        </w:rPr>
        <w:t>4</w:t>
      </w:r>
      <w:r>
        <w:rPr>
          <w:rFonts w:hint="eastAsia" w:ascii="仿宋_GB2312" w:hAnsi="微软雅黑" w:eastAsia="仿宋_GB2312" w:cs="仿宋_GB2312"/>
          <w:color w:val="000000"/>
          <w:kern w:val="0"/>
          <w:sz w:val="32"/>
          <w:szCs w:val="32"/>
          <w:shd w:val="clear" w:color="auto" w:fill="FFFFFF"/>
          <w:lang w:val="en-US" w:eastAsia="zh-CN"/>
        </w:rPr>
        <w:t>年</w:t>
      </w:r>
      <w:r>
        <w:rPr>
          <w:rFonts w:hint="eastAsia" w:ascii="仿宋_GB2312" w:hAnsi="微软雅黑" w:cs="仿宋_GB2312"/>
          <w:color w:val="000000"/>
          <w:kern w:val="0"/>
          <w:sz w:val="32"/>
          <w:szCs w:val="32"/>
          <w:shd w:val="clear" w:color="auto" w:fill="FFFFFF"/>
          <w:lang w:val="en-US" w:eastAsia="zh-CN"/>
        </w:rPr>
        <w:t>全年</w:t>
      </w:r>
      <w:r>
        <w:rPr>
          <w:rFonts w:hint="eastAsia" w:ascii="仿宋_GB2312" w:hAnsi="微软雅黑" w:eastAsia="仿宋_GB2312" w:cs="仿宋_GB2312"/>
          <w:color w:val="000000"/>
          <w:kern w:val="0"/>
          <w:sz w:val="32"/>
          <w:szCs w:val="32"/>
          <w:shd w:val="clear" w:color="auto" w:fill="FFFFFF"/>
          <w:lang w:val="en-US" w:eastAsia="zh-CN"/>
        </w:rPr>
        <w:t>项目支出</w:t>
      </w:r>
      <w:r>
        <w:rPr>
          <w:rFonts w:hint="eastAsia" w:ascii="仿宋_GB2312" w:hAnsi="微软雅黑" w:cs="仿宋_GB2312"/>
          <w:color w:val="000000"/>
          <w:kern w:val="0"/>
          <w:sz w:val="32"/>
          <w:szCs w:val="32"/>
          <w:shd w:val="clear" w:color="auto" w:fill="FFFFFF"/>
          <w:lang w:val="en-US" w:eastAsia="zh-CN"/>
        </w:rPr>
        <w:t>382.32</w:t>
      </w:r>
      <w:r>
        <w:rPr>
          <w:rFonts w:hint="eastAsia" w:ascii="仿宋_GB2312" w:hAnsi="微软雅黑" w:eastAsia="仿宋_GB2312" w:cs="仿宋_GB2312"/>
          <w:color w:val="000000"/>
          <w:kern w:val="0"/>
          <w:sz w:val="32"/>
          <w:szCs w:val="32"/>
          <w:shd w:val="clear" w:color="auto" w:fill="FFFFFF"/>
          <w:lang w:val="en-US" w:eastAsia="zh-CN"/>
        </w:rPr>
        <w:t>万元，主要用于</w:t>
      </w:r>
      <w:r>
        <w:rPr>
          <w:rFonts w:hint="eastAsia" w:ascii="仿宋_GB2312" w:hAnsi="微软雅黑" w:cs="仿宋_GB2312"/>
          <w:color w:val="000000"/>
          <w:kern w:val="0"/>
          <w:sz w:val="32"/>
          <w:szCs w:val="32"/>
          <w:shd w:val="clear" w:color="auto" w:fill="FFFFFF"/>
          <w:lang w:val="en-US" w:eastAsia="zh-CN"/>
        </w:rPr>
        <w:t>部门预算、财政法治宣传教育、财政监察、</w:t>
      </w:r>
      <w:r>
        <w:rPr>
          <w:rFonts w:hint="eastAsia" w:ascii="仿宋_GB2312" w:hAnsi="微软雅黑" w:eastAsia="仿宋_GB2312" w:cs="仿宋_GB2312"/>
          <w:color w:val="000000"/>
          <w:kern w:val="0"/>
          <w:sz w:val="32"/>
          <w:szCs w:val="32"/>
          <w:shd w:val="clear" w:color="auto" w:fill="FFFFFF"/>
          <w:lang w:val="en-US" w:eastAsia="zh-CN"/>
        </w:rPr>
        <w:t>财政信息化建设及维护、非税票据工本费、国有资产管理、</w:t>
      </w:r>
      <w:r>
        <w:rPr>
          <w:rFonts w:hint="eastAsia" w:ascii="仿宋_GB2312" w:hAnsi="微软雅黑" w:cs="仿宋_GB2312"/>
          <w:color w:val="000000"/>
          <w:kern w:val="0"/>
          <w:sz w:val="32"/>
          <w:szCs w:val="32"/>
          <w:shd w:val="clear" w:color="auto" w:fill="FFFFFF"/>
          <w:lang w:val="en-US" w:eastAsia="zh-CN"/>
        </w:rPr>
        <w:t>政府采购业务</w:t>
      </w:r>
      <w:r>
        <w:rPr>
          <w:rFonts w:hint="eastAsia" w:ascii="仿宋_GB2312" w:hAnsi="微软雅黑" w:eastAsia="仿宋_GB2312" w:cs="仿宋_GB2312"/>
          <w:color w:val="000000"/>
          <w:kern w:val="0"/>
          <w:sz w:val="32"/>
          <w:szCs w:val="32"/>
          <w:shd w:val="clear" w:color="auto" w:fill="FFFFFF"/>
          <w:lang w:val="en-US" w:eastAsia="zh-CN"/>
        </w:rPr>
        <w:t>、地方政府性债务</w:t>
      </w:r>
      <w:r>
        <w:rPr>
          <w:rFonts w:hint="eastAsia" w:ascii="仿宋_GB2312" w:hAnsi="微软雅黑" w:cs="仿宋_GB2312"/>
          <w:color w:val="000000"/>
          <w:kern w:val="0"/>
          <w:sz w:val="32"/>
          <w:szCs w:val="32"/>
          <w:shd w:val="clear" w:color="auto" w:fill="FFFFFF"/>
          <w:lang w:val="en-US" w:eastAsia="zh-CN"/>
        </w:rPr>
        <w:t>管理工作经费、非税网络维护、国库集中支付、国有资产管理、绩效评价工作经费、预决算汇编、预算基本数据库</w:t>
      </w:r>
      <w:r>
        <w:rPr>
          <w:rFonts w:hint="eastAsia" w:ascii="仿宋_GB2312" w:hAnsi="微软雅黑" w:eastAsia="仿宋_GB2312" w:cs="仿宋_GB2312"/>
          <w:color w:val="000000"/>
          <w:kern w:val="0"/>
          <w:sz w:val="32"/>
          <w:szCs w:val="32"/>
          <w:shd w:val="clear" w:color="auto" w:fill="FFFFFF"/>
          <w:lang w:val="en-US" w:eastAsia="zh-CN"/>
        </w:rPr>
        <w:t>支出等项目</w:t>
      </w:r>
      <w:r>
        <w:rPr>
          <w:rFonts w:hint="eastAsia" w:ascii="仿宋_GB2312" w:hAnsi="微软雅黑" w:cs="仿宋_GB2312"/>
          <w:color w:val="000000"/>
          <w:kern w:val="0"/>
          <w:sz w:val="32"/>
          <w:szCs w:val="32"/>
          <w:shd w:val="clear" w:color="auto" w:fill="FFFFFF"/>
          <w:lang w:val="en-US" w:eastAsia="zh-CN"/>
        </w:rPr>
        <w:t>支出</w:t>
      </w:r>
      <w:r>
        <w:rPr>
          <w:rFonts w:hint="eastAsia" w:ascii="仿宋_GB2312" w:hAnsi="微软雅黑" w:eastAsia="仿宋_GB2312" w:cs="仿宋_GB2312"/>
          <w:color w:val="000000"/>
          <w:kern w:val="0"/>
          <w:sz w:val="32"/>
          <w:szCs w:val="32"/>
          <w:shd w:val="clear" w:color="auto" w:fill="FFFFFF"/>
          <w:lang w:val="en-US" w:eastAsia="zh-CN"/>
        </w:rPr>
        <w:t>。</w:t>
      </w:r>
    </w:p>
    <w:p>
      <w:pPr>
        <w:keepNext w:val="0"/>
        <w:keepLines w:val="0"/>
        <w:pageBreakBefore w:val="0"/>
        <w:widowControl/>
        <w:numPr>
          <w:ilvl w:val="0"/>
          <w:numId w:val="1"/>
        </w:numPr>
        <w:kinsoku/>
        <w:wordWrap/>
        <w:overflowPunct/>
        <w:topLinePunct w:val="0"/>
        <w:autoSpaceDE/>
        <w:autoSpaceDN w:val="0"/>
        <w:bidi w:val="0"/>
        <w:spacing w:line="560" w:lineRule="exact"/>
        <w:ind w:left="0" w:leftChars="0" w:right="0" w:rightChars="0" w:firstLine="640" w:firstLineChars="200"/>
        <w:textAlignment w:val="auto"/>
        <w:outlineLvl w:val="9"/>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部门整体支出绩效情况</w:t>
      </w:r>
    </w:p>
    <w:p>
      <w:pPr>
        <w:spacing w:line="520" w:lineRule="exact"/>
        <w:ind w:right="317" w:firstLine="643" w:firstLineChars="200"/>
        <w:rPr>
          <w:rFonts w:hint="eastAsia" w:ascii="楷体_GB2312" w:hAnsi="Times New Roman" w:eastAsia="楷体_GB2312" w:cs="Times New Roman"/>
          <w:b/>
          <w:kern w:val="2"/>
          <w:sz w:val="32"/>
          <w:szCs w:val="32"/>
          <w:lang w:val="en-US" w:eastAsia="zh-CN" w:bidi="ar-SA"/>
        </w:rPr>
      </w:pPr>
      <w:r>
        <w:rPr>
          <w:rFonts w:hint="eastAsia" w:ascii="楷体_GB2312" w:hAnsi="Times New Roman" w:eastAsia="楷体_GB2312" w:cs="Times New Roman"/>
          <w:b/>
          <w:kern w:val="2"/>
          <w:sz w:val="32"/>
          <w:szCs w:val="32"/>
          <w:lang w:val="en-US" w:eastAsia="zh-CN" w:bidi="ar-SA"/>
        </w:rPr>
        <w:t>（一）本单位预算支出的绩效目标完成情况，实现产出和取得效益的情况</w:t>
      </w:r>
    </w:p>
    <w:p>
      <w:pPr>
        <w:spacing w:line="520" w:lineRule="exact"/>
        <w:ind w:right="317" w:firstLine="643" w:firstLineChars="200"/>
        <w:rPr>
          <w:rFonts w:hint="eastAsia" w:ascii="仿宋_GB2312" w:hAnsi="仿宋_GB2312" w:eastAsia="仿宋_GB2312" w:cs="仿宋_GB2312"/>
          <w:bCs/>
          <w:sz w:val="32"/>
          <w:szCs w:val="32"/>
          <w:highlight w:val="none"/>
        </w:rPr>
      </w:pPr>
      <w:r>
        <w:rPr>
          <w:rFonts w:hint="eastAsia" w:ascii="楷体_GB2312" w:hAnsi="楷体_GB2312" w:eastAsia="楷体_GB2312" w:cs="楷体_GB2312"/>
          <w:b/>
          <w:bCs/>
          <w:sz w:val="32"/>
          <w:szCs w:val="32"/>
          <w:lang w:eastAsia="zh-CN"/>
        </w:rPr>
        <w:t>财政预算执行情况良好。</w:t>
      </w:r>
      <w:r>
        <w:rPr>
          <w:rFonts w:hint="eastAsia" w:ascii="仿宋_GB2312" w:hAnsi="Calibri" w:eastAsia="仿宋_GB2312" w:cs="Times New Roman"/>
          <w:sz w:val="32"/>
          <w:szCs w:val="32"/>
        </w:rPr>
        <w:t>以稳增长、调结构、惠民生、促发展为中心，</w:t>
      </w:r>
      <w:r>
        <w:rPr>
          <w:rFonts w:hint="eastAsia" w:ascii="仿宋_GB2312" w:eastAsia="仿宋_GB2312" w:cs="Times New Roman"/>
          <w:sz w:val="32"/>
          <w:szCs w:val="32"/>
          <w:lang w:eastAsia="zh-CN"/>
        </w:rPr>
        <w:t>严格落实政府“过紧日子”要求，</w:t>
      </w:r>
      <w:r>
        <w:rPr>
          <w:rFonts w:hint="eastAsia" w:ascii="仿宋_GB2312" w:hAnsi="Calibri" w:eastAsia="仿宋_GB2312" w:cs="Times New Roman"/>
          <w:sz w:val="32"/>
          <w:szCs w:val="32"/>
        </w:rPr>
        <w:t>统筹财力，较好地落实了</w:t>
      </w:r>
      <w:r>
        <w:rPr>
          <w:rFonts w:hint="eastAsia" w:ascii="仿宋_GB2312" w:eastAsia="仿宋_GB2312" w:cs="Times New Roman"/>
          <w:sz w:val="32"/>
          <w:szCs w:val="32"/>
          <w:lang w:eastAsia="zh-CN"/>
        </w:rPr>
        <w:t>基层</w:t>
      </w:r>
      <w:r>
        <w:rPr>
          <w:rFonts w:hint="eastAsia" w:ascii="仿宋_GB2312" w:hAnsi="Calibri" w:eastAsia="仿宋_GB2312" w:cs="Times New Roman"/>
          <w:sz w:val="32"/>
          <w:szCs w:val="32"/>
        </w:rPr>
        <w:t>“三保</w:t>
      </w:r>
      <w:r>
        <w:rPr>
          <w:rFonts w:hint="eastAsia" w:ascii="仿宋_GB2312" w:eastAsia="仿宋_GB2312" w:cs="Times New Roman"/>
          <w:sz w:val="32"/>
          <w:szCs w:val="32"/>
          <w:lang w:eastAsia="zh-CN"/>
        </w:rPr>
        <w:t>”</w:t>
      </w:r>
      <w:r>
        <w:rPr>
          <w:rFonts w:hint="eastAsia" w:ascii="仿宋_GB2312" w:hAnsi="Calibri" w:eastAsia="仿宋_GB2312" w:cs="Times New Roman"/>
          <w:sz w:val="32"/>
          <w:szCs w:val="32"/>
        </w:rPr>
        <w:t>支出责任。</w:t>
      </w:r>
      <w:r>
        <w:rPr>
          <w:rFonts w:hint="eastAsia" w:ascii="仿宋_GB2312" w:eastAsia="仿宋_GB2312" w:cs="Times New Roman"/>
          <w:sz w:val="32"/>
          <w:szCs w:val="32"/>
          <w:lang w:eastAsia="zh-CN"/>
        </w:rPr>
        <w:t>探索零基预算改革，为</w:t>
      </w:r>
      <w:r>
        <w:rPr>
          <w:rFonts w:hint="eastAsia" w:ascii="仿宋_GB2312" w:eastAsia="仿宋_GB2312" w:cs="Times New Roman"/>
          <w:sz w:val="32"/>
          <w:szCs w:val="32"/>
          <w:lang w:val="en-US" w:eastAsia="zh-CN"/>
        </w:rPr>
        <w:t>2025年全面实施零基预算打下扎实基础。</w:t>
      </w:r>
      <w:r>
        <w:rPr>
          <w:rFonts w:hint="eastAsia" w:ascii="楷体_GB2312" w:hAnsi="楷体_GB2312" w:eastAsia="楷体_GB2312" w:cs="楷体_GB2312"/>
          <w:b/>
          <w:bCs/>
          <w:sz w:val="32"/>
          <w:szCs w:val="32"/>
          <w:lang w:eastAsia="zh-CN"/>
        </w:rPr>
        <w:t>争先进，财政工作全面开花。</w:t>
      </w:r>
      <w:r>
        <w:rPr>
          <w:rFonts w:hint="eastAsia" w:ascii="仿宋_GB2312" w:eastAsia="仿宋_GB2312" w:cs="Times New Roman"/>
          <w:b/>
          <w:bCs/>
          <w:sz w:val="32"/>
          <w:szCs w:val="32"/>
          <w:lang w:eastAsia="zh-CN"/>
        </w:rPr>
        <w:t>一是</w:t>
      </w:r>
      <w:r>
        <w:rPr>
          <w:rFonts w:hint="eastAsia" w:ascii="仿宋_GB2312" w:eastAsia="仿宋_GB2312" w:cs="Times New Roman"/>
          <w:sz w:val="32"/>
          <w:szCs w:val="32"/>
          <w:lang w:eastAsia="zh-CN"/>
        </w:rPr>
        <w:t>超额完成立项争资任务。</w:t>
      </w:r>
      <w:r>
        <w:rPr>
          <w:rFonts w:hint="eastAsia" w:ascii="仿宋_GB2312" w:eastAsia="仿宋_GB2312" w:cs="Times New Roman"/>
          <w:b/>
          <w:bCs/>
          <w:sz w:val="32"/>
          <w:szCs w:val="32"/>
          <w:lang w:val="en-US" w:eastAsia="zh-CN"/>
        </w:rPr>
        <w:t>二是</w:t>
      </w:r>
      <w:r>
        <w:rPr>
          <w:rFonts w:hint="eastAsia" w:ascii="仿宋_GB2312" w:eastAsia="仿宋_GB2312" w:cs="Times New Roman"/>
          <w:sz w:val="32"/>
          <w:szCs w:val="32"/>
          <w:lang w:val="en-US" w:eastAsia="zh-CN"/>
        </w:rPr>
        <w:t>全面推进国有“三资”清查管理改革，实现入库收益5.79亿元，获2024年全省行政事业性国有资产报告工作先进单位。</w:t>
      </w:r>
      <w:r>
        <w:rPr>
          <w:rFonts w:hint="eastAsia" w:ascii="仿宋_GB2312" w:eastAsia="仿宋_GB2312" w:cs="Times New Roman"/>
          <w:b/>
          <w:bCs/>
          <w:sz w:val="32"/>
          <w:szCs w:val="32"/>
          <w:lang w:val="en-US" w:eastAsia="zh-CN"/>
        </w:rPr>
        <w:t>三是</w:t>
      </w:r>
      <w:r>
        <w:rPr>
          <w:rFonts w:hint="eastAsia" w:ascii="仿宋_GB2312" w:eastAsia="仿宋_GB2312" w:cs="Times New Roman"/>
          <w:sz w:val="32"/>
          <w:szCs w:val="32"/>
          <w:lang w:val="en-US" w:eastAsia="zh-CN"/>
        </w:rPr>
        <w:t>会计管理工作再获表彰。2024年，资阳财政创造</w:t>
      </w:r>
      <w:r>
        <w:rPr>
          <w:rFonts w:hint="eastAsia" w:ascii="仿宋_GB2312" w:hAnsi="仿宋_GB2312" w:eastAsia="仿宋_GB2312" w:cs="仿宋_GB2312"/>
          <w:sz w:val="32"/>
          <w:szCs w:val="32"/>
          <w:lang w:val="en-US" w:eastAsia="zh-CN"/>
        </w:rPr>
        <w:t>性将财会培训与党建业务相结合，组织局机关业务骨干对全区会计人员开展业务培训。获2024年全省会计培训方面工作突出单位、小微企业增信会计数据标准试点先进单位。防风险，债务化解扎实有力。</w:t>
      </w:r>
      <w:r>
        <w:rPr>
          <w:rFonts w:hint="eastAsia" w:ascii="仿宋_GB2312" w:hAnsi="仿宋_GB2312" w:eastAsia="仿宋_GB2312" w:cs="仿宋_GB2312"/>
          <w:sz w:val="32"/>
          <w:szCs w:val="32"/>
        </w:rPr>
        <w:t>至2024年年末，全区地方政府债务余额</w:t>
      </w:r>
      <w:r>
        <w:rPr>
          <w:rFonts w:hint="eastAsia" w:ascii="仿宋_GB2312" w:hAnsi="仿宋_GB2312" w:eastAsia="仿宋_GB2312" w:cs="仿宋_GB2312"/>
          <w:sz w:val="32"/>
          <w:szCs w:val="32"/>
          <w:lang w:val="en-US" w:eastAsia="zh-CN"/>
        </w:rPr>
        <w:t>58.21</w:t>
      </w:r>
      <w:r>
        <w:rPr>
          <w:rFonts w:hint="eastAsia" w:ascii="仿宋_GB2312" w:hAnsi="仿宋_GB2312" w:eastAsia="仿宋_GB2312" w:cs="仿宋_GB2312"/>
          <w:sz w:val="32"/>
          <w:szCs w:val="32"/>
        </w:rPr>
        <w:t>亿元，控制在债务限额以内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eastAsia="zh-CN"/>
        </w:rPr>
        <w:t>政府</w:t>
      </w:r>
      <w:r>
        <w:rPr>
          <w:rFonts w:hint="eastAsia" w:ascii="仿宋_GB2312" w:hAnsi="仿宋_GB2312" w:eastAsia="仿宋_GB2312" w:cs="仿宋_GB2312"/>
          <w:sz w:val="32"/>
          <w:szCs w:val="32"/>
        </w:rPr>
        <w:t>债务还本支出合计0.37亿元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eastAsia="zh-CN"/>
        </w:rPr>
        <w:t>政府</w:t>
      </w:r>
      <w:r>
        <w:rPr>
          <w:rFonts w:hint="eastAsia" w:ascii="仿宋_GB2312" w:hAnsi="仿宋_GB2312" w:eastAsia="仿宋_GB2312" w:cs="仿宋_GB2312"/>
          <w:sz w:val="32"/>
          <w:szCs w:val="32"/>
        </w:rPr>
        <w:t>债务付息支出合计1.38亿元，其中一般债券付息0.64亿元，专项债券付息0.74亿元</w:t>
      </w:r>
      <w:r>
        <w:rPr>
          <w:rFonts w:hint="eastAsia" w:ascii="仿宋_GB2312" w:hAnsi="仿宋_GB2312" w:eastAsia="仿宋_GB2312" w:cs="仿宋_GB2312"/>
          <w:sz w:val="32"/>
          <w:szCs w:val="32"/>
          <w:lang w:eastAsia="zh-CN"/>
        </w:rPr>
        <w:t>；顺利</w:t>
      </w:r>
      <w:r>
        <w:rPr>
          <w:rFonts w:hint="eastAsia" w:ascii="仿宋_GB2312" w:hAnsi="仿宋_GB2312" w:eastAsia="仿宋_GB2312" w:cs="仿宋_GB2312"/>
          <w:sz w:val="32"/>
          <w:szCs w:val="32"/>
        </w:rPr>
        <w:t>完成上报中央化债任务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全年无逾期债务，未发生债务风险事件。</w:t>
      </w:r>
      <w:r>
        <w:rPr>
          <w:rFonts w:hint="eastAsia" w:ascii="仿宋_GB2312" w:hAnsi="仿宋_GB2312" w:eastAsia="仿宋_GB2312" w:cs="仿宋_GB2312"/>
          <w:sz w:val="32"/>
          <w:szCs w:val="32"/>
          <w:lang w:val="en-US" w:eastAsia="zh-CN"/>
        </w:rPr>
        <w:t>严监督，绩效管理水平提升。</w:t>
      </w:r>
      <w:r>
        <w:rPr>
          <w:rFonts w:hint="eastAsia" w:ascii="仿宋_GB2312" w:hAnsi="仿宋_GB2312" w:eastAsia="仿宋_GB2312" w:cs="仿宋_GB2312"/>
          <w:sz w:val="32"/>
          <w:szCs w:val="32"/>
        </w:rPr>
        <w:t>一是</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管理精准化。通过规范政府投资项目预算评审</w:t>
      </w:r>
      <w:r>
        <w:rPr>
          <w:rFonts w:hint="eastAsia" w:ascii="仿宋_GB2312" w:hAnsi="仿宋_GB2312" w:eastAsia="仿宋_GB2312" w:cs="仿宋_GB2312"/>
          <w:sz w:val="32"/>
          <w:szCs w:val="32"/>
          <w:lang w:eastAsia="zh-CN"/>
        </w:rPr>
        <w:t>和政府采购</w:t>
      </w:r>
      <w:r>
        <w:rPr>
          <w:rFonts w:hint="eastAsia" w:ascii="仿宋_GB2312" w:hAnsi="仿宋_GB2312" w:eastAsia="仿宋_GB2312" w:cs="仿宋_GB2312"/>
          <w:sz w:val="32"/>
          <w:szCs w:val="32"/>
        </w:rPr>
        <w:t>，促进各单位提高项目管理水平。202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年，对全区115个项目开展预算评审，送审金额19.71亿元，审定金额17.14亿元，核减金额2.57亿元，核减率13.04%，有效解决项目高估冒算、浪费低效等问题。2024年度政府采购限额标准以上的招投标项目5</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个，预算金额</w:t>
      </w:r>
      <w:r>
        <w:rPr>
          <w:rFonts w:hint="eastAsia" w:ascii="仿宋_GB2312" w:hAnsi="仿宋_GB2312" w:eastAsia="仿宋_GB2312" w:cs="仿宋_GB2312"/>
          <w:sz w:val="32"/>
          <w:szCs w:val="32"/>
          <w:lang w:val="en-US" w:eastAsia="zh-CN"/>
        </w:rPr>
        <w:t>17472</w:t>
      </w:r>
      <w:r>
        <w:rPr>
          <w:rFonts w:hint="eastAsia" w:ascii="仿宋_GB2312" w:hAnsi="仿宋_GB2312" w:eastAsia="仿宋_GB2312" w:cs="仿宋_GB2312"/>
          <w:sz w:val="32"/>
          <w:szCs w:val="32"/>
        </w:rPr>
        <w:t>万元，实际采购金额</w:t>
      </w:r>
      <w:r>
        <w:rPr>
          <w:rFonts w:hint="eastAsia" w:ascii="仿宋_GB2312" w:hAnsi="仿宋_GB2312" w:eastAsia="仿宋_GB2312" w:cs="仿宋_GB2312"/>
          <w:sz w:val="32"/>
          <w:szCs w:val="32"/>
          <w:lang w:val="en-US" w:eastAsia="zh-CN"/>
        </w:rPr>
        <w:t>16740</w:t>
      </w:r>
      <w:r>
        <w:rPr>
          <w:rFonts w:hint="eastAsia" w:ascii="仿宋_GB2312" w:hAnsi="仿宋_GB2312" w:eastAsia="仿宋_GB2312" w:cs="仿宋_GB2312"/>
          <w:sz w:val="32"/>
          <w:szCs w:val="32"/>
        </w:rPr>
        <w:t>万元。2024年度限额标准以下的采购项目交易订单数1</w:t>
      </w:r>
      <w:r>
        <w:rPr>
          <w:rFonts w:hint="eastAsia" w:ascii="仿宋_GB2312" w:hAnsi="仿宋_GB2312" w:eastAsia="仿宋_GB2312" w:cs="仿宋_GB2312"/>
          <w:sz w:val="32"/>
          <w:szCs w:val="32"/>
          <w:lang w:val="en-US" w:eastAsia="zh-CN"/>
        </w:rPr>
        <w:t>3560</w:t>
      </w:r>
      <w:r>
        <w:rPr>
          <w:rFonts w:hint="eastAsia" w:ascii="仿宋_GB2312" w:hAnsi="仿宋_GB2312" w:eastAsia="仿宋_GB2312" w:cs="仿宋_GB2312"/>
          <w:sz w:val="32"/>
          <w:szCs w:val="32"/>
        </w:rPr>
        <w:t>笔，交易额</w:t>
      </w:r>
      <w:r>
        <w:rPr>
          <w:rFonts w:hint="eastAsia" w:ascii="仿宋_GB2312" w:hAnsi="仿宋_GB2312" w:eastAsia="仿宋_GB2312" w:cs="仿宋_GB2312"/>
          <w:sz w:val="32"/>
          <w:szCs w:val="32"/>
          <w:lang w:val="en-US" w:eastAsia="zh-CN"/>
        </w:rPr>
        <w:t>34476</w:t>
      </w:r>
      <w:r>
        <w:rPr>
          <w:rFonts w:hint="eastAsia" w:ascii="仿宋_GB2312" w:hAnsi="仿宋_GB2312" w:eastAsia="仿宋_GB2312" w:cs="仿宋_GB2312"/>
          <w:sz w:val="32"/>
          <w:szCs w:val="32"/>
        </w:rPr>
        <w:t>万元。二是政府投资规范化。发展改革、财政部门会同相关行业主管部门做好政府投资项目的评估论证工作，重点论证项目实施的必要性、可行性、公益性、收益性、资金来源可靠性，对财政承受能力、资金平衡方案、能耗、对可能形成的重大风险隐患以及重大项目社会稳定风险隐患等进行评估。三是绩效评价系统化。聘请第三方中介机构开展2021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2024年上级重点建设项目资金的绩效评价工作，进一步加强专项资金管理，形成财政资金监管合力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扎实开展202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年财政重点绩效评价工作，完成</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个项目</w:t>
      </w:r>
      <w:r>
        <w:rPr>
          <w:rFonts w:hint="eastAsia" w:ascii="仿宋_GB2312" w:hAnsi="仿宋_GB2312" w:eastAsia="仿宋_GB2312" w:cs="仿宋_GB2312"/>
          <w:bCs/>
          <w:sz w:val="32"/>
          <w:szCs w:val="32"/>
          <w:highlight w:val="none"/>
        </w:rPr>
        <w:t>重点绩效评价</w:t>
      </w:r>
      <w:r>
        <w:rPr>
          <w:rFonts w:hint="eastAsia" w:ascii="仿宋_GB2312" w:hAnsi="仿宋_GB2312" w:eastAsia="仿宋_GB2312" w:cs="仿宋_GB2312"/>
          <w:bCs/>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准确掌握</w:t>
      </w:r>
      <w:r>
        <w:rPr>
          <w:rFonts w:hint="default" w:ascii="Times New Roman" w:hAnsi="Times New Roman" w:eastAsia="仿宋_GB2312" w:cs="Times New Roman"/>
          <w:color w:val="auto"/>
          <w:sz w:val="32"/>
          <w:szCs w:val="32"/>
          <w:highlight w:val="none"/>
          <w:lang w:val="en-US" w:eastAsia="zh-CN"/>
        </w:rPr>
        <w:t>财政政策效能</w:t>
      </w:r>
      <w:r>
        <w:rPr>
          <w:rFonts w:hint="eastAsia" w:ascii="Times New Roman" w:hAnsi="Times New Roman" w:eastAsia="仿宋_GB2312" w:cs="Times New Roman"/>
          <w:color w:val="auto"/>
          <w:sz w:val="32"/>
          <w:szCs w:val="32"/>
          <w:highlight w:val="none"/>
          <w:lang w:val="en-US" w:eastAsia="zh-CN"/>
        </w:rPr>
        <w:t>发挥及</w:t>
      </w:r>
      <w:r>
        <w:rPr>
          <w:rFonts w:hint="default" w:ascii="Times New Roman" w:hAnsi="Times New Roman" w:eastAsia="仿宋_GB2312" w:cs="Times New Roman"/>
          <w:color w:val="auto"/>
          <w:sz w:val="32"/>
          <w:szCs w:val="32"/>
          <w:highlight w:val="none"/>
          <w:lang w:val="en-US" w:eastAsia="zh-CN"/>
        </w:rPr>
        <w:t>资金使用效益</w:t>
      </w:r>
      <w:r>
        <w:rPr>
          <w:rFonts w:hint="eastAsia" w:ascii="Times New Roman" w:hAnsi="Times New Roman" w:eastAsia="仿宋_GB2312" w:cs="Times New Roman"/>
          <w:color w:val="auto"/>
          <w:sz w:val="32"/>
          <w:szCs w:val="32"/>
          <w:highlight w:val="none"/>
          <w:lang w:val="en-US" w:eastAsia="zh-CN"/>
        </w:rPr>
        <w:t>情况</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
          <w:bCs w:val="0"/>
          <w:sz w:val="32"/>
          <w:szCs w:val="32"/>
          <w:highlight w:val="none"/>
        </w:rPr>
        <w:t>四是财会监督常态化。</w:t>
      </w:r>
      <w:r>
        <w:rPr>
          <w:rFonts w:hint="eastAsia" w:ascii="仿宋_GB2312" w:hAnsi="仿宋_GB2312" w:eastAsia="仿宋_GB2312" w:cs="仿宋_GB2312"/>
          <w:bCs/>
          <w:sz w:val="32"/>
          <w:szCs w:val="32"/>
          <w:highlight w:val="none"/>
        </w:rPr>
        <w:t>扎实开展财会监督专项整治，组织全</w:t>
      </w:r>
      <w:r>
        <w:rPr>
          <w:rFonts w:hint="eastAsia" w:ascii="仿宋_GB2312" w:hAnsi="仿宋_GB2312" w:eastAsia="仿宋_GB2312" w:cs="仿宋_GB2312"/>
          <w:bCs/>
          <w:sz w:val="32"/>
          <w:szCs w:val="32"/>
          <w:highlight w:val="none"/>
          <w:lang w:eastAsia="zh-CN"/>
        </w:rPr>
        <w:t>区惠民惠农补贴资金发放、专项资金领域</w:t>
      </w:r>
      <w:r>
        <w:rPr>
          <w:rFonts w:hint="eastAsia" w:ascii="仿宋_GB2312" w:hAnsi="仿宋_GB2312" w:eastAsia="仿宋_GB2312" w:cs="仿宋_GB2312"/>
          <w:bCs/>
          <w:sz w:val="32"/>
          <w:szCs w:val="32"/>
          <w:highlight w:val="none"/>
          <w:lang w:val="en-US" w:eastAsia="zh-CN"/>
        </w:rPr>
        <w:t>11</w:t>
      </w:r>
      <w:r>
        <w:rPr>
          <w:rFonts w:hint="eastAsia" w:ascii="仿宋_GB2312" w:hAnsi="仿宋_GB2312" w:eastAsia="仿宋_GB2312" w:cs="仿宋_GB2312"/>
          <w:bCs/>
          <w:sz w:val="32"/>
          <w:szCs w:val="32"/>
          <w:highlight w:val="none"/>
          <w:lang w:eastAsia="zh-CN"/>
        </w:rPr>
        <w:t>项重点资金、违规出台财税优惠政策招商引资问题、高标准农田建设资金使用管理问题、保障性安居工程资金使用管理问题</w:t>
      </w:r>
      <w:r>
        <w:rPr>
          <w:rFonts w:hint="eastAsia" w:ascii="仿宋_GB2312" w:hAnsi="仿宋_GB2312" w:eastAsia="仿宋_GB2312" w:cs="仿宋_GB2312"/>
          <w:bCs/>
          <w:sz w:val="32"/>
          <w:szCs w:val="32"/>
          <w:highlight w:val="none"/>
          <w:lang w:val="en-US" w:eastAsia="zh-CN"/>
        </w:rPr>
        <w:t>3</w:t>
      </w:r>
      <w:r>
        <w:rPr>
          <w:rFonts w:hint="eastAsia" w:ascii="仿宋_GB2312" w:hAnsi="仿宋_GB2312" w:eastAsia="仿宋_GB2312" w:cs="仿宋_GB2312"/>
          <w:bCs/>
          <w:sz w:val="32"/>
          <w:szCs w:val="32"/>
          <w:highlight w:val="none"/>
          <w:lang w:eastAsia="zh-CN"/>
        </w:rPr>
        <w:t>个重点资金</w:t>
      </w:r>
      <w:r>
        <w:rPr>
          <w:rFonts w:hint="eastAsia" w:ascii="仿宋_GB2312" w:hAnsi="仿宋_GB2312" w:eastAsia="仿宋_GB2312" w:cs="仿宋_GB2312"/>
          <w:bCs/>
          <w:sz w:val="32"/>
          <w:szCs w:val="32"/>
          <w:highlight w:val="none"/>
        </w:rPr>
        <w:t>等</w:t>
      </w:r>
      <w:r>
        <w:rPr>
          <w:rFonts w:hint="eastAsia" w:ascii="仿宋_GB2312" w:hAnsi="仿宋_GB2312" w:eastAsia="仿宋_GB2312" w:cs="仿宋_GB2312"/>
          <w:bCs/>
          <w:sz w:val="32"/>
          <w:szCs w:val="32"/>
          <w:highlight w:val="none"/>
          <w:lang w:eastAsia="zh-CN"/>
        </w:rPr>
        <w:t>多</w:t>
      </w:r>
      <w:r>
        <w:rPr>
          <w:rFonts w:hint="eastAsia" w:ascii="仿宋_GB2312" w:hAnsi="仿宋_GB2312" w:eastAsia="仿宋_GB2312" w:cs="仿宋_GB2312"/>
          <w:bCs/>
          <w:sz w:val="32"/>
          <w:szCs w:val="32"/>
          <w:highlight w:val="none"/>
        </w:rPr>
        <w:t>个方面财经纪律重点问题全面开展自查和复查，不断提高财政资金使用质效。</w:t>
      </w:r>
    </w:p>
    <w:p>
      <w:pPr>
        <w:keepNext w:val="0"/>
        <w:keepLines w:val="0"/>
        <w:pageBreakBefore w:val="0"/>
        <w:widowControl/>
        <w:kinsoku/>
        <w:wordWrap/>
        <w:overflowPunct/>
        <w:topLinePunct w:val="0"/>
        <w:autoSpaceDE/>
        <w:autoSpaceDN w:val="0"/>
        <w:bidi w:val="0"/>
        <w:spacing w:line="560" w:lineRule="exact"/>
        <w:ind w:left="0" w:leftChars="0" w:right="0" w:rightChars="0" w:firstLine="643" w:firstLineChars="200"/>
        <w:textAlignment w:val="auto"/>
        <w:outlineLvl w:val="9"/>
        <w:rPr>
          <w:rFonts w:hint="eastAsia" w:ascii="楷体_GB2312" w:hAnsi="Times New Roman" w:eastAsia="楷体_GB2312" w:cs="Times New Roman"/>
          <w:b/>
          <w:kern w:val="2"/>
          <w:sz w:val="32"/>
          <w:szCs w:val="32"/>
          <w:lang w:val="en-US" w:eastAsia="zh-CN" w:bidi="ar-SA"/>
        </w:rPr>
      </w:pPr>
      <w:r>
        <w:rPr>
          <w:rFonts w:hint="eastAsia" w:ascii="楷体_GB2312" w:hAnsi="Times New Roman" w:eastAsia="楷体_GB2312" w:cs="Times New Roman"/>
          <w:b/>
          <w:kern w:val="2"/>
          <w:sz w:val="32"/>
          <w:szCs w:val="32"/>
          <w:lang w:val="en-US" w:eastAsia="zh-CN" w:bidi="ar-SA"/>
        </w:rPr>
        <w:t>（二）未实现既定绩效目标或未完成指标任务的分析说明</w:t>
      </w:r>
    </w:p>
    <w:p>
      <w:pPr>
        <w:keepNext w:val="0"/>
        <w:keepLines w:val="0"/>
        <w:pageBreakBefore w:val="0"/>
        <w:widowControl/>
        <w:kinsoku/>
        <w:wordWrap/>
        <w:overflowPunct/>
        <w:topLinePunct w:val="0"/>
        <w:autoSpaceDE/>
        <w:autoSpaceDN w:val="0"/>
        <w:bidi w:val="0"/>
        <w:spacing w:line="560" w:lineRule="exact"/>
        <w:ind w:left="0" w:leftChars="0" w:right="0" w:rightChars="0" w:firstLine="600" w:firstLineChars="200"/>
        <w:textAlignment w:val="auto"/>
        <w:outlineLvl w:val="9"/>
        <w:rPr>
          <w:rFonts w:hint="eastAsia" w:ascii="楷体_GB2312" w:hAnsi="Times New Roman" w:eastAsia="楷体_GB2312" w:cs="Times New Roman"/>
          <w:b/>
          <w:kern w:val="2"/>
          <w:sz w:val="32"/>
          <w:szCs w:val="32"/>
          <w:lang w:val="en-US" w:eastAsia="zh-CN" w:bidi="ar-SA"/>
        </w:rPr>
      </w:pPr>
      <w:r>
        <w:rPr>
          <w:rFonts w:hint="eastAsia" w:ascii="仿宋" w:hAnsi="仿宋" w:eastAsia="仿宋" w:cs="仿宋"/>
          <w:sz w:val="30"/>
          <w:szCs w:val="30"/>
        </w:rPr>
        <w:t>无</w:t>
      </w:r>
    </w:p>
    <w:p>
      <w:pPr>
        <w:keepNext w:val="0"/>
        <w:keepLines w:val="0"/>
        <w:pageBreakBefore w:val="0"/>
        <w:widowControl/>
        <w:kinsoku/>
        <w:wordWrap/>
        <w:overflowPunct/>
        <w:topLinePunct w:val="0"/>
        <w:autoSpaceDE/>
        <w:autoSpaceDN w:val="0"/>
        <w:bidi w:val="0"/>
        <w:spacing w:line="560" w:lineRule="exact"/>
        <w:ind w:left="0" w:leftChars="0" w:right="0" w:rightChars="0" w:firstLine="643" w:firstLineChars="200"/>
        <w:textAlignment w:val="auto"/>
        <w:outlineLvl w:val="9"/>
        <w:rPr>
          <w:rFonts w:hint="eastAsia" w:ascii="楷体_GB2312" w:hAnsi="Times New Roman" w:eastAsia="楷体_GB2312" w:cs="Times New Roman"/>
          <w:b/>
          <w:kern w:val="2"/>
          <w:sz w:val="32"/>
          <w:szCs w:val="32"/>
          <w:lang w:val="en-US" w:eastAsia="zh-CN" w:bidi="ar-SA"/>
        </w:rPr>
      </w:pPr>
      <w:r>
        <w:rPr>
          <w:rFonts w:hint="eastAsia" w:ascii="楷体_GB2312" w:hAnsi="Times New Roman" w:eastAsia="楷体_GB2312" w:cs="Times New Roman"/>
          <w:b/>
          <w:kern w:val="2"/>
          <w:sz w:val="32"/>
          <w:szCs w:val="32"/>
          <w:lang w:val="en-US" w:eastAsia="zh-CN" w:bidi="ar-SA"/>
        </w:rPr>
        <w:t>（三）单位职责、单位整体及核心业务实施效果</w:t>
      </w:r>
    </w:p>
    <w:p>
      <w:pPr>
        <w:spacing w:line="520" w:lineRule="exact"/>
        <w:ind w:right="317" w:firstLine="640" w:firstLineChars="200"/>
        <w:rPr>
          <w:rFonts w:hint="default"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val="en-US" w:eastAsia="zh-CN"/>
        </w:rPr>
        <w:t>1、组织贯彻执行国家财税方针政策，拟订和执行全区财政政策、改革方案，指导全区财政工作；分析预测宏观经济形势，参与制定各项宏观经济政策；提出运用财税政策实施宏观调控和综合平衡社会财力的建议；拟订财政管理体制。</w:t>
      </w:r>
    </w:p>
    <w:p>
      <w:pPr>
        <w:spacing w:line="520" w:lineRule="exact"/>
        <w:ind w:right="317" w:firstLine="640" w:firstLineChars="200"/>
        <w:rPr>
          <w:rFonts w:hint="default"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val="en-US" w:eastAsia="zh-CN"/>
        </w:rPr>
        <w:t>2、制定和执行财政、财务、会计管理、国有资产管理的规章制度。</w:t>
      </w:r>
    </w:p>
    <w:p>
      <w:pPr>
        <w:spacing w:line="520" w:lineRule="exact"/>
        <w:ind w:right="317" w:firstLine="640" w:firstLineChars="200"/>
        <w:rPr>
          <w:rFonts w:hint="default"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val="en-US" w:eastAsia="zh-CN"/>
        </w:rPr>
        <w:t>3、承担区本级各项财政收支管理的责任。负责编制年度区本级预决算草案并组织执行。代编全区财政收支预算，汇总全区财政总决算；受区人民政府委托，向区人民代表大会报告区本级、全区预算及其执行情况，向区人大常委会报告决算。组织制订区本级经费开支标准、定额，负责审核批复部门(单位)的年度预决算。</w:t>
      </w:r>
    </w:p>
    <w:p>
      <w:pPr>
        <w:spacing w:line="520" w:lineRule="exact"/>
        <w:ind w:right="317" w:firstLine="640" w:firstLineChars="200"/>
        <w:rPr>
          <w:rFonts w:hint="default"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val="en-US" w:eastAsia="zh-CN"/>
        </w:rPr>
        <w:t>4、负责政府非税收入管理，负责政府性基金管理，按规定管理行政事业性收费。管理财政票据。</w:t>
      </w:r>
    </w:p>
    <w:p>
      <w:pPr>
        <w:spacing w:line="520" w:lineRule="exact"/>
        <w:ind w:right="317" w:firstLine="640" w:firstLineChars="200"/>
        <w:rPr>
          <w:rFonts w:hint="default"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val="en-US" w:eastAsia="zh-CN"/>
        </w:rPr>
        <w:t>5、组织制定国库管理制度、国库集中收付制度，指导和监督区本级国库业务，按规定开展国库现金管理工作。负责制定政府采购制度并监督管理。</w:t>
      </w:r>
    </w:p>
    <w:p>
      <w:pPr>
        <w:spacing w:line="520" w:lineRule="exact"/>
        <w:ind w:right="317" w:firstLine="640" w:firstLineChars="200"/>
        <w:rPr>
          <w:rFonts w:hint="default"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val="en-US" w:eastAsia="zh-CN"/>
        </w:rPr>
        <w:t>6、贯彻执行国家税收法律、行政法规和税收调整政策，反馈政策执行情况，提出调整建议。按规定承担省厅、市局下达的地方关税管理调研的有关工作。</w:t>
      </w:r>
    </w:p>
    <w:p>
      <w:pPr>
        <w:spacing w:line="520" w:lineRule="exact"/>
        <w:ind w:right="317" w:firstLine="640" w:firstLineChars="200"/>
        <w:rPr>
          <w:rFonts w:hint="default"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val="en-US" w:eastAsia="zh-CN"/>
        </w:rPr>
        <w:t>7、负责制定全区行政事业单位国有资产管理规章制度，按规定管理行政事业单位国有资产，制定需要全区统一规定的开支标准和支出政策，负责财政预算内行政、事业单位和社会团体的非贸易外汇管理。</w:t>
      </w:r>
    </w:p>
    <w:p>
      <w:pPr>
        <w:spacing w:line="520" w:lineRule="exact"/>
        <w:ind w:right="317" w:firstLine="640" w:firstLineChars="200"/>
        <w:rPr>
          <w:rFonts w:hint="default"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val="en-US" w:eastAsia="zh-CN"/>
        </w:rPr>
        <w:t>8、负责审核和汇总编制全区国有资本经营预决算草案，制定国有资本经营预算的制度和办法，收取区本级企业国有资本收益，组织实施企业财务制度，按规定管理地方金融类企业国有资产，参与拟订企业国有资产管理相关制度，负责行政事业单位国有资产管理及资产评估工作。</w:t>
      </w:r>
    </w:p>
    <w:p>
      <w:pPr>
        <w:spacing w:line="520" w:lineRule="exact"/>
        <w:ind w:right="317" w:firstLine="640" w:firstLineChars="200"/>
        <w:rPr>
          <w:rFonts w:hint="default"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val="en-US" w:eastAsia="zh-CN"/>
        </w:rPr>
        <w:t>9、负责办理和监督区财政经济发展支出、区级政府性投资项目的财政拨款，参与拟订区建设投资的有关政策，组织实施基本建设财务制度，负责有关政策性补贴和专项储备资金财政管理工作。</w:t>
      </w:r>
    </w:p>
    <w:p>
      <w:pPr>
        <w:spacing w:line="520" w:lineRule="exact"/>
        <w:ind w:right="317" w:firstLine="640" w:firstLineChars="200"/>
        <w:rPr>
          <w:rFonts w:hint="default"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val="en-US" w:eastAsia="zh-CN"/>
        </w:rPr>
        <w:t>10、会同有关部门管理区财政社会保障和就业及医疗卫生、低保、优抚社救等支出，组织实施社会保障资金 (基金)的财务管理制度，编制区社会保障预决算草案。</w:t>
      </w:r>
    </w:p>
    <w:p>
      <w:pPr>
        <w:spacing w:line="520" w:lineRule="exact"/>
        <w:ind w:right="317" w:firstLine="640" w:firstLineChars="200"/>
        <w:rPr>
          <w:rFonts w:hint="default"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val="en-US" w:eastAsia="zh-CN"/>
        </w:rPr>
        <w:t>11、贯彻执行政府内外债务管理的政策、制度和办法，防范财政风险。负责统一管理区政府外债，制定基本管理制度。按规定管理外国政府和国际金融组织贷 ( 赠 ) 款。承担财税领域交流与合作的具体工作。</w:t>
      </w:r>
    </w:p>
    <w:p>
      <w:pPr>
        <w:spacing w:line="520" w:lineRule="exact"/>
        <w:ind w:right="317" w:firstLine="640" w:firstLineChars="200"/>
        <w:rPr>
          <w:rFonts w:hint="default"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val="en-US" w:eastAsia="zh-CN"/>
        </w:rPr>
        <w:t>12、负责管理全区的会计工作，监督和规范会计行为，组织实施国家统一的会计制度，在全区组织实施会计行政法规规章，指导和管理社会审计。</w:t>
      </w:r>
    </w:p>
    <w:p>
      <w:pPr>
        <w:spacing w:line="520" w:lineRule="exact"/>
        <w:ind w:right="317" w:firstLine="640" w:firstLineChars="200"/>
        <w:rPr>
          <w:rFonts w:hint="default"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val="en-US" w:eastAsia="zh-CN"/>
        </w:rPr>
        <w:t>13、监督检查财税法规、政策的执行情况，反映财政收支管理中的重大问题，提出加强财政管理的政策和建议。</w:t>
      </w:r>
    </w:p>
    <w:p>
      <w:pPr>
        <w:spacing w:line="520" w:lineRule="exact"/>
        <w:ind w:right="317" w:firstLine="640" w:firstLineChars="200"/>
        <w:rPr>
          <w:rFonts w:hint="default" w:ascii="Tahoma" w:hAnsi="Tahoma" w:eastAsia="Tahoma" w:cs="Tahoma"/>
          <w:i w:val="0"/>
          <w:iCs w:val="0"/>
          <w:caps w:val="0"/>
          <w:color w:val="000000"/>
          <w:spacing w:val="0"/>
          <w:sz w:val="18"/>
          <w:szCs w:val="18"/>
        </w:rPr>
      </w:pPr>
      <w:r>
        <w:rPr>
          <w:rFonts w:hint="eastAsia" w:ascii="仿宋_GB2312" w:hAnsi="仿宋_GB2312" w:eastAsia="仿宋_GB2312" w:cs="仿宋_GB2312"/>
          <w:bCs/>
          <w:sz w:val="32"/>
          <w:szCs w:val="32"/>
          <w:highlight w:val="none"/>
          <w:lang w:val="en-US" w:eastAsia="zh-CN"/>
        </w:rPr>
        <w:t>14、承办区委、区人民政府交办的其他事项。</w:t>
      </w:r>
    </w:p>
    <w:p>
      <w:pPr>
        <w:keepNext w:val="0"/>
        <w:keepLines w:val="0"/>
        <w:pageBreakBefore w:val="0"/>
        <w:widowControl/>
        <w:kinsoku/>
        <w:wordWrap/>
        <w:overflowPunct/>
        <w:topLinePunct w:val="0"/>
        <w:autoSpaceDE/>
        <w:autoSpaceDN w:val="0"/>
        <w:bidi w:val="0"/>
        <w:spacing w:line="560" w:lineRule="exact"/>
        <w:ind w:left="0" w:leftChars="0" w:right="0" w:rightChars="0" w:firstLine="643" w:firstLineChars="200"/>
        <w:textAlignment w:val="auto"/>
        <w:outlineLvl w:val="9"/>
        <w:rPr>
          <w:rFonts w:hint="eastAsia" w:ascii="楷体_GB2312" w:hAnsi="Times New Roman" w:eastAsia="楷体_GB2312" w:cs="Times New Roman"/>
          <w:b/>
          <w:kern w:val="2"/>
          <w:sz w:val="32"/>
          <w:szCs w:val="32"/>
          <w:lang w:val="en-US" w:eastAsia="zh-CN" w:bidi="ar-SA"/>
        </w:rPr>
      </w:pPr>
      <w:r>
        <w:rPr>
          <w:rFonts w:hint="eastAsia" w:ascii="楷体_GB2312" w:hAnsi="Times New Roman" w:eastAsia="楷体_GB2312" w:cs="Times New Roman"/>
          <w:b/>
          <w:kern w:val="2"/>
          <w:sz w:val="32"/>
          <w:szCs w:val="32"/>
          <w:lang w:val="en-US" w:eastAsia="zh-CN" w:bidi="ar-SA"/>
        </w:rPr>
        <w:t>核心业务实施效果：</w:t>
      </w:r>
    </w:p>
    <w:p>
      <w:pPr>
        <w:spacing w:line="520" w:lineRule="exact"/>
        <w:ind w:right="317"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2024年资阳区地方一般公共预算收入完成1024</w:t>
      </w:r>
      <w:r>
        <w:rPr>
          <w:rFonts w:hint="eastAsia" w:ascii="仿宋_GB2312" w:eastAsia="仿宋_GB2312" w:cs="Times New Roman"/>
          <w:sz w:val="32"/>
          <w:szCs w:val="32"/>
          <w:lang w:val="en-US" w:eastAsia="zh-CN"/>
        </w:rPr>
        <w:t>98</w:t>
      </w:r>
      <w:r>
        <w:rPr>
          <w:rFonts w:hint="eastAsia" w:ascii="仿宋_GB2312" w:hAnsi="Calibri" w:eastAsia="仿宋_GB2312" w:cs="Times New Roman"/>
          <w:sz w:val="32"/>
          <w:szCs w:val="32"/>
        </w:rPr>
        <w:t>万元（含上划市级），</w:t>
      </w:r>
      <w:r>
        <w:rPr>
          <w:rFonts w:hint="eastAsia" w:ascii="仿宋_GB2312" w:eastAsia="仿宋_GB2312" w:cs="Times New Roman"/>
          <w:sz w:val="32"/>
          <w:szCs w:val="32"/>
          <w:lang w:eastAsia="zh-CN"/>
        </w:rPr>
        <w:t>首次突破10亿元大关</w:t>
      </w:r>
      <w:r>
        <w:rPr>
          <w:rFonts w:hint="eastAsia" w:ascii="仿宋_GB2312" w:eastAsia="仿宋_GB2312" w:cs="Times New Roman"/>
          <w:sz w:val="32"/>
          <w:szCs w:val="32"/>
          <w:lang w:val="en-US" w:eastAsia="zh-CN"/>
        </w:rPr>
        <w:t>，</w:t>
      </w:r>
      <w:r>
        <w:rPr>
          <w:rFonts w:hint="eastAsia" w:ascii="仿宋_GB2312" w:hAnsi="Calibri" w:eastAsia="仿宋_GB2312" w:cs="Times New Roman"/>
          <w:sz w:val="32"/>
          <w:szCs w:val="32"/>
        </w:rPr>
        <w:t>比上年同期增加14</w:t>
      </w:r>
      <w:r>
        <w:rPr>
          <w:rFonts w:hint="eastAsia" w:ascii="仿宋_GB2312" w:eastAsia="仿宋_GB2312" w:cs="Times New Roman"/>
          <w:sz w:val="32"/>
          <w:szCs w:val="32"/>
          <w:lang w:val="en-US" w:eastAsia="zh-CN"/>
        </w:rPr>
        <w:t>113</w:t>
      </w:r>
      <w:r>
        <w:rPr>
          <w:rFonts w:hint="eastAsia" w:ascii="仿宋_GB2312" w:hAnsi="Calibri" w:eastAsia="仿宋_GB2312" w:cs="Times New Roman"/>
          <w:sz w:val="32"/>
          <w:szCs w:val="32"/>
        </w:rPr>
        <w:t>万元，增长15.9</w:t>
      </w:r>
      <w:r>
        <w:rPr>
          <w:rFonts w:hint="eastAsia" w:ascii="仿宋_GB2312" w:eastAsia="仿宋_GB2312" w:cs="Times New Roman"/>
          <w:sz w:val="32"/>
          <w:szCs w:val="32"/>
          <w:lang w:val="en-US" w:eastAsia="zh-CN"/>
        </w:rPr>
        <w:t>7</w:t>
      </w:r>
      <w:r>
        <w:rPr>
          <w:rFonts w:hint="eastAsia" w:ascii="仿宋_GB2312" w:hAnsi="Calibri" w:eastAsia="仿宋_GB2312" w:cs="Times New Roman"/>
          <w:sz w:val="32"/>
          <w:szCs w:val="32"/>
        </w:rPr>
        <w:t>%。税收收入完成681</w:t>
      </w:r>
      <w:r>
        <w:rPr>
          <w:rFonts w:hint="eastAsia" w:ascii="仿宋_GB2312" w:eastAsia="仿宋_GB2312" w:cs="Times New Roman"/>
          <w:sz w:val="32"/>
          <w:szCs w:val="32"/>
          <w:lang w:val="en-US" w:eastAsia="zh-CN"/>
        </w:rPr>
        <w:t>68</w:t>
      </w:r>
      <w:r>
        <w:rPr>
          <w:rFonts w:hint="eastAsia" w:ascii="仿宋_GB2312" w:hAnsi="Calibri" w:eastAsia="仿宋_GB2312" w:cs="Times New Roman"/>
          <w:sz w:val="32"/>
          <w:szCs w:val="32"/>
        </w:rPr>
        <w:t>万元，比上年同期增加3</w:t>
      </w:r>
      <w:r>
        <w:rPr>
          <w:rFonts w:hint="eastAsia" w:ascii="仿宋_GB2312" w:eastAsia="仿宋_GB2312" w:cs="Times New Roman"/>
          <w:sz w:val="32"/>
          <w:szCs w:val="32"/>
          <w:lang w:val="en-US" w:eastAsia="zh-CN"/>
        </w:rPr>
        <w:t>403</w:t>
      </w:r>
      <w:r>
        <w:rPr>
          <w:rFonts w:hint="eastAsia" w:ascii="仿宋_GB2312" w:hAnsi="Calibri" w:eastAsia="仿宋_GB2312" w:cs="Times New Roman"/>
          <w:sz w:val="32"/>
          <w:szCs w:val="32"/>
        </w:rPr>
        <w:t>万元，增长5.</w:t>
      </w:r>
      <w:r>
        <w:rPr>
          <w:rFonts w:hint="eastAsia" w:ascii="仿宋_GB2312" w:eastAsia="仿宋_GB2312" w:cs="Times New Roman"/>
          <w:sz w:val="32"/>
          <w:szCs w:val="32"/>
          <w:lang w:val="en-US" w:eastAsia="zh-CN"/>
        </w:rPr>
        <w:t>25</w:t>
      </w:r>
      <w:r>
        <w:rPr>
          <w:rFonts w:hint="eastAsia" w:ascii="仿宋_GB2312" w:hAnsi="Calibri" w:eastAsia="仿宋_GB2312" w:cs="Times New Roman"/>
          <w:sz w:val="32"/>
          <w:szCs w:val="32"/>
        </w:rPr>
        <w:t>%；非税收入完成343</w:t>
      </w:r>
      <w:r>
        <w:rPr>
          <w:rFonts w:hint="eastAsia" w:ascii="仿宋_GB2312" w:eastAsia="仿宋_GB2312" w:cs="Times New Roman"/>
          <w:sz w:val="32"/>
          <w:szCs w:val="32"/>
          <w:lang w:val="en-US" w:eastAsia="zh-CN"/>
        </w:rPr>
        <w:t>30</w:t>
      </w:r>
      <w:r>
        <w:rPr>
          <w:rFonts w:hint="eastAsia" w:ascii="仿宋_GB2312" w:hAnsi="Calibri" w:eastAsia="仿宋_GB2312" w:cs="Times New Roman"/>
          <w:sz w:val="32"/>
          <w:szCs w:val="32"/>
        </w:rPr>
        <w:t>万元，比上年同期增加</w:t>
      </w:r>
      <w:r>
        <w:rPr>
          <w:rFonts w:hint="eastAsia" w:ascii="仿宋_GB2312" w:eastAsia="仿宋_GB2312" w:cs="Times New Roman"/>
          <w:sz w:val="32"/>
          <w:szCs w:val="32"/>
          <w:lang w:val="en-US" w:eastAsia="zh-CN"/>
        </w:rPr>
        <w:t>10710</w:t>
      </w:r>
      <w:r>
        <w:rPr>
          <w:rFonts w:hint="eastAsia" w:ascii="仿宋_GB2312" w:hAnsi="Calibri" w:eastAsia="仿宋_GB2312" w:cs="Times New Roman"/>
          <w:sz w:val="32"/>
          <w:szCs w:val="32"/>
        </w:rPr>
        <w:t>万元，增长45.3</w:t>
      </w:r>
      <w:r>
        <w:rPr>
          <w:rFonts w:hint="eastAsia" w:ascii="仿宋_GB2312" w:eastAsia="仿宋_GB2312" w:cs="Times New Roman"/>
          <w:sz w:val="32"/>
          <w:szCs w:val="32"/>
          <w:lang w:val="en-US" w:eastAsia="zh-CN"/>
        </w:rPr>
        <w:t>4</w:t>
      </w:r>
      <w:r>
        <w:rPr>
          <w:rFonts w:hint="eastAsia" w:ascii="仿宋_GB2312" w:hAnsi="Calibri" w:eastAsia="仿宋_GB2312" w:cs="Times New Roman"/>
          <w:sz w:val="32"/>
          <w:szCs w:val="32"/>
        </w:rPr>
        <w:t>%。全年财政总支出</w:t>
      </w:r>
      <w:r>
        <w:rPr>
          <w:rFonts w:hint="eastAsia" w:ascii="仿宋_GB2312" w:eastAsia="仿宋_GB2312" w:cs="Times New Roman"/>
          <w:sz w:val="32"/>
          <w:szCs w:val="32"/>
          <w:lang w:val="en-US" w:eastAsia="zh-CN"/>
        </w:rPr>
        <w:t>329339</w:t>
      </w:r>
      <w:r>
        <w:rPr>
          <w:rFonts w:hint="eastAsia" w:ascii="仿宋_GB2312" w:hAnsi="Calibri" w:eastAsia="仿宋_GB2312" w:cs="Times New Roman"/>
          <w:sz w:val="32"/>
          <w:szCs w:val="32"/>
        </w:rPr>
        <w:t>万元</w:t>
      </w:r>
      <w:r>
        <w:rPr>
          <w:rFonts w:hint="eastAsia" w:ascii="仿宋_GB2312" w:eastAsia="仿宋_GB2312" w:cs="Times New Roman"/>
          <w:sz w:val="32"/>
          <w:szCs w:val="32"/>
          <w:lang w:eastAsia="zh-CN"/>
        </w:rPr>
        <w:t>，</w:t>
      </w:r>
      <w:r>
        <w:rPr>
          <w:rFonts w:hint="eastAsia" w:ascii="仿宋_GB2312" w:hAnsi="Calibri" w:eastAsia="仿宋_GB2312" w:cs="Times New Roman"/>
          <w:sz w:val="32"/>
          <w:szCs w:val="32"/>
        </w:rPr>
        <w:t>财政预算执行情况良好。</w:t>
      </w:r>
    </w:p>
    <w:p>
      <w:pPr>
        <w:keepNext w:val="0"/>
        <w:keepLines w:val="0"/>
        <w:pageBreakBefore w:val="0"/>
        <w:widowControl/>
        <w:kinsoku/>
        <w:wordWrap/>
        <w:overflowPunct/>
        <w:topLinePunct w:val="0"/>
        <w:autoSpaceDE/>
        <w:autoSpaceDN w:val="0"/>
        <w:bidi w:val="0"/>
        <w:spacing w:line="560" w:lineRule="exact"/>
        <w:ind w:left="0" w:leftChars="0" w:right="0" w:rightChars="0" w:firstLine="643" w:firstLineChars="200"/>
        <w:textAlignment w:val="auto"/>
        <w:outlineLvl w:val="9"/>
        <w:rPr>
          <w:rFonts w:hint="eastAsia" w:ascii="楷体_GB2312" w:hAnsi="Times New Roman" w:eastAsia="楷体_GB2312" w:cs="Times New Roman"/>
          <w:b/>
          <w:kern w:val="2"/>
          <w:sz w:val="32"/>
          <w:szCs w:val="32"/>
          <w:lang w:val="en-US" w:eastAsia="zh-CN" w:bidi="ar-SA"/>
        </w:rPr>
      </w:pPr>
      <w:r>
        <w:rPr>
          <w:rFonts w:hint="eastAsia" w:ascii="楷体_GB2312" w:hAnsi="Times New Roman" w:eastAsia="楷体_GB2312" w:cs="Times New Roman"/>
          <w:b/>
          <w:kern w:val="2"/>
          <w:sz w:val="32"/>
          <w:szCs w:val="32"/>
          <w:lang w:val="en-US" w:eastAsia="zh-CN" w:bidi="ar-SA"/>
        </w:rPr>
        <w:t>（四）加强部门整体支出绩效管理的举措</w:t>
      </w:r>
    </w:p>
    <w:p>
      <w:pPr>
        <w:spacing w:line="520" w:lineRule="exact"/>
        <w:ind w:right="317" w:firstLine="643" w:firstLineChars="200"/>
        <w:rPr>
          <w:rFonts w:hint="eastAsia" w:ascii="仿宋_GB2312" w:hAnsi="Calibri" w:eastAsia="仿宋_GB2312" w:cs="Times New Roman"/>
          <w:sz w:val="32"/>
          <w:szCs w:val="32"/>
        </w:rPr>
      </w:pPr>
      <w:r>
        <w:rPr>
          <w:rFonts w:hint="eastAsia" w:ascii="仿宋_GB2312" w:hAnsi="Calibri" w:eastAsia="仿宋_GB2312" w:cs="Times New Roman"/>
          <w:b/>
          <w:bCs/>
          <w:sz w:val="32"/>
          <w:szCs w:val="32"/>
        </w:rPr>
        <w:t>一是</w:t>
      </w:r>
      <w:r>
        <w:rPr>
          <w:rFonts w:hint="eastAsia" w:ascii="仿宋_GB2312" w:hAnsi="Calibri" w:eastAsia="仿宋_GB2312" w:cs="Times New Roman"/>
          <w:sz w:val="32"/>
          <w:szCs w:val="32"/>
        </w:rPr>
        <w:t>完善绩效目标管理。坚持科学设定目标，结合项目职能和工作计划，制定清晰、可量化的绩效目标，做到“量入为出”，确保目标与预算资金规模、政策方向相匹配。</w:t>
      </w:r>
    </w:p>
    <w:p>
      <w:pPr>
        <w:spacing w:line="520" w:lineRule="exact"/>
        <w:ind w:right="317" w:firstLine="643" w:firstLineChars="200"/>
        <w:rPr>
          <w:rFonts w:hint="eastAsia" w:ascii="仿宋_GB2312" w:hAnsi="Calibri" w:eastAsia="仿宋_GB2312" w:cs="Times New Roman"/>
          <w:sz w:val="32"/>
          <w:szCs w:val="32"/>
        </w:rPr>
      </w:pPr>
      <w:r>
        <w:rPr>
          <w:rFonts w:hint="eastAsia" w:ascii="仿宋_GB2312" w:hAnsi="Calibri" w:eastAsia="仿宋_GB2312" w:cs="Times New Roman"/>
          <w:b/>
          <w:bCs/>
          <w:sz w:val="32"/>
          <w:szCs w:val="32"/>
        </w:rPr>
        <w:t>二是</w:t>
      </w:r>
      <w:r>
        <w:rPr>
          <w:rFonts w:hint="eastAsia" w:ascii="仿宋_GB2312" w:hAnsi="Calibri" w:eastAsia="仿宋_GB2312" w:cs="Times New Roman"/>
          <w:sz w:val="32"/>
          <w:szCs w:val="32"/>
        </w:rPr>
        <w:t>加强预算执行过程监督。定期分析资金使用进度与绩效目标完成情况，实时监督资金流向，提高透明度。</w:t>
      </w:r>
    </w:p>
    <w:p>
      <w:pPr>
        <w:spacing w:line="520" w:lineRule="exact"/>
        <w:ind w:right="317" w:firstLine="643" w:firstLineChars="200"/>
        <w:rPr>
          <w:rFonts w:hint="eastAsia" w:ascii="仿宋_GB2312" w:hAnsi="Calibri" w:eastAsia="仿宋_GB2312" w:cs="Times New Roman"/>
          <w:sz w:val="32"/>
          <w:szCs w:val="32"/>
        </w:rPr>
      </w:pPr>
      <w:r>
        <w:rPr>
          <w:rFonts w:hint="eastAsia" w:ascii="仿宋_GB2312" w:hAnsi="Calibri" w:eastAsia="仿宋_GB2312" w:cs="Times New Roman"/>
          <w:b/>
          <w:bCs/>
          <w:sz w:val="32"/>
          <w:szCs w:val="32"/>
        </w:rPr>
        <w:t>三是</w:t>
      </w:r>
      <w:r>
        <w:rPr>
          <w:rFonts w:hint="eastAsia" w:ascii="仿宋_GB2312" w:hAnsi="Calibri" w:eastAsia="仿宋_GB2312" w:cs="Times New Roman"/>
          <w:sz w:val="32"/>
          <w:szCs w:val="32"/>
        </w:rPr>
        <w:t>健全绩效评价体系。严格按照既定指标进行多维度评价，以产出指标、效益指标、满意指标、成本指标四大一级指标为基础，结合实际情况，对资金使用的产出效果、社会效益、群众干部满意程度、成本效益进行评分。</w:t>
      </w:r>
    </w:p>
    <w:p>
      <w:pPr>
        <w:keepNext w:val="0"/>
        <w:keepLines w:val="0"/>
        <w:pageBreakBefore w:val="0"/>
        <w:widowControl/>
        <w:numPr>
          <w:ilvl w:val="0"/>
          <w:numId w:val="1"/>
        </w:numPr>
        <w:kinsoku/>
        <w:wordWrap/>
        <w:overflowPunct/>
        <w:topLinePunct w:val="0"/>
        <w:autoSpaceDE/>
        <w:autoSpaceDN w:val="0"/>
        <w:bidi w:val="0"/>
        <w:spacing w:line="560" w:lineRule="exact"/>
        <w:ind w:left="0" w:leftChars="0" w:right="0" w:rightChars="0" w:firstLine="640" w:firstLineChars="200"/>
        <w:textAlignment w:val="auto"/>
        <w:outlineLvl w:val="9"/>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总体评价和自评得分情况</w:t>
      </w:r>
    </w:p>
    <w:p>
      <w:pPr>
        <w:widowControl/>
        <w:shd w:val="clear" w:color="auto" w:fill="FFFFFF"/>
        <w:spacing w:line="520" w:lineRule="exact"/>
        <w:ind w:firstLine="640" w:firstLineChars="200"/>
        <w:jc w:val="left"/>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本次自评根据预算绩效评价相关要求，单位制定了部门整体支出绩效评价的工作方案、评价指标，成立了绩效评价工作领导小组、绩效评价工作组，于2025年4月完成自评工作。绩效自评具体如下：</w:t>
      </w:r>
    </w:p>
    <w:p>
      <w:pPr>
        <w:widowControl/>
        <w:shd w:val="clear" w:color="auto" w:fill="FFFFFF"/>
        <w:spacing w:line="520" w:lineRule="exact"/>
        <w:ind w:firstLine="640" w:firstLineChars="200"/>
        <w:jc w:val="left"/>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本次整体支出绩效评价指标体系包括财政资金预算完成、产出、效益、成本、满意度4个一级指标,8个二级指标和15个三级指标,满分为100分。</w:t>
      </w:r>
    </w:p>
    <w:p>
      <w:pPr>
        <w:widowControl/>
        <w:shd w:val="clear" w:color="auto" w:fill="FFFFFF"/>
        <w:spacing w:line="520" w:lineRule="exact"/>
        <w:ind w:firstLine="640" w:firstLineChars="200"/>
        <w:jc w:val="left"/>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1.财政资金预算完成率:分值10分，用于考核年初预算与全年预算执行情况。</w:t>
      </w:r>
    </w:p>
    <w:p>
      <w:pPr>
        <w:widowControl/>
        <w:shd w:val="clear" w:color="auto" w:fill="FFFFFF"/>
        <w:spacing w:line="520" w:lineRule="exact"/>
        <w:ind w:firstLine="640" w:firstLineChars="200"/>
        <w:jc w:val="left"/>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2.产出指标：分值40分,用于考核该项目资金投入产出数量、产出质质量、产出时效、产出成本等内容。</w:t>
      </w:r>
    </w:p>
    <w:p>
      <w:pPr>
        <w:widowControl/>
        <w:shd w:val="clear" w:color="auto" w:fill="FFFFFF"/>
        <w:spacing w:line="520" w:lineRule="exact"/>
        <w:ind w:firstLine="640" w:firstLineChars="200"/>
        <w:jc w:val="left"/>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3.效益指标：分值30分,用于综合评价资金投入使用后产生的经济效益、社会效益、生态效益、可持续影响、服务对象满意度等内容。</w:t>
      </w:r>
    </w:p>
    <w:p>
      <w:pPr>
        <w:widowControl/>
        <w:shd w:val="clear" w:color="auto" w:fill="FFFFFF"/>
        <w:spacing w:line="520" w:lineRule="exact"/>
        <w:ind w:firstLine="640" w:firstLineChars="200"/>
        <w:jc w:val="left"/>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4.成本指标：分值10分，用于项目成本控制额。</w:t>
      </w:r>
    </w:p>
    <w:p>
      <w:pPr>
        <w:widowControl/>
        <w:shd w:val="clear" w:color="auto" w:fill="FFFFFF"/>
        <w:spacing w:line="520" w:lineRule="exact"/>
        <w:ind w:firstLine="640" w:firstLineChars="200"/>
        <w:jc w:val="left"/>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5.满意度指标：分值10分，用于社会公众和服务对象满意度指标情况。</w:t>
      </w:r>
    </w:p>
    <w:p>
      <w:pPr>
        <w:widowControl/>
        <w:shd w:val="clear" w:color="auto" w:fill="FFFFFF"/>
        <w:spacing w:line="520" w:lineRule="exact"/>
        <w:ind w:firstLine="640" w:firstLineChars="200"/>
        <w:jc w:val="left"/>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2024年度年初工作计划及重点工作目标管理符合区委、区政府总体经济和社会发展规划及职责，与本单位当年重点工作，资金投入相匹配，财政资金预算完成率＝（预算完成数/预算数）×100%＝100%。建立健全了各项财务管理制度，相关管理制度合法、合规、完整，并得到有效执行，支出符合国家财经法规和财务管理制度规定以及有关专项资金管理办法的规定，资金的拨付有完整的审批过程和手续，支出符合部门预算批复的用途，资金使用无截留、挤占、挪用、虚列支出等情况。</w:t>
      </w:r>
    </w:p>
    <w:p>
      <w:pPr>
        <w:widowControl/>
        <w:shd w:val="clear" w:color="auto" w:fill="FFFFFF"/>
        <w:spacing w:line="520" w:lineRule="exact"/>
        <w:ind w:firstLine="640" w:firstLineChars="200"/>
        <w:jc w:val="left"/>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根据部门整体支出绩效评价指标体系和绩效自查情况，本单位预算执行有效，管理规范，较好的完成了各项年度工作目标，取得了较好的经济效益和社会效益。根据区政府绩效考核文件精神，绩效目标在本年基本完成。2024部门整体支出重点绩效评价指标总分值100分，实得99</w:t>
      </w:r>
      <w:r>
        <w:rPr>
          <w:rFonts w:hint="eastAsia" w:ascii="仿宋_GB2312" w:hAnsi="仿宋" w:cs="仿宋"/>
          <w:kern w:val="2"/>
          <w:sz w:val="32"/>
          <w:szCs w:val="32"/>
          <w:lang w:val="en-US" w:eastAsia="zh-CN" w:bidi="ar-SA"/>
        </w:rPr>
        <w:t>.89</w:t>
      </w:r>
      <w:r>
        <w:rPr>
          <w:rFonts w:hint="eastAsia" w:ascii="仿宋_GB2312" w:hAnsi="仿宋" w:eastAsia="仿宋_GB2312" w:cs="仿宋"/>
          <w:kern w:val="2"/>
          <w:sz w:val="32"/>
          <w:szCs w:val="32"/>
          <w:lang w:val="en-US" w:eastAsia="zh-CN" w:bidi="ar-SA"/>
        </w:rPr>
        <w:t>分，评价等级</w:t>
      </w:r>
      <w:r>
        <w:rPr>
          <w:rFonts w:hint="eastAsia" w:ascii="仿宋_GB2312" w:hAnsi="仿宋" w:cs="仿宋"/>
          <w:kern w:val="2"/>
          <w:sz w:val="32"/>
          <w:szCs w:val="32"/>
          <w:lang w:val="en-US" w:eastAsia="zh-CN" w:bidi="ar-SA"/>
        </w:rPr>
        <w:t>为</w:t>
      </w:r>
      <w:r>
        <w:rPr>
          <w:rFonts w:hint="eastAsia" w:ascii="仿宋_GB2312" w:hAnsi="仿宋" w:eastAsia="仿宋_GB2312" w:cs="仿宋"/>
          <w:kern w:val="2"/>
          <w:sz w:val="32"/>
          <w:szCs w:val="32"/>
          <w:lang w:val="en-US" w:eastAsia="zh-CN" w:bidi="ar-SA"/>
        </w:rPr>
        <w:t>“优秀”。</w:t>
      </w:r>
    </w:p>
    <w:p>
      <w:pPr>
        <w:pStyle w:val="9"/>
        <w:keepNext w:val="0"/>
        <w:keepLines w:val="0"/>
        <w:pageBreakBefore w:val="0"/>
        <w:widowControl/>
        <w:kinsoku/>
        <w:wordWrap/>
        <w:overflowPunct/>
        <w:topLinePunct w:val="0"/>
        <w:autoSpaceDE/>
        <w:bidi w:val="0"/>
        <w:spacing w:line="560" w:lineRule="exact"/>
        <w:ind w:left="0" w:leftChars="0" w:right="0" w:rightChars="0" w:firstLine="640"/>
        <w:jc w:val="left"/>
        <w:textAlignment w:val="auto"/>
        <w:outlineLvl w:val="9"/>
        <w:rPr>
          <w:rFonts w:ascii="Times New Roman" w:hAnsi="Times New Roman" w:eastAsia="黑体"/>
          <w:sz w:val="32"/>
          <w:szCs w:val="32"/>
        </w:rPr>
      </w:pPr>
      <w:r>
        <w:rPr>
          <w:rFonts w:hint="eastAsia" w:ascii="黑体" w:hAnsi="黑体" w:eastAsia="黑体" w:cs="宋体"/>
          <w:color w:val="000000"/>
          <w:kern w:val="0"/>
          <w:sz w:val="32"/>
          <w:szCs w:val="32"/>
        </w:rPr>
        <w:t>五、</w:t>
      </w:r>
      <w:r>
        <w:rPr>
          <w:rFonts w:hint="eastAsia" w:ascii="Times New Roman" w:hAnsi="Times New Roman" w:eastAsia="黑体"/>
          <w:sz w:val="32"/>
          <w:szCs w:val="32"/>
        </w:rPr>
        <w:t>存在的问题及原因分析</w:t>
      </w:r>
    </w:p>
    <w:p>
      <w:pPr>
        <w:keepNext w:val="0"/>
        <w:keepLines w:val="0"/>
        <w:pageBreakBefore w:val="0"/>
        <w:widowControl/>
        <w:kinsoku/>
        <w:wordWrap/>
        <w:overflowPunct/>
        <w:topLinePunct w:val="0"/>
        <w:autoSpaceDE/>
        <w:bidi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cs="仿宋_GB2312"/>
          <w:b w:val="0"/>
          <w:bCs w:val="0"/>
          <w:sz w:val="32"/>
          <w:szCs w:val="32"/>
          <w:lang w:eastAsia="zh-CN"/>
        </w:rPr>
        <w:t>本级预算项目资金使用合规上存在指标有时没有相对应使用，</w:t>
      </w:r>
      <w:r>
        <w:rPr>
          <w:rFonts w:hint="eastAsia" w:ascii="仿宋_GB2312" w:hAnsi="仿宋_GB2312" w:eastAsia="仿宋_GB2312" w:cs="仿宋_GB2312"/>
          <w:b w:val="0"/>
          <w:bCs w:val="0"/>
          <w:sz w:val="32"/>
          <w:szCs w:val="32"/>
          <w:lang w:eastAsia="zh-CN"/>
        </w:rPr>
        <w:t>对绩效管理的相关规定掌握的不够熟悉，绩效管理目标要求不够细化，绩效工作需进一步完善</w:t>
      </w:r>
      <w:r>
        <w:rPr>
          <w:rFonts w:hint="eastAsia" w:ascii="仿宋_GB2312" w:hAnsi="仿宋_GB2312" w:cs="仿宋_GB2312"/>
          <w:b w:val="0"/>
          <w:bCs w:val="0"/>
          <w:sz w:val="32"/>
          <w:szCs w:val="32"/>
          <w:lang w:eastAsia="zh-CN"/>
        </w:rPr>
        <w:t>等问题</w:t>
      </w:r>
      <w:r>
        <w:rPr>
          <w:rFonts w:hint="eastAsia" w:ascii="仿宋_GB2312" w:hAnsi="仿宋_GB2312" w:eastAsia="仿宋_GB2312" w:cs="仿宋_GB2312"/>
          <w:b w:val="0"/>
          <w:bCs w:val="0"/>
          <w:sz w:val="32"/>
          <w:szCs w:val="32"/>
          <w:lang w:eastAsia="zh-CN"/>
        </w:rPr>
        <w:t>。</w:t>
      </w:r>
    </w:p>
    <w:p>
      <w:pPr>
        <w:keepNext w:val="0"/>
        <w:keepLines w:val="0"/>
        <w:pageBreakBefore w:val="0"/>
        <w:widowControl/>
        <w:numPr>
          <w:ilvl w:val="0"/>
          <w:numId w:val="3"/>
        </w:numPr>
        <w:kinsoku/>
        <w:wordWrap/>
        <w:overflowPunct/>
        <w:topLinePunct w:val="0"/>
        <w:autoSpaceDE/>
        <w:bidi w:val="0"/>
        <w:spacing w:line="560" w:lineRule="exact"/>
        <w:ind w:left="0" w:leftChars="0" w:right="0" w:rightChars="0" w:firstLine="640" w:firstLineChars="200"/>
        <w:jc w:val="left"/>
        <w:textAlignment w:val="auto"/>
        <w:outlineLvl w:val="9"/>
        <w:rPr>
          <w:rFonts w:hint="eastAsia" w:eastAsia="黑体"/>
          <w:sz w:val="32"/>
          <w:szCs w:val="32"/>
        </w:rPr>
      </w:pPr>
      <w:r>
        <w:rPr>
          <w:rFonts w:hint="eastAsia" w:eastAsia="黑体"/>
          <w:sz w:val="32"/>
          <w:szCs w:val="32"/>
        </w:rPr>
        <w:t>下一步改进措施</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bidi w:val="0"/>
        <w:spacing w:before="0" w:beforeAutospacing="0" w:after="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caps w:val="0"/>
          <w:color w:val="333333"/>
          <w:spacing w:val="0"/>
          <w:kern w:val="0"/>
          <w:sz w:val="32"/>
          <w:szCs w:val="32"/>
          <w:shd w:val="clear" w:color="auto" w:fill="FFFFFF"/>
          <w:lang w:val="en-US" w:eastAsia="zh-CN" w:bidi="ar"/>
        </w:rPr>
        <w:t>加强岗位实务学习与培训工作。</w:t>
      </w:r>
      <w:r>
        <w:rPr>
          <w:rFonts w:hint="eastAsia" w:ascii="仿宋_GB2312" w:hAnsi="仿宋_GB2312" w:cs="仿宋_GB2312"/>
          <w:i w:val="0"/>
          <w:caps w:val="0"/>
          <w:color w:val="333333"/>
          <w:spacing w:val="0"/>
          <w:kern w:val="0"/>
          <w:sz w:val="32"/>
          <w:szCs w:val="32"/>
          <w:shd w:val="clear" w:color="auto" w:fill="FFFFFF"/>
          <w:lang w:val="en-US" w:eastAsia="zh-CN" w:bidi="ar"/>
        </w:rPr>
        <w:t>按照项目资金的使用要求，</w:t>
      </w:r>
      <w:r>
        <w:rPr>
          <w:rFonts w:hint="eastAsia" w:ascii="仿宋_GB2312" w:hAnsi="仿宋_GB2312" w:cs="仿宋_GB2312"/>
          <w:sz w:val="32"/>
          <w:szCs w:val="32"/>
          <w:lang w:eastAsia="zh-CN"/>
        </w:rPr>
        <w:t>合规使用项目资金。</w:t>
      </w:r>
      <w:r>
        <w:rPr>
          <w:rFonts w:hint="eastAsia" w:ascii="仿宋_GB2312" w:hAnsi="仿宋_GB2312" w:eastAsia="仿宋_GB2312" w:cs="仿宋_GB2312"/>
          <w:i w:val="0"/>
          <w:caps w:val="0"/>
          <w:color w:val="333333"/>
          <w:spacing w:val="0"/>
          <w:kern w:val="0"/>
          <w:sz w:val="32"/>
          <w:szCs w:val="32"/>
          <w:shd w:val="clear" w:color="auto" w:fill="FFFFFF"/>
          <w:lang w:val="en-US" w:eastAsia="zh-CN" w:bidi="ar"/>
        </w:rPr>
        <w:t>加强新政策新规定等业务学习培训，让财务人员通过学习能够准确地根据年度内单位可预见的工作任务细化预算目标，科学合理地编制部门预算</w:t>
      </w:r>
      <w:r>
        <w:rPr>
          <w:rFonts w:hint="eastAsia" w:ascii="仿宋_GB2312" w:hAnsi="仿宋_GB2312" w:eastAsia="仿宋_GB2312" w:cs="仿宋_GB2312"/>
          <w:sz w:val="32"/>
          <w:szCs w:val="32"/>
          <w:lang w:eastAsia="zh-CN"/>
        </w:rPr>
        <w:t>。进一步提高预算编制的科学性、严谨性和可控性</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val="en-US" w:eastAsia="zh-CN"/>
        </w:rPr>
        <w:t>注重加强收支预测，提高预算准确性，科学合理编制部门预算，推进预算编制科学化、准确化。进一步严控预算执行。定期分析预算执行，</w:t>
      </w:r>
      <w:r>
        <w:rPr>
          <w:rFonts w:hint="eastAsia" w:ascii="仿宋_GB2312" w:hAnsi="仿宋_GB2312" w:eastAsia="仿宋_GB2312" w:cs="仿宋_GB2312"/>
          <w:i w:val="0"/>
          <w:caps w:val="0"/>
          <w:color w:val="333333"/>
          <w:spacing w:val="0"/>
          <w:kern w:val="0"/>
          <w:sz w:val="32"/>
          <w:szCs w:val="32"/>
          <w:shd w:val="clear" w:color="auto" w:fill="FFFFFF"/>
          <w:lang w:val="en-US" w:eastAsia="zh-CN" w:bidi="ar"/>
        </w:rPr>
        <w:t>规范部门预算收支核算，</w:t>
      </w:r>
      <w:r>
        <w:rPr>
          <w:rFonts w:hint="eastAsia" w:ascii="仿宋_GB2312" w:hAnsi="仿宋_GB2312" w:eastAsia="仿宋_GB2312" w:cs="仿宋_GB2312"/>
          <w:sz w:val="32"/>
          <w:szCs w:val="32"/>
          <w:lang w:val="en-US" w:eastAsia="zh-CN"/>
        </w:rPr>
        <w:t>掌握预算执行进度，</w:t>
      </w:r>
      <w:r>
        <w:rPr>
          <w:rFonts w:hint="eastAsia" w:ascii="仿宋_GB2312" w:hAnsi="仿宋_GB2312" w:eastAsia="仿宋_GB2312" w:cs="仿宋_GB2312"/>
          <w:i w:val="0"/>
          <w:caps w:val="0"/>
          <w:color w:val="333333"/>
          <w:spacing w:val="0"/>
          <w:kern w:val="0"/>
          <w:sz w:val="32"/>
          <w:szCs w:val="32"/>
          <w:shd w:val="clear" w:color="auto" w:fill="FFFFFF"/>
          <w:lang w:val="en-US" w:eastAsia="zh-CN" w:bidi="ar"/>
        </w:rPr>
        <w:t>及时了解预算执行差异，合理调整、纠正预算执行偏差</w:t>
      </w:r>
      <w:r>
        <w:rPr>
          <w:rFonts w:hint="eastAsia" w:ascii="仿宋_GB2312" w:hAnsi="仿宋_GB2312" w:eastAsia="仿宋_GB2312" w:cs="仿宋_GB2312"/>
          <w:sz w:val="32"/>
          <w:szCs w:val="32"/>
          <w:lang w:val="en-US" w:eastAsia="zh-CN"/>
        </w:rPr>
        <w:t>，增强财务人员的预算意识和内控管理，坚持先有预算，后有支出。进一步优化绩效管理。优化预算绩效指标的设置，细化绩效管理目标，确保数据可测、分值合理、结果可观。持续推进预算绩效管理与内部管理制度相融合，进一步提升绩效管理效能。</w:t>
      </w:r>
    </w:p>
    <w:p>
      <w:pPr>
        <w:keepNext w:val="0"/>
        <w:keepLines w:val="0"/>
        <w:pageBreakBefore w:val="0"/>
        <w:widowControl/>
        <w:numPr>
          <w:ilvl w:val="0"/>
          <w:numId w:val="3"/>
        </w:numPr>
        <w:kinsoku/>
        <w:wordWrap/>
        <w:overflowPunct/>
        <w:topLinePunct w:val="0"/>
        <w:autoSpaceDE/>
        <w:bidi w:val="0"/>
        <w:spacing w:line="560" w:lineRule="exact"/>
        <w:ind w:left="0" w:leftChars="0" w:right="0" w:rightChars="0" w:firstLine="640" w:firstLineChars="200"/>
        <w:jc w:val="left"/>
        <w:textAlignment w:val="auto"/>
        <w:outlineLvl w:val="9"/>
        <w:rPr>
          <w:rFonts w:hint="eastAsia" w:eastAsia="黑体"/>
          <w:sz w:val="32"/>
          <w:szCs w:val="32"/>
        </w:rPr>
      </w:pPr>
      <w:r>
        <w:rPr>
          <w:rFonts w:hint="eastAsia" w:eastAsia="黑体"/>
          <w:sz w:val="32"/>
          <w:szCs w:val="32"/>
        </w:rPr>
        <w:t>整体支出绩效自评结果拟应用和公开情况</w:t>
      </w:r>
    </w:p>
    <w:p>
      <w:pPr>
        <w:keepNext w:val="0"/>
        <w:keepLines w:val="0"/>
        <w:pageBreakBefore w:val="0"/>
        <w:kinsoku/>
        <w:wordWrap/>
        <w:overflowPunct/>
        <w:topLinePunct w:val="0"/>
        <w:autoSpaceDE/>
        <w:bidi w:val="0"/>
        <w:spacing w:line="560" w:lineRule="exact"/>
        <w:ind w:right="317"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绩效评价结果的应用，是将绩效管理从“软约束”变为“硬抓手”的关键。要将结果与预算安排挂钩，优化配置，聚焦投入成本与产出效果，强化公开与监督，增强透明度。</w:t>
      </w:r>
    </w:p>
    <w:p>
      <w:pPr>
        <w:keepNext w:val="0"/>
        <w:keepLines w:val="0"/>
        <w:pageBreakBefore w:val="0"/>
        <w:kinsoku/>
        <w:wordWrap/>
        <w:overflowPunct/>
        <w:topLinePunct w:val="0"/>
        <w:autoSpaceDE/>
        <w:bidi w:val="0"/>
        <w:spacing w:line="560" w:lineRule="exact"/>
        <w:ind w:right="317"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公开情况：本报告是根据</w:t>
      </w:r>
      <w:r>
        <w:rPr>
          <w:rFonts w:hint="eastAsia" w:ascii="仿宋_GB2312" w:hAnsi="仿宋_GB2312" w:eastAsia="仿宋_GB2312" w:cs="仿宋_GB2312"/>
          <w:sz w:val="30"/>
          <w:szCs w:val="30"/>
          <w:lang w:eastAsia="zh-CN"/>
        </w:rPr>
        <w:t>预算绩效评价</w:t>
      </w:r>
      <w:r>
        <w:rPr>
          <w:rFonts w:hint="eastAsia" w:ascii="仿宋_GB2312" w:hAnsi="仿宋_GB2312" w:eastAsia="仿宋_GB2312" w:cs="仿宋_GB2312"/>
          <w:sz w:val="30"/>
          <w:szCs w:val="30"/>
        </w:rPr>
        <w:t>的要求，由资阳区财政</w:t>
      </w:r>
      <w:r>
        <w:rPr>
          <w:rFonts w:hint="eastAsia" w:ascii="仿宋_GB2312" w:hAnsi="仿宋_GB2312" w:eastAsia="仿宋_GB2312" w:cs="仿宋_GB2312"/>
          <w:sz w:val="30"/>
          <w:szCs w:val="30"/>
          <w:lang w:eastAsia="zh-CN"/>
        </w:rPr>
        <w:t>局办公室</w:t>
      </w:r>
      <w:r>
        <w:rPr>
          <w:rFonts w:hint="eastAsia" w:ascii="仿宋_GB2312" w:hAnsi="仿宋_GB2312" w:eastAsia="仿宋_GB2312" w:cs="仿宋_GB2312"/>
          <w:sz w:val="30"/>
          <w:szCs w:val="30"/>
        </w:rPr>
        <w:t>编制，报告数据统计期限为2024年1月1日至2024年12月31日。本单位整体支出绩效自评结果，自评报告</w:t>
      </w:r>
      <w:r>
        <w:rPr>
          <w:rFonts w:hint="eastAsia" w:ascii="仿宋_GB2312" w:hAnsi="仿宋_GB2312" w:cs="仿宋_GB2312"/>
          <w:sz w:val="30"/>
          <w:szCs w:val="30"/>
          <w:lang w:eastAsia="zh-CN"/>
        </w:rPr>
        <w:t>将在</w:t>
      </w:r>
      <w:r>
        <w:rPr>
          <w:rFonts w:hint="eastAsia" w:ascii="仿宋_GB2312" w:hAnsi="仿宋_GB2312" w:eastAsia="仿宋_GB2312" w:cs="仿宋_GB2312"/>
          <w:sz w:val="30"/>
          <w:szCs w:val="30"/>
        </w:rPr>
        <w:t>资阳公众信息网</w:t>
      </w:r>
      <w:r>
        <w:rPr>
          <w:rFonts w:hint="eastAsia" w:ascii="仿宋_GB2312" w:hAnsi="仿宋_GB2312" w:cs="仿宋_GB2312"/>
          <w:sz w:val="30"/>
          <w:szCs w:val="30"/>
          <w:lang w:eastAsia="zh-CN"/>
        </w:rPr>
        <w:t>是予以公开</w:t>
      </w:r>
      <w:r>
        <w:rPr>
          <w:rFonts w:hint="eastAsia" w:ascii="仿宋_GB2312" w:hAnsi="仿宋_GB2312" w:eastAsia="仿宋_GB2312" w:cs="仿宋_GB2312"/>
          <w:sz w:val="30"/>
          <w:szCs w:val="30"/>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bidi w:val="0"/>
        <w:spacing w:before="0" w:beforeAutospacing="0" w:after="0" w:afterAutospacing="0" w:line="560" w:lineRule="exact"/>
        <w:ind w:left="0" w:leftChars="0" w:right="0" w:rightChars="0"/>
        <w:jc w:val="both"/>
        <w:textAlignment w:val="auto"/>
        <w:outlineLvl w:val="9"/>
        <w:rPr>
          <w:rFonts w:hint="eastAsia" w:ascii="仿宋" w:hAnsi="仿宋" w:eastAsia="仿宋" w:cs="仿宋"/>
          <w:sz w:val="32"/>
          <w:szCs w:val="32"/>
          <w:lang w:val="en-US" w:eastAsia="zh-CN"/>
        </w:rPr>
      </w:pPr>
    </w:p>
    <w:p>
      <w:pPr>
        <w:keepNext w:val="0"/>
        <w:keepLines w:val="0"/>
        <w:pageBreakBefore w:val="0"/>
        <w:kinsoku/>
        <w:wordWrap/>
        <w:overflowPunct/>
        <w:topLinePunct w:val="0"/>
        <w:autoSpaceDE/>
        <w:bidi w:val="0"/>
        <w:spacing w:line="560" w:lineRule="exact"/>
        <w:ind w:left="0" w:leftChars="0" w:right="0" w:rightChars="0"/>
        <w:textAlignment w:val="auto"/>
        <w:outlineLvl w:val="9"/>
        <w:rPr>
          <w:rFonts w:hint="eastAsia"/>
          <w:lang w:val="en-US" w:eastAsia="zh-CN"/>
        </w:rPr>
      </w:pPr>
      <w:r>
        <w:rPr>
          <w:rFonts w:hint="eastAsia"/>
          <w:lang w:eastAsia="zh-CN"/>
        </w:rPr>
        <w:t>附：</w:t>
      </w:r>
      <w:r>
        <w:rPr>
          <w:rFonts w:hint="eastAsia"/>
          <w:lang w:val="en-US" w:eastAsia="zh-CN"/>
        </w:rPr>
        <w:t>1.部门整体支出绩效评价基础数据表</w:t>
      </w:r>
    </w:p>
    <w:p>
      <w:pPr>
        <w:pStyle w:val="3"/>
        <w:keepNext w:val="0"/>
        <w:keepLines w:val="0"/>
        <w:pageBreakBefore w:val="0"/>
        <w:kinsoku/>
        <w:wordWrap/>
        <w:overflowPunct/>
        <w:topLinePunct w:val="0"/>
        <w:autoSpaceDE/>
        <w:bidi w:val="0"/>
        <w:spacing w:line="560" w:lineRule="exact"/>
        <w:ind w:firstLine="640"/>
        <w:textAlignment w:val="auto"/>
        <w:rPr>
          <w:rFonts w:hint="eastAsia"/>
          <w:lang w:val="en-US" w:eastAsia="zh-CN"/>
        </w:rPr>
      </w:pPr>
      <w:r>
        <w:rPr>
          <w:rFonts w:hint="eastAsia"/>
          <w:lang w:val="en-US" w:eastAsia="zh-CN"/>
        </w:rPr>
        <w:t>2.部门整体支出自评表</w:t>
      </w:r>
    </w:p>
    <w:p>
      <w:pPr>
        <w:keepNext w:val="0"/>
        <w:keepLines w:val="0"/>
        <w:pageBreakBefore w:val="0"/>
        <w:kinsoku/>
        <w:wordWrap/>
        <w:overflowPunct/>
        <w:topLinePunct w:val="0"/>
        <w:autoSpaceDE/>
        <w:bidi w:val="0"/>
        <w:spacing w:line="560" w:lineRule="exact"/>
        <w:ind w:firstLine="640"/>
        <w:textAlignment w:val="auto"/>
        <w:rPr>
          <w:rFonts w:hint="eastAsia"/>
          <w:lang w:val="en-US" w:eastAsia="zh-CN"/>
        </w:rPr>
      </w:pPr>
      <w:r>
        <w:rPr>
          <w:rFonts w:hint="eastAsia"/>
          <w:lang w:val="en-US" w:eastAsia="zh-CN"/>
        </w:rPr>
        <w:t>3.项目支出绩效自评表</w:t>
      </w:r>
    </w:p>
    <w:p>
      <w:pPr>
        <w:pStyle w:val="3"/>
        <w:keepNext w:val="0"/>
        <w:keepLines w:val="0"/>
        <w:pageBreakBefore w:val="0"/>
        <w:kinsoku/>
        <w:wordWrap/>
        <w:overflowPunct/>
        <w:topLinePunct w:val="0"/>
        <w:autoSpaceDE/>
        <w:bidi w:val="0"/>
        <w:spacing w:line="560" w:lineRule="exact"/>
        <w:textAlignment w:val="auto"/>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3"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华文琥珀">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3AFDBF"/>
    <w:multiLevelType w:val="singleLevel"/>
    <w:tmpl w:val="B83AFDBF"/>
    <w:lvl w:ilvl="0" w:tentative="0">
      <w:start w:val="1"/>
      <w:numFmt w:val="chineseCounting"/>
      <w:suff w:val="nothing"/>
      <w:lvlText w:val="%1、"/>
      <w:lvlJc w:val="left"/>
      <w:rPr>
        <w:rFonts w:hint="eastAsia"/>
      </w:rPr>
    </w:lvl>
  </w:abstractNum>
  <w:abstractNum w:abstractNumId="1">
    <w:nsid w:val="44BBF755"/>
    <w:multiLevelType w:val="singleLevel"/>
    <w:tmpl w:val="44BBF755"/>
    <w:lvl w:ilvl="0" w:tentative="0">
      <w:start w:val="2"/>
      <w:numFmt w:val="chineseCounting"/>
      <w:suff w:val="nothing"/>
      <w:lvlText w:val="（%1）"/>
      <w:lvlJc w:val="left"/>
      <w:rPr>
        <w:rFonts w:hint="eastAsia"/>
      </w:rPr>
    </w:lvl>
  </w:abstractNum>
  <w:abstractNum w:abstractNumId="2">
    <w:nsid w:val="6655A858"/>
    <w:multiLevelType w:val="singleLevel"/>
    <w:tmpl w:val="6655A858"/>
    <w:lvl w:ilvl="0" w:tentative="0">
      <w:start w:val="6"/>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40D58"/>
    <w:rsid w:val="01B02773"/>
    <w:rsid w:val="066D0524"/>
    <w:rsid w:val="06747577"/>
    <w:rsid w:val="08071C98"/>
    <w:rsid w:val="081303C8"/>
    <w:rsid w:val="0C67222F"/>
    <w:rsid w:val="0D5D3E74"/>
    <w:rsid w:val="0F644145"/>
    <w:rsid w:val="105E0ADD"/>
    <w:rsid w:val="14B77D3F"/>
    <w:rsid w:val="16506405"/>
    <w:rsid w:val="19630ACC"/>
    <w:rsid w:val="19C312AF"/>
    <w:rsid w:val="1F185A78"/>
    <w:rsid w:val="22FE3772"/>
    <w:rsid w:val="23CB6AC9"/>
    <w:rsid w:val="25EC19B6"/>
    <w:rsid w:val="2C2F65B8"/>
    <w:rsid w:val="2D804AFC"/>
    <w:rsid w:val="2E123BEA"/>
    <w:rsid w:val="332F3B51"/>
    <w:rsid w:val="34991698"/>
    <w:rsid w:val="372459C6"/>
    <w:rsid w:val="382E4D31"/>
    <w:rsid w:val="3C3E127F"/>
    <w:rsid w:val="3D7B64C1"/>
    <w:rsid w:val="3F0D7A44"/>
    <w:rsid w:val="3F26610A"/>
    <w:rsid w:val="403D7F27"/>
    <w:rsid w:val="404A2755"/>
    <w:rsid w:val="42BE6DD5"/>
    <w:rsid w:val="434B666F"/>
    <w:rsid w:val="462E0BE7"/>
    <w:rsid w:val="4A2F5535"/>
    <w:rsid w:val="4ADA5D50"/>
    <w:rsid w:val="4F9502D4"/>
    <w:rsid w:val="51610378"/>
    <w:rsid w:val="52C928D0"/>
    <w:rsid w:val="582C6DDE"/>
    <w:rsid w:val="5AE547C2"/>
    <w:rsid w:val="5CC05E75"/>
    <w:rsid w:val="5E4D6435"/>
    <w:rsid w:val="649D1793"/>
    <w:rsid w:val="65261587"/>
    <w:rsid w:val="67B90EEE"/>
    <w:rsid w:val="6AB156D6"/>
    <w:rsid w:val="6D4E6E6E"/>
    <w:rsid w:val="6E0E230E"/>
    <w:rsid w:val="6FB7538D"/>
    <w:rsid w:val="706422E2"/>
    <w:rsid w:val="75302EF0"/>
    <w:rsid w:val="754C6B0C"/>
    <w:rsid w:val="75FF6A6A"/>
    <w:rsid w:val="77AB7E97"/>
    <w:rsid w:val="78060C93"/>
    <w:rsid w:val="792E20A2"/>
    <w:rsid w:val="7C68099F"/>
    <w:rsid w:val="7CC130AB"/>
    <w:rsid w:val="7DAE1182"/>
    <w:rsid w:val="7E9B6530"/>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toc 1"/>
    <w:basedOn w:val="1"/>
    <w:next w:val="1"/>
    <w:qFormat/>
    <w:uiPriority w:val="0"/>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BodyText1I2"/>
    <w:basedOn w:val="8"/>
    <w:qFormat/>
    <w:uiPriority w:val="0"/>
    <w:pPr>
      <w:ind w:firstLine="420"/>
    </w:pPr>
  </w:style>
  <w:style w:type="paragraph" w:customStyle="1" w:styleId="8">
    <w:name w:val="BodyTextIndent"/>
    <w:basedOn w:val="1"/>
    <w:qFormat/>
    <w:uiPriority w:val="0"/>
    <w:pPr>
      <w:spacing w:after="120"/>
      <w:ind w:left="420" w:leftChars="200" w:firstLine="200" w:firstLineChars="200"/>
      <w:textAlignment w:val="baseline"/>
    </w:pPr>
  </w:style>
  <w:style w:type="paragraph" w:customStyle="1" w:styleId="9">
    <w:name w:val="_Style 3"/>
    <w:basedOn w:val="1"/>
    <w:qFormat/>
    <w:uiPriority w:val="99"/>
    <w:pPr>
      <w:ind w:firstLine="420" w:firstLineChars="200"/>
    </w:pPr>
    <w:rPr>
      <w:rFonts w:ascii="Calibri" w:hAnsi="Calibri"/>
      <w:szCs w:val="22"/>
    </w:rPr>
  </w:style>
  <w:style w:type="character" w:customStyle="1" w:styleId="10">
    <w:name w:val="font31"/>
    <w:basedOn w:val="5"/>
    <w:qFormat/>
    <w:uiPriority w:val="0"/>
    <w:rPr>
      <w:rFonts w:hint="eastAsia" w:ascii="宋体" w:hAnsi="宋体" w:eastAsia="宋体" w:cs="宋体"/>
      <w:color w:val="000000"/>
      <w:sz w:val="20"/>
      <w:szCs w:val="20"/>
      <w:u w:val="none"/>
    </w:rPr>
  </w:style>
  <w:style w:type="character" w:customStyle="1" w:styleId="11">
    <w:name w:val="font101"/>
    <w:basedOn w:val="5"/>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4513</Words>
  <Characters>4773</Characters>
  <Lines>0</Lines>
  <Paragraphs>0</Paragraphs>
  <ScaleCrop>false</ScaleCrop>
  <LinksUpToDate>false</LinksUpToDate>
  <CharactersWithSpaces>4778</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2025-09-30T02:39:28Z</cp:lastPrinted>
  <dcterms:modified xsi:type="dcterms:W3CDTF">2025-09-30T02:40:46Z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y fmtid="{D5CDD505-2E9C-101B-9397-08002B2CF9AE}" pid="3" name="KSOTemplateDocerSaveRecord">
    <vt:lpwstr>eyJoZGlkIjoiMTkxZDVkYTBlZDVmMzgxYzIzOGRhODg4YjIwMTI5YzciLCJ1c2VySWQiOiIzMDczNDU1NzAifQ==</vt:lpwstr>
  </property>
  <property fmtid="{D5CDD505-2E9C-101B-9397-08002B2CF9AE}" pid="4" name="ICV">
    <vt:lpwstr>834A6E9775BA45629BBE18CFFCD85C52_12</vt:lpwstr>
  </property>
</Properties>
</file>