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附件4</w:t>
      </w:r>
    </w:p>
    <w:p>
      <w:pPr>
        <w:autoSpaceDE w:val="0"/>
        <w:ind w:firstLine="790" w:firstLineChars="250"/>
        <w:jc w:val="center"/>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益阳市资阳区工业和信息化局2022年度</w:t>
      </w:r>
    </w:p>
    <w:p>
      <w:pPr>
        <w:autoSpaceDE w:val="0"/>
        <w:ind w:firstLine="790" w:firstLineChars="250"/>
        <w:jc w:val="center"/>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整体支出绩效自评报告</w:t>
      </w:r>
    </w:p>
    <w:p>
      <w:pPr>
        <w:autoSpaceDE w:val="0"/>
        <w:ind w:firstLine="790" w:firstLineChars="250"/>
        <w:jc w:val="center"/>
        <w:rPr>
          <w:rFonts w:hint="eastAsia" w:ascii="仿宋" w:hAnsi="仿宋" w:eastAsia="仿宋" w:cs="仿宋"/>
          <w:color w:val="000000"/>
          <w:kern w:val="0"/>
          <w:sz w:val="32"/>
          <w:szCs w:val="32"/>
        </w:rPr>
      </w:pPr>
    </w:p>
    <w:p>
      <w:pPr>
        <w:autoSpaceDE w:val="0"/>
        <w:ind w:firstLine="790" w:firstLineChars="25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为进一步加强财政资金绩效管理，提高资金使用效益，根据《资阳区财政局关于开展2022年度部门绩效自评工作的通知》要求，我局对2022年部门整体支出情况进行了绩效自评，现将有关情况报告如下：</w:t>
      </w:r>
    </w:p>
    <w:p>
      <w:pPr>
        <w:autoSpaceDE w:val="0"/>
        <w:ind w:firstLine="790" w:firstLineChars="25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一、部门基本情况</w:t>
      </w:r>
    </w:p>
    <w:p>
      <w:pPr>
        <w:autoSpaceDE w:val="0"/>
        <w:ind w:firstLine="790" w:firstLineChars="25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（一）单位职能职责 ：</w:t>
      </w:r>
    </w:p>
    <w:p>
      <w:pPr>
        <w:autoSpaceDE w:val="0"/>
        <w:ind w:firstLine="790" w:firstLineChars="25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1、综合管理全区工业经济，指导、协调和服务工业企业；指导园区规范发展，推动产业优化升级，扶优扶强工业企业。 </w:t>
      </w:r>
    </w:p>
    <w:p>
      <w:pPr>
        <w:autoSpaceDE w:val="0"/>
        <w:ind w:firstLine="790" w:firstLineChars="25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2、拟定全区新型工业化和信息化发展战略、规划并组织实施，协调解决有关重大问题，推进“两化”融合，推进全区信息化建设；负责工业和信息化领域的国防信息动员有关工作。 </w:t>
      </w:r>
    </w:p>
    <w:p>
      <w:pPr>
        <w:autoSpaceDE w:val="0"/>
        <w:ind w:firstLine="790" w:firstLineChars="25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3、综合协调全区工业经济日常运行，监测分析全区工业经济运行态势，进行预测预警和信息引导，协调解决工业经济运行中的突出矛盾和问题并提出建议。 </w:t>
      </w:r>
    </w:p>
    <w:p>
      <w:pPr>
        <w:autoSpaceDE w:val="0"/>
        <w:ind w:firstLine="790" w:firstLineChars="25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4、贯彻落实国家和省、市产业政策；协调减轻企业负担工作，会同有关部门做好改善企业生产、投资环境等工作。 </w:t>
      </w:r>
    </w:p>
    <w:p>
      <w:pPr>
        <w:autoSpaceDE w:val="0"/>
        <w:ind w:firstLine="790" w:firstLineChars="25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5、贯彻落实工业能源节约和资源综合利用政策；会同有关部门组织实施节能行动方案和资源综合利用工作；组织推进清洁生产工作；配合环保部门协调工业环境保护；组织协调相关重大示范工程和新产品、新技术、新设备、新材料的推广应用。 </w:t>
      </w:r>
    </w:p>
    <w:p>
      <w:pPr>
        <w:autoSpaceDE w:val="0"/>
        <w:ind w:firstLine="790" w:firstLineChars="25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6、指导工业企业实施技术改造；推进以先进适用技术改造提升传统产业；指导行业质量管理工作。 </w:t>
      </w:r>
    </w:p>
    <w:p>
      <w:pPr>
        <w:autoSpaceDE w:val="0"/>
        <w:ind w:firstLine="790" w:firstLineChars="25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7、贯彻落实促进非公有制工业经济和中小企业发展的政策措施，协调解决重大问题；推进中小企业服务体系建设。 </w:t>
      </w:r>
    </w:p>
    <w:p>
      <w:pPr>
        <w:autoSpaceDE w:val="0"/>
        <w:ind w:firstLine="790" w:firstLineChars="25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8、负责互联网建设、企业信息化推广与应用、农村信息化建设工作。 </w:t>
      </w:r>
    </w:p>
    <w:p>
      <w:pPr>
        <w:autoSpaceDE w:val="0"/>
        <w:ind w:firstLine="790" w:firstLineChars="25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9、负责食品加工、电子信息、装备制造、新材料等工业和信息化行业管理。 </w:t>
      </w:r>
    </w:p>
    <w:p>
      <w:pPr>
        <w:autoSpaceDE w:val="0"/>
        <w:ind w:firstLine="790" w:firstLineChars="25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10、承办区委、区政府交办的其他事项。 </w:t>
      </w:r>
    </w:p>
    <w:p>
      <w:pPr>
        <w:autoSpaceDE w:val="0"/>
        <w:ind w:firstLine="790" w:firstLineChars="25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（二）机构设置、人员情况：</w:t>
      </w:r>
    </w:p>
    <w:p>
      <w:pPr>
        <w:autoSpaceDE w:val="0"/>
        <w:ind w:firstLine="790" w:firstLineChars="25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区工信局为独立核算、财政预算一级拨款单位，内设科室6个：办公室（人事股、审计股、老干股）、投资股（推进新型工业化办公室园区办公室）、民营经济服务股、经济运行股（节能与综合利用股）、信息化股（电子通信股、工业互联网与数字产业股）、综合股（企改办、信访股、墙改办、法规股）。</w:t>
      </w:r>
    </w:p>
    <w:p>
      <w:pPr>
        <w:autoSpaceDE w:val="0"/>
        <w:ind w:firstLine="790" w:firstLineChars="25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资阳区工业和信息化局机关行政编制11个，事业编制5人，工勤编制5人。实有在编人数3</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人，退休人员75人，共计10</w:t>
      </w:r>
      <w:r>
        <w:rPr>
          <w:rFonts w:hint="eastAsia" w:ascii="仿宋" w:hAnsi="仿宋" w:eastAsia="仿宋" w:cs="仿宋"/>
          <w:color w:val="000000"/>
          <w:kern w:val="0"/>
          <w:sz w:val="32"/>
          <w:szCs w:val="32"/>
          <w:lang w:val="en-US" w:eastAsia="zh-CN"/>
        </w:rPr>
        <w:t>6</w:t>
      </w:r>
      <w:r>
        <w:rPr>
          <w:rFonts w:hint="eastAsia" w:ascii="仿宋" w:hAnsi="仿宋" w:eastAsia="仿宋" w:cs="仿宋"/>
          <w:color w:val="000000"/>
          <w:kern w:val="0"/>
          <w:sz w:val="32"/>
          <w:szCs w:val="32"/>
        </w:rPr>
        <w:t>人。</w:t>
      </w:r>
    </w:p>
    <w:p>
      <w:pPr>
        <w:autoSpaceDE w:val="0"/>
        <w:ind w:firstLine="790" w:firstLineChars="250"/>
        <w:rPr>
          <w:rFonts w:hint="eastAsia" w:ascii="仿宋" w:hAnsi="仿宋" w:eastAsia="仿宋" w:cs="仿宋"/>
          <w:color w:val="000000"/>
          <w:kern w:val="0"/>
          <w:sz w:val="32"/>
          <w:szCs w:val="32"/>
        </w:rPr>
      </w:pPr>
    </w:p>
    <w:p>
      <w:pPr>
        <w:autoSpaceDE w:val="0"/>
        <w:ind w:firstLine="790" w:firstLineChars="250"/>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二、一般公共预算支出情况</w:t>
      </w:r>
    </w:p>
    <w:p>
      <w:pPr>
        <w:widowControl/>
        <w:shd w:val="clear" w:color="auto" w:fill="FFFFFF"/>
        <w:spacing w:line="600" w:lineRule="atLeast"/>
        <w:ind w:firstLine="64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我局2022年一般公共预算财政拨款收入</w:t>
      </w:r>
      <w:r>
        <w:rPr>
          <w:rFonts w:hint="eastAsia" w:ascii="仿宋" w:hAnsi="仿宋" w:eastAsia="仿宋" w:cs="仿宋"/>
          <w:color w:val="000000"/>
          <w:kern w:val="0"/>
          <w:sz w:val="32"/>
          <w:szCs w:val="32"/>
          <w:lang w:val="en-US" w:eastAsia="zh-CN"/>
        </w:rPr>
        <w:t>3345.5</w:t>
      </w:r>
      <w:r>
        <w:rPr>
          <w:rFonts w:hint="eastAsia" w:ascii="仿宋" w:hAnsi="仿宋" w:eastAsia="仿宋" w:cs="仿宋"/>
          <w:color w:val="000000"/>
          <w:kern w:val="0"/>
          <w:sz w:val="32"/>
          <w:szCs w:val="32"/>
        </w:rPr>
        <w:t>万元，其他收入</w:t>
      </w:r>
      <w:r>
        <w:rPr>
          <w:rFonts w:hint="eastAsia" w:ascii="仿宋" w:hAnsi="仿宋" w:eastAsia="仿宋" w:cs="仿宋"/>
          <w:color w:val="000000"/>
          <w:kern w:val="0"/>
          <w:sz w:val="32"/>
          <w:szCs w:val="32"/>
          <w:lang w:val="en-US" w:eastAsia="zh-CN"/>
        </w:rPr>
        <w:t>6.73</w:t>
      </w:r>
      <w:r>
        <w:rPr>
          <w:rFonts w:hint="eastAsia" w:ascii="仿宋" w:hAnsi="仿宋" w:eastAsia="仿宋" w:cs="仿宋"/>
          <w:color w:val="000000"/>
          <w:kern w:val="0"/>
          <w:sz w:val="32"/>
          <w:szCs w:val="32"/>
        </w:rPr>
        <w:t>万元，全年一般公共预算收入总计</w:t>
      </w:r>
      <w:r>
        <w:rPr>
          <w:rFonts w:hint="eastAsia" w:ascii="仿宋" w:hAnsi="仿宋" w:eastAsia="仿宋" w:cs="仿宋"/>
          <w:color w:val="000000"/>
          <w:kern w:val="0"/>
          <w:sz w:val="32"/>
          <w:szCs w:val="32"/>
          <w:lang w:val="en-US" w:eastAsia="zh-CN"/>
        </w:rPr>
        <w:t>3352.23</w:t>
      </w:r>
      <w:r>
        <w:rPr>
          <w:rFonts w:hint="eastAsia" w:ascii="仿宋" w:hAnsi="仿宋" w:eastAsia="仿宋" w:cs="仿宋"/>
          <w:color w:val="000000"/>
          <w:kern w:val="0"/>
          <w:sz w:val="32"/>
          <w:szCs w:val="32"/>
        </w:rPr>
        <w:t>万元。2022年一般公共预算支出</w:t>
      </w:r>
      <w:r>
        <w:rPr>
          <w:rFonts w:hint="eastAsia" w:ascii="仿宋" w:hAnsi="仿宋" w:eastAsia="仿宋" w:cs="仿宋"/>
          <w:color w:val="000000"/>
          <w:kern w:val="0"/>
          <w:sz w:val="32"/>
          <w:szCs w:val="32"/>
          <w:lang w:val="en-US" w:eastAsia="zh-CN"/>
        </w:rPr>
        <w:t>3352.23</w:t>
      </w:r>
      <w:r>
        <w:rPr>
          <w:rFonts w:hint="eastAsia" w:ascii="仿宋" w:hAnsi="仿宋" w:eastAsia="仿宋" w:cs="仿宋"/>
          <w:color w:val="000000"/>
          <w:kern w:val="0"/>
          <w:sz w:val="32"/>
          <w:szCs w:val="32"/>
        </w:rPr>
        <w:t>万元，其中基本支出</w:t>
      </w:r>
      <w:r>
        <w:rPr>
          <w:rFonts w:hint="eastAsia" w:ascii="仿宋" w:hAnsi="仿宋" w:eastAsia="仿宋" w:cs="仿宋"/>
          <w:color w:val="000000"/>
          <w:kern w:val="0"/>
          <w:sz w:val="32"/>
          <w:szCs w:val="32"/>
          <w:lang w:val="en-US" w:eastAsia="zh-CN"/>
        </w:rPr>
        <w:t>507.79</w:t>
      </w:r>
      <w:r>
        <w:rPr>
          <w:rFonts w:hint="eastAsia" w:ascii="仿宋" w:hAnsi="仿宋" w:eastAsia="仿宋" w:cs="仿宋"/>
          <w:color w:val="000000"/>
          <w:kern w:val="0"/>
          <w:sz w:val="32"/>
          <w:szCs w:val="32"/>
        </w:rPr>
        <w:t>万元，占</w:t>
      </w:r>
      <w:r>
        <w:rPr>
          <w:rFonts w:hint="eastAsia" w:ascii="仿宋" w:hAnsi="仿宋" w:eastAsia="仿宋" w:cs="仿宋"/>
          <w:color w:val="000000"/>
          <w:kern w:val="0"/>
          <w:sz w:val="32"/>
          <w:szCs w:val="32"/>
          <w:lang w:val="en-US" w:eastAsia="zh-CN"/>
        </w:rPr>
        <w:t>15.15</w:t>
      </w:r>
      <w:r>
        <w:rPr>
          <w:rFonts w:hint="eastAsia" w:ascii="仿宋" w:hAnsi="仿宋" w:eastAsia="仿宋" w:cs="仿宋"/>
          <w:color w:val="000000"/>
          <w:kern w:val="0"/>
          <w:sz w:val="32"/>
          <w:szCs w:val="32"/>
        </w:rPr>
        <w:t>%，项目支出</w:t>
      </w:r>
      <w:r>
        <w:rPr>
          <w:rFonts w:hint="eastAsia" w:ascii="仿宋" w:hAnsi="仿宋" w:eastAsia="仿宋" w:cs="仿宋"/>
          <w:color w:val="000000"/>
          <w:kern w:val="0"/>
          <w:sz w:val="32"/>
          <w:szCs w:val="32"/>
          <w:lang w:val="en-US" w:eastAsia="zh-CN"/>
        </w:rPr>
        <w:t>2844.44</w:t>
      </w:r>
      <w:r>
        <w:rPr>
          <w:rFonts w:hint="eastAsia" w:ascii="仿宋" w:hAnsi="仿宋" w:eastAsia="仿宋" w:cs="仿宋"/>
          <w:color w:val="000000"/>
          <w:kern w:val="0"/>
          <w:sz w:val="32"/>
          <w:szCs w:val="32"/>
        </w:rPr>
        <w:t>万元，占</w:t>
      </w:r>
      <w:r>
        <w:rPr>
          <w:rFonts w:hint="eastAsia" w:ascii="仿宋" w:hAnsi="仿宋" w:eastAsia="仿宋" w:cs="仿宋"/>
          <w:color w:val="000000"/>
          <w:kern w:val="0"/>
          <w:sz w:val="32"/>
          <w:szCs w:val="32"/>
          <w:lang w:val="en-US" w:eastAsia="zh-CN"/>
        </w:rPr>
        <w:t>84.85</w:t>
      </w:r>
      <w:r>
        <w:rPr>
          <w:rFonts w:hint="eastAsia" w:ascii="仿宋" w:hAnsi="仿宋" w:eastAsia="仿宋" w:cs="仿宋"/>
          <w:color w:val="000000"/>
          <w:kern w:val="0"/>
          <w:sz w:val="32"/>
          <w:szCs w:val="32"/>
        </w:rPr>
        <w:t>%。</w:t>
      </w:r>
    </w:p>
    <w:p>
      <w:pPr>
        <w:widowControl/>
        <w:shd w:val="clear" w:color="auto" w:fill="FFFFFF"/>
        <w:spacing w:line="600" w:lineRule="atLeast"/>
        <w:ind w:firstLine="640"/>
        <w:jc w:val="left"/>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（一）基本支出情况</w:t>
      </w:r>
    </w:p>
    <w:p>
      <w:pPr>
        <w:widowControl/>
        <w:shd w:val="clear" w:color="auto" w:fill="FFFFFF"/>
        <w:spacing w:line="600" w:lineRule="atLeast"/>
        <w:ind w:firstLine="64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基本支出是用于为保障机关正常运转、完成日常工作任务而发生的支出，包括人员经费和日公用经费。</w:t>
      </w:r>
    </w:p>
    <w:p>
      <w:pPr>
        <w:widowControl/>
        <w:shd w:val="clear" w:color="auto" w:fill="FFFFFF"/>
        <w:spacing w:line="600" w:lineRule="atLeast"/>
        <w:ind w:firstLine="64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2022</w:t>
      </w:r>
      <w:r>
        <w:rPr>
          <w:rFonts w:hint="eastAsia" w:ascii="仿宋" w:hAnsi="仿宋" w:eastAsia="仿宋" w:cs="仿宋"/>
          <w:color w:val="000000"/>
          <w:kern w:val="0"/>
          <w:sz w:val="32"/>
          <w:szCs w:val="32"/>
          <w:lang w:eastAsia="zh-CN"/>
        </w:rPr>
        <w:t>区</w:t>
      </w:r>
      <w:r>
        <w:rPr>
          <w:rFonts w:hint="eastAsia" w:ascii="仿宋" w:hAnsi="仿宋" w:eastAsia="仿宋" w:cs="仿宋"/>
          <w:color w:val="000000"/>
          <w:kern w:val="0"/>
          <w:sz w:val="32"/>
          <w:szCs w:val="32"/>
        </w:rPr>
        <w:t>财政批复的基本支出年初预算为</w:t>
      </w:r>
      <w:r>
        <w:rPr>
          <w:rFonts w:hint="eastAsia" w:ascii="仿宋" w:hAnsi="仿宋" w:eastAsia="仿宋" w:cs="仿宋"/>
          <w:color w:val="000000"/>
          <w:kern w:val="0"/>
          <w:sz w:val="32"/>
          <w:szCs w:val="32"/>
          <w:lang w:val="en-US" w:eastAsia="zh-CN"/>
        </w:rPr>
        <w:t>457.52</w:t>
      </w:r>
      <w:r>
        <w:rPr>
          <w:rFonts w:hint="eastAsia" w:ascii="仿宋" w:hAnsi="仿宋" w:eastAsia="仿宋" w:cs="仿宋"/>
          <w:color w:val="000000"/>
          <w:kern w:val="0"/>
          <w:sz w:val="32"/>
          <w:szCs w:val="32"/>
        </w:rPr>
        <w:t>万元，年中调整追加</w:t>
      </w:r>
      <w:r>
        <w:rPr>
          <w:rFonts w:hint="eastAsia" w:ascii="仿宋" w:hAnsi="仿宋" w:eastAsia="仿宋" w:cs="仿宋"/>
          <w:color w:val="000000"/>
          <w:kern w:val="0"/>
          <w:sz w:val="32"/>
          <w:szCs w:val="32"/>
          <w:lang w:val="en-US" w:eastAsia="zh-CN"/>
        </w:rPr>
        <w:t>50.27</w:t>
      </w:r>
      <w:r>
        <w:rPr>
          <w:rFonts w:hint="eastAsia" w:ascii="仿宋" w:hAnsi="仿宋" w:eastAsia="仿宋" w:cs="仿宋"/>
          <w:color w:val="000000"/>
          <w:kern w:val="0"/>
          <w:sz w:val="32"/>
          <w:szCs w:val="32"/>
        </w:rPr>
        <w:t>万元，本年实际支出</w:t>
      </w:r>
      <w:r>
        <w:rPr>
          <w:rFonts w:hint="eastAsia" w:ascii="仿宋" w:hAnsi="仿宋" w:eastAsia="仿宋" w:cs="仿宋"/>
          <w:color w:val="000000"/>
          <w:kern w:val="0"/>
          <w:sz w:val="32"/>
          <w:szCs w:val="32"/>
          <w:lang w:val="en-US" w:eastAsia="zh-CN"/>
        </w:rPr>
        <w:t>507.79</w:t>
      </w:r>
      <w:r>
        <w:rPr>
          <w:rFonts w:hint="eastAsia" w:ascii="仿宋" w:hAnsi="仿宋" w:eastAsia="仿宋" w:cs="仿宋"/>
          <w:color w:val="000000"/>
          <w:kern w:val="0"/>
          <w:sz w:val="32"/>
          <w:szCs w:val="32"/>
        </w:rPr>
        <w:t>万元。</w:t>
      </w:r>
      <w:r>
        <w:rPr>
          <w:rFonts w:hint="eastAsia" w:ascii="仿宋" w:hAnsi="仿宋" w:eastAsia="仿宋" w:cs="仿宋"/>
          <w:color w:val="000000"/>
          <w:kern w:val="0"/>
          <w:sz w:val="32"/>
          <w:szCs w:val="32"/>
          <w:lang w:eastAsia="zh-CN"/>
        </w:rPr>
        <w:t>其中人员经费支出</w:t>
      </w:r>
      <w:r>
        <w:rPr>
          <w:rFonts w:hint="eastAsia" w:ascii="仿宋" w:hAnsi="仿宋" w:eastAsia="仿宋" w:cs="仿宋"/>
          <w:color w:val="000000"/>
          <w:kern w:val="0"/>
          <w:sz w:val="32"/>
          <w:szCs w:val="32"/>
          <w:lang w:val="en-US" w:eastAsia="zh-CN"/>
        </w:rPr>
        <w:t>420.39万元，公用经费87.41万元。</w:t>
      </w:r>
    </w:p>
    <w:p>
      <w:pPr>
        <w:widowControl/>
        <w:shd w:val="clear" w:color="auto" w:fill="FFFFFF"/>
        <w:spacing w:line="600" w:lineRule="atLeast"/>
        <w:jc w:val="left"/>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w:t>
      </w:r>
      <w:r>
        <w:rPr>
          <w:rFonts w:hint="eastAsia" w:ascii="仿宋" w:hAnsi="仿宋" w:eastAsia="仿宋" w:cs="仿宋"/>
          <w:b/>
          <w:bCs/>
          <w:color w:val="000000"/>
          <w:kern w:val="0"/>
          <w:sz w:val="32"/>
          <w:szCs w:val="32"/>
          <w:lang w:eastAsia="zh-CN"/>
        </w:rPr>
        <w:t>二</w:t>
      </w:r>
      <w:r>
        <w:rPr>
          <w:rFonts w:hint="eastAsia" w:ascii="仿宋" w:hAnsi="仿宋" w:eastAsia="仿宋" w:cs="仿宋"/>
          <w:b/>
          <w:bCs/>
          <w:color w:val="000000"/>
          <w:kern w:val="0"/>
          <w:sz w:val="32"/>
          <w:szCs w:val="32"/>
        </w:rPr>
        <w:t>）项目支出情况</w:t>
      </w:r>
    </w:p>
    <w:p>
      <w:pPr>
        <w:widowControl/>
        <w:shd w:val="clear" w:color="auto" w:fill="FFFFFF"/>
        <w:spacing w:line="600" w:lineRule="atLeast"/>
        <w:ind w:firstLine="64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项目支出是指单位为完成特定行政工作任务或事业发展目标而发生的支出，包括有关事业发展专项、专项业务费、基本建设支出等。</w:t>
      </w:r>
    </w:p>
    <w:p>
      <w:pPr>
        <w:widowControl/>
        <w:shd w:val="clear" w:color="auto" w:fill="FFFFFF"/>
        <w:spacing w:line="600" w:lineRule="atLeast"/>
        <w:ind w:firstLine="64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2022年</w:t>
      </w:r>
      <w:r>
        <w:rPr>
          <w:rFonts w:hint="eastAsia" w:ascii="仿宋" w:hAnsi="仿宋" w:eastAsia="仿宋" w:cs="仿宋"/>
          <w:color w:val="000000"/>
          <w:kern w:val="0"/>
          <w:sz w:val="32"/>
          <w:szCs w:val="32"/>
          <w:lang w:eastAsia="zh-CN"/>
        </w:rPr>
        <w:t>区</w:t>
      </w:r>
      <w:r>
        <w:rPr>
          <w:rFonts w:hint="eastAsia" w:ascii="仿宋" w:hAnsi="仿宋" w:eastAsia="仿宋" w:cs="仿宋"/>
          <w:color w:val="000000"/>
          <w:kern w:val="0"/>
          <w:sz w:val="32"/>
          <w:szCs w:val="32"/>
        </w:rPr>
        <w:t>财政批复的项目支出年初预算为</w:t>
      </w:r>
      <w:r>
        <w:rPr>
          <w:rFonts w:hint="eastAsia" w:ascii="仿宋" w:hAnsi="仿宋" w:eastAsia="仿宋" w:cs="仿宋"/>
          <w:color w:val="000000"/>
          <w:kern w:val="0"/>
          <w:sz w:val="32"/>
          <w:szCs w:val="32"/>
          <w:lang w:val="en-US" w:eastAsia="zh-CN"/>
        </w:rPr>
        <w:t>2440.67</w:t>
      </w:r>
      <w:r>
        <w:rPr>
          <w:rFonts w:hint="eastAsia" w:ascii="仿宋" w:hAnsi="仿宋" w:eastAsia="仿宋" w:cs="仿宋"/>
          <w:color w:val="000000"/>
          <w:kern w:val="0"/>
          <w:sz w:val="32"/>
          <w:szCs w:val="32"/>
        </w:rPr>
        <w:t>万元，本年结转及年中调整追加</w:t>
      </w:r>
      <w:r>
        <w:rPr>
          <w:rFonts w:hint="eastAsia" w:ascii="仿宋" w:hAnsi="仿宋" w:eastAsia="仿宋" w:cs="仿宋"/>
          <w:color w:val="000000"/>
          <w:kern w:val="0"/>
          <w:sz w:val="32"/>
          <w:szCs w:val="32"/>
          <w:lang w:val="en-US" w:eastAsia="zh-CN"/>
        </w:rPr>
        <w:t>403.77</w:t>
      </w:r>
      <w:r>
        <w:rPr>
          <w:rFonts w:hint="eastAsia" w:ascii="仿宋" w:hAnsi="仿宋" w:eastAsia="仿宋" w:cs="仿宋"/>
          <w:color w:val="000000"/>
          <w:kern w:val="0"/>
          <w:sz w:val="32"/>
          <w:szCs w:val="32"/>
        </w:rPr>
        <w:t>万元，本年实际支出</w:t>
      </w:r>
      <w:r>
        <w:rPr>
          <w:rFonts w:hint="eastAsia" w:ascii="仿宋" w:hAnsi="仿宋" w:eastAsia="仿宋" w:cs="仿宋"/>
          <w:color w:val="000000"/>
          <w:kern w:val="0"/>
          <w:sz w:val="32"/>
          <w:szCs w:val="32"/>
          <w:lang w:val="en-US" w:eastAsia="zh-CN"/>
        </w:rPr>
        <w:t>2844.44</w:t>
      </w:r>
      <w:r>
        <w:rPr>
          <w:rFonts w:hint="eastAsia" w:ascii="仿宋" w:hAnsi="仿宋" w:eastAsia="仿宋" w:cs="仿宋"/>
          <w:color w:val="000000"/>
          <w:kern w:val="0"/>
          <w:sz w:val="32"/>
          <w:szCs w:val="32"/>
        </w:rPr>
        <w:t>万元。</w:t>
      </w:r>
    </w:p>
    <w:p>
      <w:pPr>
        <w:widowControl/>
        <w:shd w:val="clear" w:color="auto" w:fill="FFFFFF"/>
        <w:spacing w:line="600" w:lineRule="atLeast"/>
        <w:ind w:firstLine="64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按支出功能科目划分，各项支出金额为：一般公共服务支出</w:t>
      </w:r>
      <w:r>
        <w:rPr>
          <w:rFonts w:hint="eastAsia" w:ascii="仿宋" w:hAnsi="仿宋" w:eastAsia="仿宋" w:cs="仿宋"/>
          <w:color w:val="000000"/>
          <w:kern w:val="0"/>
          <w:sz w:val="32"/>
          <w:szCs w:val="32"/>
          <w:lang w:val="en-US" w:eastAsia="zh-CN"/>
        </w:rPr>
        <w:t>7</w:t>
      </w:r>
      <w:r>
        <w:rPr>
          <w:rFonts w:hint="eastAsia" w:ascii="仿宋" w:hAnsi="仿宋" w:eastAsia="仿宋" w:cs="仿宋"/>
          <w:color w:val="000000"/>
          <w:kern w:val="0"/>
          <w:sz w:val="32"/>
          <w:szCs w:val="32"/>
        </w:rPr>
        <w:t>万元，科学技术支出</w:t>
      </w:r>
      <w:r>
        <w:rPr>
          <w:rFonts w:hint="eastAsia" w:ascii="仿宋" w:hAnsi="仿宋" w:eastAsia="仿宋" w:cs="仿宋"/>
          <w:color w:val="000000"/>
          <w:kern w:val="0"/>
          <w:sz w:val="32"/>
          <w:szCs w:val="32"/>
          <w:lang w:val="en-US" w:eastAsia="zh-CN"/>
        </w:rPr>
        <w:t>442.15</w:t>
      </w:r>
      <w:r>
        <w:rPr>
          <w:rFonts w:hint="eastAsia" w:ascii="仿宋" w:hAnsi="仿宋" w:eastAsia="仿宋" w:cs="仿宋"/>
          <w:color w:val="000000"/>
          <w:kern w:val="0"/>
          <w:sz w:val="32"/>
          <w:szCs w:val="32"/>
        </w:rPr>
        <w:t>万元，</w:t>
      </w:r>
      <w:r>
        <w:rPr>
          <w:rFonts w:hint="eastAsia" w:ascii="仿宋" w:hAnsi="仿宋" w:eastAsia="仿宋" w:cs="仿宋"/>
          <w:color w:val="000000"/>
          <w:kern w:val="0"/>
          <w:sz w:val="32"/>
          <w:szCs w:val="32"/>
          <w:lang w:eastAsia="zh-CN"/>
        </w:rPr>
        <w:t>社会保障和就业支出</w:t>
      </w:r>
      <w:r>
        <w:rPr>
          <w:rFonts w:hint="eastAsia" w:ascii="仿宋" w:hAnsi="仿宋" w:eastAsia="仿宋" w:cs="仿宋"/>
          <w:color w:val="000000"/>
          <w:kern w:val="0"/>
          <w:sz w:val="32"/>
          <w:szCs w:val="32"/>
          <w:lang w:val="en-US" w:eastAsia="zh-CN"/>
        </w:rPr>
        <w:t>80.4</w:t>
      </w:r>
      <w:r>
        <w:rPr>
          <w:rFonts w:hint="eastAsia" w:ascii="仿宋" w:hAnsi="仿宋" w:eastAsia="仿宋" w:cs="仿宋"/>
          <w:color w:val="000000"/>
          <w:kern w:val="0"/>
          <w:sz w:val="32"/>
          <w:szCs w:val="32"/>
        </w:rPr>
        <w:t>万元，卫生健康支出</w:t>
      </w:r>
      <w:r>
        <w:rPr>
          <w:rFonts w:hint="eastAsia" w:ascii="仿宋" w:hAnsi="仿宋" w:eastAsia="仿宋" w:cs="仿宋"/>
          <w:color w:val="000000"/>
          <w:kern w:val="0"/>
          <w:sz w:val="32"/>
          <w:szCs w:val="32"/>
          <w:lang w:val="en-US" w:eastAsia="zh-CN"/>
        </w:rPr>
        <w:t>998.99</w:t>
      </w:r>
      <w:r>
        <w:rPr>
          <w:rFonts w:hint="eastAsia" w:ascii="仿宋" w:hAnsi="仿宋" w:eastAsia="仿宋" w:cs="仿宋"/>
          <w:color w:val="000000"/>
          <w:kern w:val="0"/>
          <w:sz w:val="32"/>
          <w:szCs w:val="32"/>
        </w:rPr>
        <w:t>万元，节能环保支出</w:t>
      </w:r>
      <w:r>
        <w:rPr>
          <w:rFonts w:hint="eastAsia" w:ascii="仿宋" w:hAnsi="仿宋" w:eastAsia="仿宋" w:cs="仿宋"/>
          <w:color w:val="000000"/>
          <w:kern w:val="0"/>
          <w:sz w:val="32"/>
          <w:szCs w:val="32"/>
          <w:lang w:val="en-US" w:eastAsia="zh-CN"/>
        </w:rPr>
        <w:t>49.98</w:t>
      </w:r>
      <w:r>
        <w:rPr>
          <w:rFonts w:hint="eastAsia" w:ascii="仿宋" w:hAnsi="仿宋" w:eastAsia="仿宋" w:cs="仿宋"/>
          <w:color w:val="000000"/>
          <w:kern w:val="0"/>
          <w:sz w:val="32"/>
          <w:szCs w:val="32"/>
        </w:rPr>
        <w:t>万元，资源勘探工业信息等支出</w:t>
      </w:r>
      <w:r>
        <w:rPr>
          <w:rFonts w:hint="eastAsia" w:ascii="仿宋" w:hAnsi="仿宋" w:eastAsia="仿宋" w:cs="仿宋"/>
          <w:color w:val="000000"/>
          <w:kern w:val="0"/>
          <w:sz w:val="32"/>
          <w:szCs w:val="32"/>
          <w:lang w:val="en-US" w:eastAsia="zh-CN"/>
        </w:rPr>
        <w:t>1135.36</w:t>
      </w:r>
      <w:r>
        <w:rPr>
          <w:rFonts w:hint="eastAsia" w:ascii="仿宋" w:hAnsi="仿宋" w:eastAsia="仿宋" w:cs="仿宋"/>
          <w:color w:val="000000"/>
          <w:kern w:val="0"/>
          <w:sz w:val="32"/>
          <w:szCs w:val="32"/>
        </w:rPr>
        <w:t>万元，</w:t>
      </w:r>
      <w:r>
        <w:rPr>
          <w:rFonts w:hint="eastAsia" w:ascii="仿宋" w:hAnsi="仿宋" w:eastAsia="仿宋" w:cs="仿宋"/>
          <w:color w:val="000000"/>
          <w:kern w:val="0"/>
          <w:sz w:val="32"/>
          <w:szCs w:val="32"/>
          <w:lang w:eastAsia="zh-CN"/>
        </w:rPr>
        <w:t>商业和服务</w:t>
      </w:r>
      <w:r>
        <w:rPr>
          <w:rFonts w:hint="eastAsia" w:ascii="仿宋" w:hAnsi="仿宋" w:eastAsia="仿宋" w:cs="仿宋"/>
          <w:color w:val="000000"/>
          <w:kern w:val="0"/>
          <w:sz w:val="32"/>
          <w:szCs w:val="32"/>
          <w:lang w:val="en-US" w:eastAsia="zh-CN"/>
        </w:rPr>
        <w:t xml:space="preserve"> 支出98</w:t>
      </w:r>
      <w:r>
        <w:rPr>
          <w:rFonts w:hint="eastAsia" w:ascii="仿宋" w:hAnsi="仿宋" w:eastAsia="仿宋" w:cs="仿宋"/>
          <w:color w:val="000000"/>
          <w:kern w:val="0"/>
          <w:sz w:val="32"/>
          <w:szCs w:val="32"/>
        </w:rPr>
        <w:t>万元</w:t>
      </w:r>
      <w:r>
        <w:rPr>
          <w:rFonts w:hint="eastAsia" w:ascii="仿宋" w:hAnsi="仿宋" w:eastAsia="仿宋" w:cs="仿宋"/>
          <w:color w:val="000000"/>
          <w:kern w:val="0"/>
          <w:sz w:val="32"/>
          <w:szCs w:val="32"/>
          <w:lang w:eastAsia="zh-CN"/>
        </w:rPr>
        <w:t>，金融支出</w:t>
      </w:r>
      <w:r>
        <w:rPr>
          <w:rFonts w:hint="eastAsia" w:ascii="仿宋" w:hAnsi="仿宋" w:eastAsia="仿宋" w:cs="仿宋"/>
          <w:color w:val="000000"/>
          <w:kern w:val="0"/>
          <w:sz w:val="32"/>
          <w:szCs w:val="32"/>
          <w:lang w:val="en-US" w:eastAsia="zh-CN"/>
        </w:rPr>
        <w:t>27.73万元，其他支出4.83万元</w:t>
      </w:r>
      <w:r>
        <w:rPr>
          <w:rFonts w:hint="eastAsia" w:ascii="仿宋" w:hAnsi="仿宋" w:eastAsia="仿宋" w:cs="仿宋"/>
          <w:color w:val="000000"/>
          <w:kern w:val="0"/>
          <w:sz w:val="32"/>
          <w:szCs w:val="32"/>
        </w:rPr>
        <w:t>。</w:t>
      </w:r>
    </w:p>
    <w:p>
      <w:pPr>
        <w:rPr>
          <w:rFonts w:hint="eastAsia" w:ascii="仿宋" w:hAnsi="仿宋" w:eastAsia="仿宋" w:cs="仿宋"/>
          <w:sz w:val="32"/>
          <w:szCs w:val="32"/>
        </w:rPr>
      </w:pPr>
    </w:p>
    <w:p>
      <w:pPr>
        <w:autoSpaceDE w:val="0"/>
        <w:ind w:firstLine="790" w:firstLineChars="250"/>
        <w:rPr>
          <w:rFonts w:hint="eastAsia" w:ascii="仿宋" w:hAnsi="仿宋" w:eastAsia="仿宋" w:cs="仿宋"/>
          <w:color w:val="000000"/>
          <w:kern w:val="0"/>
          <w:sz w:val="32"/>
          <w:szCs w:val="32"/>
        </w:rPr>
      </w:pPr>
    </w:p>
    <w:p>
      <w:pPr>
        <w:autoSpaceDE w:val="0"/>
        <w:ind w:firstLine="790" w:firstLineChars="250"/>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三、政府性基金预算支出情况</w:t>
      </w:r>
    </w:p>
    <w:p>
      <w:pPr>
        <w:autoSpaceDE w:val="0"/>
        <w:ind w:firstLine="790" w:firstLineChars="25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2022年本单位无政府性基金预算支出。</w:t>
      </w:r>
    </w:p>
    <w:p>
      <w:pPr>
        <w:autoSpaceDE w:val="0"/>
        <w:ind w:firstLine="790" w:firstLineChars="250"/>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四、国有资本经营预算支出情况</w:t>
      </w:r>
    </w:p>
    <w:p>
      <w:pPr>
        <w:autoSpaceDE w:val="0"/>
        <w:ind w:firstLine="790" w:firstLineChars="25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2022年本单位无国有资本经营预算支出。</w:t>
      </w:r>
    </w:p>
    <w:p>
      <w:pPr>
        <w:autoSpaceDE w:val="0"/>
        <w:ind w:firstLine="790" w:firstLineChars="250"/>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五、社会保险基金预算支出情况</w:t>
      </w:r>
    </w:p>
    <w:p>
      <w:pPr>
        <w:autoSpaceDE w:val="0"/>
        <w:ind w:firstLine="790" w:firstLineChars="25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2022年本单位无社会保险基金预算支出。</w:t>
      </w:r>
    </w:p>
    <w:p>
      <w:pPr>
        <w:autoSpaceDE w:val="0"/>
        <w:ind w:firstLine="790" w:firstLineChars="250"/>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六、部门整体支出绩效情况：</w:t>
      </w:r>
    </w:p>
    <w:p>
      <w:pPr>
        <w:autoSpaceDE w:val="0"/>
        <w:ind w:firstLine="790" w:firstLineChars="250"/>
        <w:rPr>
          <w:rFonts w:hint="eastAsia" w:ascii="仿宋" w:hAnsi="仿宋" w:eastAsia="仿宋" w:cs="仿宋"/>
          <w:sz w:val="32"/>
          <w:szCs w:val="32"/>
        </w:rPr>
      </w:pPr>
      <w:r>
        <w:rPr>
          <w:rFonts w:hint="eastAsia" w:ascii="仿宋" w:hAnsi="仿宋" w:eastAsia="仿宋" w:cs="仿宋"/>
          <w:sz w:val="32"/>
          <w:szCs w:val="32"/>
        </w:rPr>
        <w:t xml:space="preserve"> 2022年，我局认真</w:t>
      </w:r>
      <w:r>
        <w:rPr>
          <w:rFonts w:hint="eastAsia" w:ascii="仿宋" w:hAnsi="仿宋" w:eastAsia="仿宋" w:cs="仿宋"/>
          <w:color w:val="000000"/>
          <w:sz w:val="32"/>
          <w:szCs w:val="32"/>
        </w:rPr>
        <w:t>贯彻落实党的十九大精神、二十大精神与“三高四新”发展战略，以打造中国PCB“第三极”为目标，</w:t>
      </w:r>
      <w:r>
        <w:rPr>
          <w:rFonts w:hint="eastAsia" w:ascii="仿宋" w:hAnsi="仿宋" w:eastAsia="仿宋" w:cs="仿宋"/>
          <w:sz w:val="32"/>
          <w:szCs w:val="32"/>
        </w:rPr>
        <w:t>以工业高质量发展为抓手，科学调度工业经济运行，统筹抓好重点工业领域，各项工作取得明显成效。</w:t>
      </w:r>
    </w:p>
    <w:p>
      <w:pPr>
        <w:autoSpaceDE w:val="0"/>
        <w:ind w:firstLine="790" w:firstLineChars="250"/>
        <w:rPr>
          <w:rFonts w:hint="eastAsia" w:ascii="仿宋" w:hAnsi="仿宋" w:eastAsia="仿宋" w:cs="仿宋"/>
          <w:sz w:val="32"/>
          <w:szCs w:val="32"/>
        </w:rPr>
      </w:pPr>
      <w:r>
        <w:rPr>
          <w:rFonts w:hint="eastAsia" w:ascii="仿宋" w:hAnsi="仿宋" w:eastAsia="仿宋" w:cs="仿宋"/>
          <w:b/>
          <w:bCs/>
          <w:sz w:val="32"/>
          <w:szCs w:val="32"/>
        </w:rPr>
        <w:t>1、经济运行稳中有进</w:t>
      </w:r>
      <w:r>
        <w:rPr>
          <w:rFonts w:hint="eastAsia" w:ascii="仿宋" w:hAnsi="仿宋" w:eastAsia="仿宋" w:cs="仿宋"/>
          <w:sz w:val="32"/>
          <w:szCs w:val="32"/>
        </w:rPr>
        <w:t>。2022年，全区规模工业增加值增速9.6%，工业税收增速37.7%，新增规模工业企业27家，均全市排名第一；工业投资增速20.4%，制造业占比45.5%，综合经济指标位居全市前列。重点产业、企业发展势头较好。电子信息产业产值达146亿元，增速13.2%；新材料产业产值增速38.8%；宇晶机器、鸿源稀土、维胜科技、明正宏等4家重点企业产值增速在40%以上，其中宇晶机器产值增速达106.7%，鸿源稀土增速达85.5%。</w:t>
      </w:r>
    </w:p>
    <w:p>
      <w:pPr>
        <w:autoSpaceDE w:val="0"/>
        <w:ind w:firstLine="790" w:firstLineChars="250"/>
        <w:rPr>
          <w:rFonts w:hint="eastAsia" w:ascii="仿宋" w:hAnsi="仿宋" w:eastAsia="仿宋" w:cs="仿宋"/>
          <w:sz w:val="32"/>
          <w:szCs w:val="32"/>
        </w:rPr>
      </w:pPr>
      <w:r>
        <w:rPr>
          <w:rFonts w:hint="eastAsia" w:ascii="仿宋" w:hAnsi="仿宋" w:eastAsia="仿宋" w:cs="仿宋"/>
          <w:b/>
          <w:bCs/>
          <w:sz w:val="32"/>
          <w:szCs w:val="32"/>
        </w:rPr>
        <w:t>2、特色产业聚集明显</w:t>
      </w:r>
      <w:r>
        <w:rPr>
          <w:rFonts w:hint="eastAsia" w:ascii="仿宋" w:hAnsi="仿宋" w:eastAsia="仿宋" w:cs="仿宋"/>
          <w:sz w:val="32"/>
          <w:szCs w:val="32"/>
        </w:rPr>
        <w:t>。以打造中国PCB“第三极”为目标，制定了《资阳区推进先进制造业高质量发展实施方案》、《益阳市资阳区支持PCB产业高质量发展若干政策（试行）的通知》等政策，支持PCB产业发展。目前，PCB产业园区开发面积1800亩，入驻PCB及配套企业45家，引进总投资达25亿元的金康电子二期、高登电子、群展电子、星之源电子等在建项目12个。积极促成了奥士康三期、明正宏深圳工厂回迁。奥士康、明正宏、维胜科技等</w:t>
      </w:r>
      <w:r>
        <w:rPr>
          <w:rFonts w:hint="eastAsia" w:ascii="仿宋" w:hAnsi="仿宋" w:eastAsia="仿宋" w:cs="仿宋"/>
          <w:b/>
          <w:sz w:val="32"/>
          <w:szCs w:val="32"/>
        </w:rPr>
        <w:t>3</w:t>
      </w:r>
      <w:r>
        <w:rPr>
          <w:rFonts w:hint="eastAsia" w:ascii="仿宋" w:hAnsi="仿宋" w:eastAsia="仿宋" w:cs="仿宋"/>
          <w:sz w:val="32"/>
          <w:szCs w:val="32"/>
        </w:rPr>
        <w:t>家重点企业入选行业百强，行业发展潜力与影响力不断提升。</w:t>
      </w:r>
    </w:p>
    <w:p>
      <w:pPr>
        <w:autoSpaceDE w:val="0"/>
        <w:ind w:firstLine="790" w:firstLineChars="250"/>
        <w:rPr>
          <w:rFonts w:hint="eastAsia" w:ascii="仿宋" w:hAnsi="仿宋" w:eastAsia="仿宋" w:cs="仿宋"/>
          <w:sz w:val="32"/>
          <w:szCs w:val="32"/>
        </w:rPr>
      </w:pPr>
      <w:r>
        <w:rPr>
          <w:rFonts w:hint="eastAsia" w:ascii="仿宋" w:hAnsi="仿宋" w:eastAsia="仿宋" w:cs="仿宋"/>
          <w:b/>
          <w:bCs/>
          <w:sz w:val="32"/>
          <w:szCs w:val="32"/>
        </w:rPr>
        <w:t>3、项目建设持续发力</w:t>
      </w:r>
      <w:r>
        <w:rPr>
          <w:rFonts w:hint="eastAsia" w:ascii="仿宋" w:hAnsi="仿宋" w:eastAsia="仿宋" w:cs="仿宋"/>
          <w:sz w:val="32"/>
          <w:szCs w:val="32"/>
        </w:rPr>
        <w:t>。今年我局完成</w:t>
      </w:r>
      <w:r>
        <w:rPr>
          <w:rFonts w:hint="eastAsia" w:ascii="仿宋" w:hAnsi="仿宋" w:eastAsia="仿宋" w:cs="仿宋"/>
          <w:b/>
          <w:sz w:val="32"/>
          <w:szCs w:val="32"/>
        </w:rPr>
        <w:t>争</w:t>
      </w:r>
      <w:r>
        <w:rPr>
          <w:rFonts w:hint="eastAsia" w:ascii="仿宋" w:hAnsi="仿宋" w:eastAsia="仿宋" w:cs="仿宋"/>
          <w:sz w:val="32"/>
          <w:szCs w:val="32"/>
        </w:rPr>
        <w:t>资项目93个，获批项目资金2151.2万元，超额完成了年度任务。共有明正宏、金康电路板等省100个产品创新强基项目2个，总投资1.4亿元。明正宏总投资7000万，已完成投资；金康电路板总投资7000万，已超额完成年度投资，预计明年6月份完成全部投资。共有区级重点调度工业建设项目27个，计划总投资86.45亿元，其中新建项目14个，续建项目13个，投资过亿元项目21个，重点项目建成投产后将为全区带来较大的经济效益。</w:t>
      </w:r>
    </w:p>
    <w:p>
      <w:pPr>
        <w:autoSpaceDE w:val="0"/>
        <w:ind w:firstLine="790" w:firstLineChars="250"/>
        <w:rPr>
          <w:rFonts w:hint="eastAsia" w:ascii="仿宋" w:hAnsi="仿宋" w:eastAsia="仿宋" w:cs="仿宋"/>
          <w:sz w:val="32"/>
          <w:szCs w:val="32"/>
        </w:rPr>
      </w:pPr>
      <w:r>
        <w:rPr>
          <w:rFonts w:hint="eastAsia" w:ascii="仿宋" w:hAnsi="仿宋" w:eastAsia="仿宋" w:cs="仿宋"/>
          <w:b/>
          <w:bCs/>
          <w:sz w:val="32"/>
          <w:szCs w:val="32"/>
        </w:rPr>
        <w:t>4、重点企业做优做强</w:t>
      </w:r>
      <w:r>
        <w:rPr>
          <w:rFonts w:hint="eastAsia" w:ascii="仿宋" w:hAnsi="仿宋" w:eastAsia="仿宋" w:cs="仿宋"/>
          <w:sz w:val="32"/>
          <w:szCs w:val="32"/>
        </w:rPr>
        <w:t>。今年新培育国家级专精特新“小巨人”企业2家（明正宏、诺泽生物）、省级专精特新“小巨人”企业4家（维胜科技、科鑫泰、凯清环保、银城湘味）、省级制造业单项冠军产品项目1个（菲美特）、省级智能制造标杆车间项目1个（宇晶机器）、省级“5G+互联网”示范工厂项目1个（奥士康）、省级“数字新基建”标志性项目1个（明正宏）、省级工业新产品项目2个、省级上云上平台标杆企业2家、省级企业技术中心2个、省级两化融合管理体系贯标试点企业项目6个、省级制造业数字化转型“三化”重点项目10个、省级新材料企业认定项目7个、省级绿色制造体系示范项目5个、省级节水型企业1家，企业实力显著增强。</w:t>
      </w:r>
    </w:p>
    <w:p>
      <w:pPr>
        <w:autoSpaceDE w:val="0"/>
        <w:ind w:firstLine="790" w:firstLineChars="250"/>
        <w:rPr>
          <w:rFonts w:hint="eastAsia" w:ascii="仿宋" w:hAnsi="仿宋" w:eastAsia="仿宋" w:cs="仿宋"/>
          <w:sz w:val="32"/>
          <w:szCs w:val="32"/>
        </w:rPr>
      </w:pPr>
      <w:r>
        <w:rPr>
          <w:rFonts w:hint="eastAsia" w:ascii="仿宋" w:hAnsi="仿宋" w:eastAsia="仿宋" w:cs="仿宋"/>
          <w:b/>
          <w:bCs/>
          <w:sz w:val="32"/>
          <w:szCs w:val="32"/>
        </w:rPr>
        <w:t>5、纾困工作落实有效</w:t>
      </w:r>
      <w:r>
        <w:rPr>
          <w:rFonts w:hint="eastAsia" w:ascii="仿宋" w:hAnsi="仿宋" w:eastAsia="仿宋" w:cs="仿宋"/>
          <w:sz w:val="32"/>
          <w:szCs w:val="32"/>
        </w:rPr>
        <w:t>。深入开展了“百名干部联千企”行动。选派370名联企干部，对全区3831中小企业开展全覆盖式服务。向企业印发惠企政策汇编6000余本，通过媒体发送相关政策121条。共收集企业问题825个，解决问题782个，问题解决率达94.8%。协调解决了金康电路板二期建设用地报批、银城湘味厂区民房拆迁等8项省级交办问题；助力7家企业盘活土地225亩；高效为奥士康A3工厂招工377人；为富佳科技、金康电路板、生力科技等3家企业融资6818万元等。亏损企业从年初5家减至1家；利润增速从最低-2.3%，增长到14.5%。同时，瞄准重点产业领域，制定了一系列帮扶措施，在税费减免、资金奖补、企业服务等方面精准发力。全年完成减税降费3.5亿元（不含留抵政策和缓缴政策）、留抵退税3.8亿元、政策性退税2亿元；为莱通光学等9家企业兑现土地款奖补资金4152.8万元，为奥士康等30余家企业共72个项目兑现</w:t>
      </w:r>
      <w:r>
        <w:rPr>
          <w:rFonts w:hint="eastAsia" w:ascii="仿宋" w:hAnsi="仿宋" w:eastAsia="仿宋" w:cs="仿宋"/>
          <w:b/>
          <w:sz w:val="32"/>
          <w:szCs w:val="32"/>
        </w:rPr>
        <w:t>高质量发展专项资金</w:t>
      </w:r>
      <w:r>
        <w:rPr>
          <w:rFonts w:hint="eastAsia" w:ascii="仿宋" w:hAnsi="仿宋" w:eastAsia="仿宋" w:cs="仿宋"/>
          <w:sz w:val="32"/>
          <w:szCs w:val="32"/>
        </w:rPr>
        <w:t>1645.8万元；通过资阳区中小企业公共服务平台发布企业服务信息300余条，为100多家企业提供指导服务，推荐维胜科技获评省创新创业大赛三等奖等。</w:t>
      </w:r>
    </w:p>
    <w:p>
      <w:pPr>
        <w:autoSpaceDE w:val="0"/>
        <w:ind w:firstLine="790" w:firstLineChars="250"/>
        <w:rPr>
          <w:rFonts w:hint="eastAsia" w:ascii="仿宋" w:hAnsi="仿宋" w:eastAsia="仿宋" w:cs="仿宋"/>
          <w:sz w:val="32"/>
          <w:szCs w:val="32"/>
        </w:rPr>
      </w:pPr>
      <w:r>
        <w:rPr>
          <w:rFonts w:hint="eastAsia" w:ascii="仿宋" w:hAnsi="仿宋" w:eastAsia="仿宋" w:cs="仿宋"/>
          <w:b/>
          <w:bCs/>
          <w:sz w:val="32"/>
          <w:szCs w:val="32"/>
        </w:rPr>
        <w:t>6、作风建设切实增强</w:t>
      </w:r>
      <w:r>
        <w:rPr>
          <w:rFonts w:hint="eastAsia" w:ascii="仿宋" w:hAnsi="仿宋" w:eastAsia="仿宋" w:cs="仿宋"/>
          <w:sz w:val="32"/>
          <w:szCs w:val="32"/>
        </w:rPr>
        <w:t>。今年以来，我局坚持以习近平新时代中国特色社会主义思想</w:t>
      </w:r>
      <w:bookmarkStart w:id="0" w:name="_GoBack"/>
      <w:bookmarkEnd w:id="0"/>
      <w:r>
        <w:rPr>
          <w:rFonts w:hint="eastAsia" w:ascii="仿宋" w:hAnsi="仿宋" w:eastAsia="仿宋" w:cs="仿宋"/>
          <w:sz w:val="32"/>
          <w:szCs w:val="32"/>
        </w:rPr>
        <w:t>为指导，贯彻落实新时代党的建设总要求，推动全面从严治党向纵深发展、向基层延伸、向机关党支部覆盖。</w:t>
      </w:r>
      <w:r>
        <w:rPr>
          <w:rFonts w:hint="eastAsia" w:ascii="仿宋" w:hAnsi="仿宋" w:eastAsia="仿宋" w:cs="仿宋"/>
          <w:b/>
          <w:sz w:val="32"/>
          <w:szCs w:val="32"/>
        </w:rPr>
        <w:t>一是</w:t>
      </w:r>
      <w:r>
        <w:rPr>
          <w:rFonts w:hint="eastAsia" w:ascii="仿宋" w:hAnsi="仿宋" w:eastAsia="仿宋" w:cs="仿宋"/>
          <w:sz w:val="32"/>
          <w:szCs w:val="32"/>
        </w:rPr>
        <w:t>加强理论学习。认真组织机关干部学习习近平新时代中国特色社会主义思想、党的十九大精神、二十大精神与中央、省、市、区委经济工作会议精神，持续跟进学习习近平总书记最新重要讲话和重要指示批示精神，做到了以知识武装头脑。</w:t>
      </w:r>
      <w:r>
        <w:rPr>
          <w:rFonts w:hint="eastAsia" w:ascii="仿宋" w:hAnsi="仿宋" w:eastAsia="仿宋" w:cs="仿宋"/>
          <w:b/>
          <w:sz w:val="32"/>
          <w:szCs w:val="32"/>
        </w:rPr>
        <w:t>二是</w:t>
      </w:r>
      <w:r>
        <w:rPr>
          <w:rFonts w:hint="eastAsia" w:ascii="仿宋" w:hAnsi="仿宋" w:eastAsia="仿宋" w:cs="仿宋"/>
          <w:sz w:val="32"/>
          <w:szCs w:val="32"/>
        </w:rPr>
        <w:t>强化队伍建设。持续深入开展党史学习教育，促进了“两学一做”学习教育制度化、常态化，推进党建工作与其他工作的融合发展。机关支部组织开展了换届选举，进一步加强了干部队伍的建设。</w:t>
      </w:r>
      <w:r>
        <w:rPr>
          <w:rFonts w:hint="eastAsia" w:ascii="仿宋" w:hAnsi="仿宋" w:eastAsia="仿宋" w:cs="仿宋"/>
          <w:b/>
          <w:sz w:val="32"/>
          <w:szCs w:val="32"/>
        </w:rPr>
        <w:t>三是</w:t>
      </w:r>
      <w:r>
        <w:rPr>
          <w:rFonts w:hint="eastAsia" w:ascii="仿宋" w:hAnsi="仿宋" w:eastAsia="仿宋" w:cs="仿宋"/>
          <w:sz w:val="32"/>
          <w:szCs w:val="32"/>
        </w:rPr>
        <w:t>严明作风纪律。严格贯彻中央八项规定精神，持之以恒推进党风廉政建设，持续深化纠“四风”。组织全局干部认真学习《中国共产党纪律处分条例》《中国共产党重大事项请示报告条例》等政策法规，开展参观丰堆仑革命旧址、观看警示教育片等宣传活动，督促全局干部筑牢反腐思想防线，做到警钟常鸣。</w:t>
      </w:r>
    </w:p>
    <w:p>
      <w:pPr>
        <w:autoSpaceDE w:val="0"/>
        <w:ind w:firstLine="790" w:firstLineChars="250"/>
        <w:rPr>
          <w:rFonts w:hint="eastAsia" w:ascii="仿宋" w:hAnsi="仿宋" w:eastAsia="仿宋" w:cs="仿宋"/>
          <w:sz w:val="32"/>
          <w:szCs w:val="32"/>
        </w:rPr>
      </w:pPr>
      <w:r>
        <w:rPr>
          <w:rFonts w:hint="eastAsia" w:ascii="仿宋" w:hAnsi="仿宋" w:eastAsia="仿宋" w:cs="仿宋"/>
          <w:b/>
          <w:bCs/>
          <w:sz w:val="32"/>
          <w:szCs w:val="32"/>
        </w:rPr>
        <w:t>7、中心工作有序开展</w:t>
      </w:r>
      <w:r>
        <w:rPr>
          <w:rFonts w:hint="eastAsia" w:ascii="仿宋" w:hAnsi="仿宋" w:eastAsia="仿宋" w:cs="仿宋"/>
          <w:sz w:val="32"/>
          <w:szCs w:val="32"/>
        </w:rPr>
        <w:t>。建立物资保障工作机制，做好了疫情防控物资储备、发放工作，切实保障了高速公路卡口、区级各部门物资需求；派出专业骨干专班协调3、12号地拆迁工作，完成32户拆迁任务，完成率达71.1%；严格按照飞线整治要求，完成好了515个点位的整治任务；推动5G网络建设向乡镇延伸，今年共建设5G基站221个；助力打造了龙凤港村甜橙产业，有效推进了1200立方米的冷库项目的建设；完成了桃花江游艇关于废气收集的省环保</w:t>
      </w:r>
      <w:r>
        <w:rPr>
          <w:rFonts w:hint="eastAsia" w:ascii="仿宋" w:hAnsi="仿宋" w:eastAsia="仿宋" w:cs="仿宋"/>
          <w:sz w:val="32"/>
          <w:szCs w:val="32"/>
          <w:lang w:eastAsia="zh-CN"/>
        </w:rPr>
        <w:t>督察</w:t>
      </w:r>
      <w:r>
        <w:rPr>
          <w:rFonts w:hint="eastAsia" w:ascii="仿宋" w:hAnsi="仿宋" w:eastAsia="仿宋" w:cs="仿宋"/>
          <w:sz w:val="32"/>
          <w:szCs w:val="32"/>
        </w:rPr>
        <w:t>销号工作，指导涉气企业按要求做好了特护期的错峰生产；解决了谢某龙历史遗留问题，保障了二十大期间及重大会议前无越级上访</w:t>
      </w:r>
      <w:r>
        <w:rPr>
          <w:rFonts w:hint="eastAsia" w:ascii="仿宋" w:hAnsi="仿宋" w:eastAsia="仿宋" w:cs="仿宋"/>
          <w:b/>
          <w:sz w:val="32"/>
          <w:szCs w:val="32"/>
        </w:rPr>
        <w:t>非访</w:t>
      </w:r>
      <w:r>
        <w:rPr>
          <w:rFonts w:hint="eastAsia" w:ascii="仿宋" w:hAnsi="仿宋" w:eastAsia="仿宋" w:cs="仿宋"/>
          <w:sz w:val="32"/>
          <w:szCs w:val="32"/>
        </w:rPr>
        <w:t>事件发生；深入企业开展</w:t>
      </w:r>
      <w:r>
        <w:rPr>
          <w:rFonts w:hint="eastAsia" w:ascii="仿宋" w:hAnsi="仿宋" w:eastAsia="仿宋" w:cs="仿宋"/>
          <w:b/>
          <w:sz w:val="32"/>
          <w:szCs w:val="32"/>
        </w:rPr>
        <w:t>安全生产</w:t>
      </w:r>
      <w:r>
        <w:rPr>
          <w:rFonts w:hint="eastAsia" w:ascii="仿宋" w:hAnsi="仿宋" w:eastAsia="仿宋" w:cs="仿宋"/>
          <w:sz w:val="32"/>
          <w:szCs w:val="32"/>
        </w:rPr>
        <w:t>排查30余次，督促企业整改各类安全隐患60多项，从源头上遏制重大事故发生。</w:t>
      </w:r>
    </w:p>
    <w:p>
      <w:pPr>
        <w:autoSpaceDE w:val="0"/>
        <w:ind w:firstLine="632" w:firstLineChars="200"/>
        <w:rPr>
          <w:rFonts w:hint="eastAsia" w:ascii="仿宋" w:hAnsi="仿宋" w:eastAsia="仿宋" w:cs="仿宋"/>
          <w:sz w:val="32"/>
          <w:szCs w:val="32"/>
        </w:rPr>
      </w:pPr>
      <w:r>
        <w:rPr>
          <w:rFonts w:hint="eastAsia" w:ascii="仿宋" w:hAnsi="仿宋" w:eastAsia="仿宋" w:cs="仿宋"/>
          <w:sz w:val="32"/>
          <w:szCs w:val="32"/>
        </w:rPr>
        <w:t>回顾一年的工作，在区政府以及班子的正确领导下，经过大家的共同努力，我局在2022年的绩效考核中被评为一等奖。2022年预算绩效自评分98分，等级为“优秀”。</w:t>
      </w:r>
    </w:p>
    <w:p>
      <w:pPr>
        <w:autoSpaceDE w:val="0"/>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七、存在的问题及原因分析</w:t>
      </w:r>
    </w:p>
    <w:p>
      <w:pPr>
        <w:widowControl/>
        <w:pBdr>
          <w:bottom w:val="single" w:color="FFFFFF" w:sz="8" w:space="17"/>
        </w:pBdr>
        <w:shd w:val="clear" w:color="auto" w:fill="FFFFFF"/>
        <w:spacing w:line="600" w:lineRule="atLeast"/>
        <w:ind w:firstLine="616"/>
        <w:rPr>
          <w:rFonts w:hint="eastAsia" w:ascii="仿宋" w:hAnsi="仿宋" w:eastAsia="仿宋" w:cs="仿宋"/>
          <w:color w:val="000000"/>
          <w:kern w:val="0"/>
          <w:sz w:val="32"/>
          <w:szCs w:val="32"/>
        </w:rPr>
      </w:pPr>
      <w:r>
        <w:rPr>
          <w:rFonts w:hint="eastAsia" w:ascii="仿宋" w:hAnsi="仿宋" w:eastAsia="仿宋" w:cs="仿宋"/>
          <w:color w:val="000000"/>
          <w:spacing w:val="-6"/>
          <w:kern w:val="0"/>
          <w:sz w:val="32"/>
          <w:szCs w:val="32"/>
        </w:rPr>
        <w:t>我局虽然在绩效考核上取得一定成绩，但目前在整体支出的预算编制、执行和管理过程中，依然存在一些问题和不足：</w:t>
      </w:r>
    </w:p>
    <w:p>
      <w:pPr>
        <w:widowControl/>
        <w:numPr>
          <w:ilvl w:val="0"/>
          <w:numId w:val="1"/>
        </w:numPr>
        <w:pBdr>
          <w:bottom w:val="single" w:color="FFFFFF" w:sz="8" w:space="17"/>
        </w:pBdr>
        <w:shd w:val="clear" w:color="auto" w:fill="FFFFFF"/>
        <w:spacing w:line="600" w:lineRule="atLeast"/>
        <w:ind w:firstLine="64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虽然我局实施绩效管理后财政预算资金管理精细化水平已有提高，但在绩效指标设置的精准性、合理性上有待进一步改善。</w:t>
      </w:r>
    </w:p>
    <w:p>
      <w:pPr>
        <w:widowControl/>
        <w:numPr>
          <w:ilvl w:val="0"/>
          <w:numId w:val="0"/>
        </w:numPr>
        <w:pBdr>
          <w:bottom w:val="single" w:color="FFFFFF" w:sz="8" w:space="17"/>
        </w:pBdr>
        <w:shd w:val="clear" w:color="auto" w:fill="FFFFFF"/>
        <w:spacing w:line="600" w:lineRule="atLeas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（二）原因分析： 人员经费缺口较大。由于部分在岗人员为安置的退伍军人，有三个差额和二个自收自支人员，财政经费缺口较大等等。</w:t>
      </w:r>
    </w:p>
    <w:p>
      <w:pPr>
        <w:autoSpaceDE w:val="0"/>
        <w:ind w:firstLine="790" w:firstLineChars="250"/>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八、下一步改进措施</w:t>
      </w:r>
    </w:p>
    <w:p>
      <w:pPr>
        <w:autoSpaceDE w:val="0"/>
        <w:ind w:firstLine="790" w:firstLineChars="25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1、进一步加强预算管理意识，遵循预算管理办法，科学合理使用财政资金，确保财政资金发挥最大效益。</w:t>
      </w:r>
    </w:p>
    <w:p>
      <w:pPr>
        <w:autoSpaceDE w:val="0"/>
        <w:ind w:firstLine="790" w:firstLineChars="25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2、加强绩效管理，健全相关制度，进一步加强管理人员对相关业务知识的学习，规范部门预算收支核算，切实提高预算收支管理水平。</w:t>
      </w:r>
    </w:p>
    <w:p>
      <w:pPr>
        <w:autoSpaceDE w:val="0"/>
        <w:ind w:firstLine="790" w:firstLineChars="250"/>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九、部门整体支出绩效自评结果拟应用和公开情况</w:t>
      </w:r>
    </w:p>
    <w:p>
      <w:pPr>
        <w:autoSpaceDE w:val="0"/>
        <w:ind w:firstLine="790" w:firstLineChars="25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1、绩效自评结果拟应用</w:t>
      </w:r>
    </w:p>
    <w:p>
      <w:pPr>
        <w:autoSpaceDE w:val="0"/>
        <w:ind w:firstLine="790" w:firstLineChars="25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通过绩效自评，进一步掌握到了资金使用情况，对于规范资金和更高效率的使用资金起到了很好地作用。并为不断完善预决算编制、专项资金管理起到了很好地指导作用。</w:t>
      </w:r>
    </w:p>
    <w:p>
      <w:pPr>
        <w:autoSpaceDE w:val="0"/>
        <w:ind w:firstLine="790" w:firstLineChars="25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2、绩效自评结果公开情况</w:t>
      </w:r>
    </w:p>
    <w:p>
      <w:pPr>
        <w:autoSpaceDE w:val="0"/>
        <w:ind w:firstLine="790" w:firstLineChars="25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此次绩效自评报告将在资阳区政府官网上予以全文公布，向社会公开，广泛接受群众监督。</w:t>
      </w:r>
    </w:p>
    <w:p>
      <w:pPr>
        <w:autoSpaceDE w:val="0"/>
        <w:ind w:firstLine="790" w:firstLineChars="25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十、其他需要说明的情况</w:t>
      </w:r>
    </w:p>
    <w:p>
      <w:pPr>
        <w:autoSpaceDE w:val="0"/>
        <w:ind w:firstLine="790" w:firstLineChars="25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本单位无其他重要事项需要说明</w:t>
      </w:r>
    </w:p>
    <w:p>
      <w:pPr>
        <w:autoSpaceDE w:val="0"/>
        <w:ind w:firstLine="790" w:firstLineChars="250"/>
        <w:rPr>
          <w:rFonts w:hint="eastAsia" w:ascii="仿宋" w:hAnsi="仿宋" w:eastAsia="仿宋" w:cs="仿宋"/>
          <w:color w:val="000000"/>
          <w:kern w:val="0"/>
          <w:sz w:val="32"/>
          <w:szCs w:val="32"/>
        </w:rPr>
      </w:pPr>
    </w:p>
    <w:p>
      <w:pPr>
        <w:autoSpaceDE w:val="0"/>
        <w:ind w:firstLine="790" w:firstLineChars="25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附件：</w:t>
      </w:r>
    </w:p>
    <w:p>
      <w:pPr>
        <w:autoSpaceDE w:val="0"/>
        <w:ind w:firstLine="790" w:firstLineChars="25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1、部门整体支出绩效评价基础数据表</w:t>
      </w:r>
    </w:p>
    <w:p>
      <w:pPr>
        <w:autoSpaceDE w:val="0"/>
        <w:ind w:firstLine="790" w:firstLineChars="25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2、部门整体支出绩效自评表</w:t>
      </w:r>
    </w:p>
    <w:p>
      <w:pPr>
        <w:widowControl/>
        <w:spacing w:line="560" w:lineRule="exact"/>
        <w:jc w:val="left"/>
        <w:rPr>
          <w:rFonts w:hint="eastAsia" w:ascii="仿宋" w:hAnsi="仿宋" w:eastAsia="仿宋" w:cs="仿宋"/>
          <w:sz w:val="32"/>
          <w:szCs w:val="32"/>
        </w:rPr>
      </w:pPr>
      <w:r>
        <w:rPr>
          <w:rFonts w:hint="eastAsia" w:ascii="仿宋" w:hAnsi="仿宋" w:eastAsia="仿宋" w:cs="仿宋"/>
          <w:sz w:val="32"/>
          <w:szCs w:val="32"/>
        </w:rPr>
        <w:t>附件1</w:t>
      </w:r>
    </w:p>
    <w:p>
      <w:pPr>
        <w:spacing w:line="600" w:lineRule="exact"/>
        <w:jc w:val="center"/>
        <w:rPr>
          <w:rFonts w:hint="eastAsia" w:ascii="仿宋" w:hAnsi="仿宋" w:eastAsia="仿宋" w:cs="仿宋"/>
          <w:color w:val="C00000"/>
          <w:kern w:val="0"/>
          <w:sz w:val="32"/>
          <w:szCs w:val="32"/>
        </w:rPr>
      </w:pPr>
      <w:r>
        <w:rPr>
          <w:rFonts w:hint="eastAsia" w:ascii="仿宋" w:hAnsi="仿宋" w:eastAsia="仿宋" w:cs="仿宋"/>
          <w:color w:val="C00000"/>
          <w:kern w:val="0"/>
          <w:sz w:val="32"/>
          <w:szCs w:val="32"/>
        </w:rPr>
        <w:t>2022年度部门整体支出绩效评价基础数据表</w:t>
      </w:r>
    </w:p>
    <w:tbl>
      <w:tblPr>
        <w:tblStyle w:val="8"/>
        <w:tblW w:w="9695" w:type="dxa"/>
        <w:jc w:val="center"/>
        <w:tblLayout w:type="fixed"/>
        <w:tblCellMar>
          <w:top w:w="0" w:type="dxa"/>
          <w:left w:w="108" w:type="dxa"/>
          <w:bottom w:w="0" w:type="dxa"/>
          <w:right w:w="108" w:type="dxa"/>
        </w:tblCellMar>
      </w:tblPr>
      <w:tblGrid>
        <w:gridCol w:w="3214"/>
        <w:gridCol w:w="1200"/>
        <w:gridCol w:w="1125"/>
        <w:gridCol w:w="1080"/>
        <w:gridCol w:w="1140"/>
        <w:gridCol w:w="960"/>
        <w:gridCol w:w="976"/>
      </w:tblGrid>
      <w:tr>
        <w:tblPrEx>
          <w:tblCellMar>
            <w:top w:w="0" w:type="dxa"/>
            <w:left w:w="108" w:type="dxa"/>
            <w:bottom w:w="0" w:type="dxa"/>
            <w:right w:w="108" w:type="dxa"/>
          </w:tblCellMar>
        </w:tblPrEx>
        <w:trPr>
          <w:trHeight w:val="397" w:hRule="atLeast"/>
          <w:jc w:val="center"/>
        </w:trPr>
        <w:tc>
          <w:tcPr>
            <w:tcW w:w="321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财政供养人员情况（人）</w:t>
            </w:r>
          </w:p>
        </w:tc>
        <w:tc>
          <w:tcPr>
            <w:tcW w:w="2325" w:type="dxa"/>
            <w:gridSpan w:val="2"/>
            <w:tcBorders>
              <w:top w:val="single" w:color="auto" w:sz="4" w:space="0"/>
              <w:left w:val="nil"/>
              <w:bottom w:val="single" w:color="auto" w:sz="4" w:space="0"/>
              <w:right w:val="single" w:color="auto" w:sz="4" w:space="0"/>
            </w:tcBorders>
            <w:vAlign w:val="center"/>
          </w:tcPr>
          <w:p>
            <w:pPr>
              <w:widowControl/>
              <w:spacing w:line="440" w:lineRule="exact"/>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编制数</w:t>
            </w:r>
          </w:p>
        </w:tc>
        <w:tc>
          <w:tcPr>
            <w:tcW w:w="2220" w:type="dxa"/>
            <w:gridSpan w:val="2"/>
            <w:tcBorders>
              <w:top w:val="single" w:color="auto" w:sz="4" w:space="0"/>
              <w:left w:val="nil"/>
              <w:bottom w:val="single" w:color="auto" w:sz="4" w:space="0"/>
              <w:right w:val="single" w:color="auto" w:sz="4" w:space="0"/>
            </w:tcBorders>
            <w:vAlign w:val="center"/>
          </w:tcPr>
          <w:p>
            <w:pPr>
              <w:widowControl/>
              <w:spacing w:line="440" w:lineRule="exact"/>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2022年实际在职人数</w:t>
            </w:r>
          </w:p>
        </w:tc>
        <w:tc>
          <w:tcPr>
            <w:tcW w:w="1936" w:type="dxa"/>
            <w:gridSpan w:val="2"/>
            <w:tcBorders>
              <w:top w:val="single" w:color="auto" w:sz="4" w:space="0"/>
              <w:left w:val="nil"/>
              <w:bottom w:val="single" w:color="auto" w:sz="4" w:space="0"/>
              <w:right w:val="single" w:color="auto" w:sz="4" w:space="0"/>
            </w:tcBorders>
            <w:vAlign w:val="center"/>
          </w:tcPr>
          <w:p>
            <w:pPr>
              <w:widowControl/>
              <w:spacing w:line="440" w:lineRule="exact"/>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控制率</w:t>
            </w:r>
          </w:p>
        </w:tc>
      </w:tr>
      <w:tr>
        <w:tblPrEx>
          <w:tblCellMar>
            <w:top w:w="0" w:type="dxa"/>
            <w:left w:w="108" w:type="dxa"/>
            <w:bottom w:w="0" w:type="dxa"/>
            <w:right w:w="108" w:type="dxa"/>
          </w:tblCellMar>
        </w:tblPrEx>
        <w:trPr>
          <w:trHeight w:val="397" w:hRule="atLeast"/>
          <w:jc w:val="center"/>
        </w:trPr>
        <w:tc>
          <w:tcPr>
            <w:tcW w:w="32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仿宋" w:hAnsi="仿宋" w:eastAsia="仿宋" w:cs="仿宋"/>
                <w:kern w:val="0"/>
                <w:sz w:val="32"/>
                <w:szCs w:val="32"/>
              </w:rPr>
            </w:pPr>
          </w:p>
        </w:tc>
        <w:tc>
          <w:tcPr>
            <w:tcW w:w="2325" w:type="dxa"/>
            <w:gridSpan w:val="2"/>
            <w:tcBorders>
              <w:top w:val="single" w:color="auto" w:sz="4" w:space="0"/>
              <w:left w:val="nil"/>
              <w:bottom w:val="single" w:color="auto" w:sz="4" w:space="0"/>
              <w:right w:val="single" w:color="auto" w:sz="4" w:space="0"/>
            </w:tcBorders>
            <w:vAlign w:val="center"/>
          </w:tcPr>
          <w:p>
            <w:pPr>
              <w:widowControl/>
              <w:spacing w:line="44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33</w:t>
            </w:r>
          </w:p>
        </w:tc>
        <w:tc>
          <w:tcPr>
            <w:tcW w:w="2220" w:type="dxa"/>
            <w:gridSpan w:val="2"/>
            <w:tcBorders>
              <w:top w:val="single" w:color="auto" w:sz="4" w:space="0"/>
              <w:left w:val="nil"/>
              <w:bottom w:val="single" w:color="auto" w:sz="4" w:space="0"/>
              <w:right w:val="single" w:color="auto" w:sz="4" w:space="0"/>
            </w:tcBorders>
            <w:vAlign w:val="center"/>
          </w:tcPr>
          <w:p>
            <w:pPr>
              <w:widowControl/>
              <w:spacing w:line="44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　31</w:t>
            </w:r>
          </w:p>
        </w:tc>
        <w:tc>
          <w:tcPr>
            <w:tcW w:w="1936" w:type="dxa"/>
            <w:gridSpan w:val="2"/>
            <w:tcBorders>
              <w:top w:val="single" w:color="auto" w:sz="4" w:space="0"/>
              <w:left w:val="nil"/>
              <w:bottom w:val="single" w:color="auto" w:sz="4" w:space="0"/>
              <w:right w:val="single" w:color="auto" w:sz="4" w:space="0"/>
            </w:tcBorders>
            <w:vAlign w:val="center"/>
          </w:tcPr>
          <w:p>
            <w:pPr>
              <w:widowControl/>
              <w:spacing w:line="44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100%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经费控制情况（万元）</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2021年决算数</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2022年预算数</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2022年决算数</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jc w:val="left"/>
              <w:rPr>
                <w:rFonts w:hint="eastAsia" w:ascii="仿宋" w:hAnsi="仿宋" w:eastAsia="仿宋" w:cs="仿宋"/>
                <w:kern w:val="0"/>
                <w:sz w:val="32"/>
                <w:szCs w:val="32"/>
              </w:rPr>
            </w:pPr>
            <w:r>
              <w:rPr>
                <w:rFonts w:hint="eastAsia" w:ascii="仿宋" w:hAnsi="仿宋" w:eastAsia="仿宋" w:cs="仿宋"/>
                <w:b/>
                <w:bCs/>
                <w:kern w:val="0"/>
                <w:sz w:val="32"/>
                <w:szCs w:val="32"/>
              </w:rPr>
              <w:t>支出总额</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707.74</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hint="default"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3352.23</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3352.23</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jc w:val="left"/>
              <w:rPr>
                <w:rFonts w:hint="eastAsia" w:ascii="仿宋" w:hAnsi="仿宋" w:eastAsia="仿宋" w:cs="仿宋"/>
                <w:kern w:val="0"/>
                <w:sz w:val="32"/>
                <w:szCs w:val="32"/>
              </w:rPr>
            </w:pPr>
            <w:r>
              <w:rPr>
                <w:rFonts w:hint="eastAsia" w:ascii="仿宋" w:hAnsi="仿宋" w:eastAsia="仿宋" w:cs="仿宋"/>
                <w:b/>
                <w:bCs/>
                <w:kern w:val="0"/>
                <w:sz w:val="32"/>
                <w:szCs w:val="32"/>
              </w:rPr>
              <w:t>基本支出</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529.72</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507.79</w:t>
            </w:r>
            <w:r>
              <w:rPr>
                <w:rFonts w:hint="eastAsia" w:ascii="仿宋" w:hAnsi="仿宋" w:eastAsia="仿宋" w:cs="仿宋"/>
                <w:kern w:val="0"/>
                <w:sz w:val="32"/>
                <w:szCs w:val="32"/>
              </w:rPr>
              <w:t>　</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507.79　</w:t>
            </w:r>
          </w:p>
        </w:tc>
      </w:tr>
      <w:tr>
        <w:tblPrEx>
          <w:tblCellMar>
            <w:top w:w="0" w:type="dxa"/>
            <w:left w:w="108" w:type="dxa"/>
            <w:bottom w:w="0" w:type="dxa"/>
            <w:right w:w="108" w:type="dxa"/>
          </w:tblCellMar>
        </w:tblPrEx>
        <w:trPr>
          <w:trHeight w:val="528"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其中：公用经费</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65.47</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　</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87.41</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jc w:val="left"/>
              <w:rPr>
                <w:rFonts w:hint="eastAsia" w:ascii="仿宋" w:hAnsi="仿宋" w:eastAsia="仿宋" w:cs="仿宋"/>
                <w:kern w:val="0"/>
                <w:sz w:val="32"/>
                <w:szCs w:val="32"/>
              </w:rPr>
            </w:pPr>
            <w:r>
              <w:rPr>
                <w:rFonts w:hint="eastAsia" w:ascii="仿宋" w:hAnsi="仿宋" w:eastAsia="仿宋" w:cs="仿宋"/>
                <w:b/>
                <w:bCs/>
                <w:kern w:val="0"/>
                <w:sz w:val="32"/>
                <w:szCs w:val="32"/>
              </w:rPr>
              <w:t>项目支出</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112.56</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hint="default" w:ascii="仿宋" w:hAnsi="仿宋" w:eastAsia="仿宋" w:cs="仿宋"/>
                <w:kern w:val="0"/>
                <w:sz w:val="32"/>
                <w:szCs w:val="32"/>
                <w:lang w:val="en-US" w:eastAsia="zh-CN"/>
              </w:rPr>
            </w:pPr>
            <w:r>
              <w:rPr>
                <w:rFonts w:hint="eastAsia" w:ascii="仿宋" w:hAnsi="仿宋" w:eastAsia="仿宋" w:cs="仿宋"/>
                <w:kern w:val="0"/>
                <w:sz w:val="32"/>
                <w:szCs w:val="32"/>
              </w:rPr>
              <w:t>　</w:t>
            </w:r>
            <w:r>
              <w:rPr>
                <w:rFonts w:hint="eastAsia" w:ascii="仿宋" w:hAnsi="仿宋" w:eastAsia="仿宋" w:cs="仿宋"/>
                <w:kern w:val="0"/>
                <w:sz w:val="32"/>
                <w:szCs w:val="32"/>
                <w:lang w:val="en-US" w:eastAsia="zh-CN"/>
              </w:rPr>
              <w:t>2844.44</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2844.44</w:t>
            </w:r>
            <w:r>
              <w:rPr>
                <w:rFonts w:hint="eastAsia" w:ascii="仿宋" w:hAnsi="仿宋" w:eastAsia="仿宋" w:cs="仿宋"/>
                <w:kern w:val="0"/>
                <w:sz w:val="32"/>
                <w:szCs w:val="32"/>
              </w:rPr>
              <w:t>　</w:t>
            </w:r>
          </w:p>
        </w:tc>
      </w:tr>
      <w:tr>
        <w:tblPrEx>
          <w:tblCellMar>
            <w:top w:w="0" w:type="dxa"/>
            <w:left w:w="108" w:type="dxa"/>
            <w:bottom w:w="0" w:type="dxa"/>
            <w:right w:w="108" w:type="dxa"/>
          </w:tblCellMar>
        </w:tblPrEx>
        <w:trPr>
          <w:trHeight w:val="90"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jc w:val="left"/>
              <w:rPr>
                <w:rFonts w:hint="eastAsia" w:ascii="仿宋" w:hAnsi="仿宋" w:eastAsia="仿宋" w:cs="仿宋"/>
                <w:b/>
                <w:bCs/>
                <w:kern w:val="0"/>
                <w:sz w:val="32"/>
                <w:szCs w:val="32"/>
              </w:rPr>
            </w:pPr>
            <w:r>
              <w:rPr>
                <w:rFonts w:hint="eastAsia" w:ascii="仿宋" w:hAnsi="仿宋" w:eastAsia="仿宋" w:cs="仿宋"/>
                <w:kern w:val="0"/>
                <w:sz w:val="32"/>
                <w:szCs w:val="32"/>
              </w:rPr>
              <w:t xml:space="preserve">    其中：1、运行维护经费</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70.56</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107.25</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107.25</w:t>
            </w:r>
          </w:p>
        </w:tc>
      </w:tr>
      <w:tr>
        <w:tblPrEx>
          <w:tblCellMar>
            <w:top w:w="0" w:type="dxa"/>
            <w:left w:w="108" w:type="dxa"/>
            <w:bottom w:w="0" w:type="dxa"/>
            <w:right w:w="108" w:type="dxa"/>
          </w:tblCellMar>
        </w:tblPrEx>
        <w:trPr>
          <w:trHeight w:val="580"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22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eastAsia="zh-CN"/>
              </w:rPr>
              <w:t>疫情防控支出</w:t>
            </w:r>
            <w:r>
              <w:rPr>
                <w:rFonts w:hint="eastAsia" w:ascii="仿宋" w:hAnsi="仿宋" w:eastAsia="仿宋" w:cs="仿宋"/>
                <w:kern w:val="0"/>
                <w:sz w:val="32"/>
                <w:szCs w:val="32"/>
              </w:rPr>
              <w:t xml:space="preserve">        </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220" w:lineRule="exact"/>
              <w:jc w:val="center"/>
              <w:rPr>
                <w:rFonts w:hint="eastAsia" w:ascii="仿宋" w:hAnsi="仿宋" w:eastAsia="仿宋" w:cs="仿宋"/>
                <w:kern w:val="0"/>
                <w:sz w:val="32"/>
                <w:szCs w:val="32"/>
              </w:rPr>
            </w:pP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220" w:lineRule="exact"/>
              <w:jc w:val="center"/>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998.99</w:t>
            </w:r>
            <w:r>
              <w:rPr>
                <w:rFonts w:hint="eastAsia" w:ascii="仿宋" w:hAnsi="仿宋" w:eastAsia="仿宋" w:cs="仿宋"/>
                <w:kern w:val="0"/>
                <w:sz w:val="32"/>
                <w:szCs w:val="32"/>
              </w:rPr>
              <w:t>　</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220" w:lineRule="exact"/>
              <w:jc w:val="center"/>
              <w:rPr>
                <w:rFonts w:hint="default" w:ascii="仿宋" w:hAnsi="仿宋" w:eastAsia="仿宋" w:cs="仿宋"/>
                <w:kern w:val="0"/>
                <w:sz w:val="32"/>
                <w:szCs w:val="32"/>
                <w:lang w:val="en-US" w:eastAsia="zh-CN"/>
              </w:rPr>
            </w:pPr>
            <w:r>
              <w:rPr>
                <w:rFonts w:hint="eastAsia" w:ascii="仿宋" w:hAnsi="仿宋" w:eastAsia="仿宋" w:cs="仿宋"/>
                <w:kern w:val="0"/>
                <w:sz w:val="32"/>
                <w:szCs w:val="32"/>
              </w:rPr>
              <w:t>　</w:t>
            </w:r>
            <w:r>
              <w:rPr>
                <w:rFonts w:hint="eastAsia" w:ascii="仿宋" w:hAnsi="仿宋" w:eastAsia="仿宋" w:cs="仿宋"/>
                <w:kern w:val="0"/>
                <w:sz w:val="32"/>
                <w:szCs w:val="32"/>
                <w:lang w:val="en-US" w:eastAsia="zh-CN"/>
              </w:rPr>
              <w:t>998.99</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jc w:val="left"/>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推进先进制造业高质量发展资金</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hint="eastAsia" w:ascii="仿宋" w:hAnsi="仿宋" w:eastAsia="仿宋" w:cs="仿宋"/>
                <w:kern w:val="0"/>
                <w:sz w:val="32"/>
                <w:szCs w:val="32"/>
              </w:rPr>
            </w:pP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1503.22</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1503.22</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jc w:val="left"/>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2021年真抓实干奖</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hint="eastAsia" w:ascii="仿宋" w:hAnsi="仿宋" w:eastAsia="仿宋" w:cs="仿宋"/>
                <w:kern w:val="0"/>
                <w:sz w:val="32"/>
                <w:szCs w:val="32"/>
              </w:rPr>
            </w:pP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25</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25</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jc w:val="lef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eastAsia="zh-CN"/>
              </w:rPr>
              <w:t>化工企业搬迁</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hint="eastAsia" w:ascii="仿宋" w:hAnsi="仿宋" w:eastAsia="仿宋" w:cs="仿宋"/>
                <w:kern w:val="0"/>
                <w:sz w:val="32"/>
                <w:szCs w:val="32"/>
              </w:rPr>
            </w:pP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49.98</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49.98</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县市区新增规模工业企业培育发展奖</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hint="eastAsia" w:ascii="仿宋" w:hAnsi="仿宋" w:eastAsia="仿宋" w:cs="仿宋"/>
                <w:kern w:val="0"/>
                <w:sz w:val="32"/>
                <w:szCs w:val="32"/>
              </w:rPr>
            </w:pP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60</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60</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w:t>
            </w:r>
            <w:r>
              <w:rPr>
                <w:rFonts w:hint="eastAsia" w:ascii="仿宋" w:hAnsi="仿宋" w:eastAsia="仿宋" w:cs="仿宋"/>
                <w:kern w:val="0"/>
                <w:sz w:val="24"/>
                <w:szCs w:val="24"/>
              </w:rPr>
              <w:t>2021年真抓实干奖-打造国家先进制造业高地</w:t>
            </w:r>
            <w:r>
              <w:rPr>
                <w:rFonts w:hint="eastAsia" w:ascii="仿宋" w:hAnsi="仿宋" w:eastAsia="仿宋" w:cs="仿宋"/>
                <w:kern w:val="0"/>
                <w:sz w:val="32"/>
                <w:szCs w:val="32"/>
              </w:rPr>
              <w:t xml:space="preserve">奖        </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hint="eastAsia" w:ascii="仿宋" w:hAnsi="仿宋" w:eastAsia="仿宋" w:cs="仿宋"/>
                <w:kern w:val="0"/>
                <w:sz w:val="32"/>
                <w:szCs w:val="32"/>
              </w:rPr>
            </w:pP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100</w:t>
            </w:r>
            <w:r>
              <w:rPr>
                <w:rFonts w:hint="eastAsia" w:ascii="仿宋" w:hAnsi="仿宋" w:eastAsia="仿宋" w:cs="仿宋"/>
                <w:kern w:val="0"/>
                <w:sz w:val="32"/>
                <w:szCs w:val="32"/>
              </w:rPr>
              <w:t>　</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100</w:t>
            </w:r>
            <w:r>
              <w:rPr>
                <w:rFonts w:hint="eastAsia" w:ascii="仿宋" w:hAnsi="仿宋" w:eastAsia="仿宋" w:cs="仿宋"/>
                <w:kern w:val="0"/>
                <w:sz w:val="32"/>
                <w:szCs w:val="32"/>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jc w:val="left"/>
              <w:rPr>
                <w:rFonts w:hint="eastAsia" w:ascii="仿宋" w:hAnsi="仿宋" w:eastAsia="仿宋" w:cs="仿宋"/>
                <w:kern w:val="0"/>
                <w:sz w:val="32"/>
                <w:szCs w:val="32"/>
              </w:rPr>
            </w:pPr>
            <w:r>
              <w:rPr>
                <w:rFonts w:hint="eastAsia" w:ascii="仿宋" w:hAnsi="仿宋" w:eastAsia="仿宋" w:cs="仿宋"/>
                <w:kern w:val="0"/>
                <w:sz w:val="24"/>
                <w:szCs w:val="24"/>
              </w:rPr>
              <w:t>2020年全市“三型两网”建设先进集体奖励</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10</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hint="eastAsia" w:ascii="仿宋" w:hAnsi="仿宋" w:eastAsia="仿宋" w:cs="仿宋"/>
                <w:kern w:val="0"/>
                <w:sz w:val="32"/>
                <w:szCs w:val="32"/>
                <w:lang w:val="en-US" w:eastAsia="zh-CN"/>
              </w:rPr>
            </w:pP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hint="eastAsia" w:ascii="仿宋" w:hAnsi="仿宋" w:eastAsia="仿宋" w:cs="仿宋"/>
                <w:kern w:val="0"/>
                <w:sz w:val="32"/>
                <w:szCs w:val="32"/>
                <w:lang w:val="en-US" w:eastAsia="zh-CN"/>
              </w:rPr>
            </w:pP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制造强省专项经费</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13</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hint="eastAsia" w:ascii="仿宋" w:hAnsi="仿宋" w:eastAsia="仿宋" w:cs="仿宋"/>
                <w:kern w:val="0"/>
                <w:sz w:val="32"/>
                <w:szCs w:val="32"/>
                <w:lang w:val="en-US" w:eastAsia="zh-CN"/>
              </w:rPr>
            </w:pP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hint="eastAsia" w:ascii="仿宋" w:hAnsi="仿宋" w:eastAsia="仿宋" w:cs="仿宋"/>
                <w:kern w:val="0"/>
                <w:sz w:val="32"/>
                <w:szCs w:val="32"/>
                <w:lang w:val="en-US" w:eastAsia="zh-CN"/>
              </w:rPr>
            </w:pP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jc w:val="left"/>
              <w:rPr>
                <w:rFonts w:hint="eastAsia" w:ascii="仿宋" w:hAnsi="仿宋" w:eastAsia="仿宋" w:cs="仿宋"/>
                <w:kern w:val="0"/>
                <w:sz w:val="32"/>
                <w:szCs w:val="32"/>
              </w:rPr>
            </w:pPr>
            <w:r>
              <w:rPr>
                <w:rFonts w:hint="eastAsia" w:ascii="仿宋" w:hAnsi="仿宋" w:eastAsia="仿宋" w:cs="仿宋"/>
                <w:kern w:val="0"/>
                <w:sz w:val="24"/>
                <w:szCs w:val="24"/>
              </w:rPr>
              <w:t>2020年度工业企业奖励资金（企业入规奖）</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19</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hint="eastAsia" w:ascii="仿宋" w:hAnsi="仿宋" w:eastAsia="仿宋" w:cs="仿宋"/>
                <w:kern w:val="0"/>
                <w:sz w:val="32"/>
                <w:szCs w:val="32"/>
                <w:lang w:val="en-US" w:eastAsia="zh-CN"/>
              </w:rPr>
            </w:pP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hint="eastAsia" w:ascii="仿宋" w:hAnsi="仿宋" w:eastAsia="仿宋" w:cs="仿宋"/>
                <w:kern w:val="0"/>
                <w:sz w:val="32"/>
                <w:szCs w:val="32"/>
                <w:lang w:val="en-US" w:eastAsia="zh-CN"/>
              </w:rPr>
            </w:pP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jc w:val="left"/>
              <w:rPr>
                <w:rFonts w:hint="eastAsia" w:ascii="仿宋" w:hAnsi="仿宋" w:eastAsia="仿宋" w:cs="仿宋"/>
                <w:kern w:val="0"/>
                <w:sz w:val="32"/>
                <w:szCs w:val="32"/>
              </w:rPr>
            </w:pPr>
            <w:r>
              <w:rPr>
                <w:rFonts w:hint="eastAsia" w:ascii="仿宋" w:hAnsi="仿宋" w:eastAsia="仿宋" w:cs="仿宋"/>
                <w:b/>
                <w:bCs/>
                <w:kern w:val="0"/>
                <w:sz w:val="32"/>
                <w:szCs w:val="32"/>
              </w:rPr>
              <w:t>三公经费</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　</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　</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1、公务用车购置和维护经费</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hint="eastAsia" w:ascii="仿宋" w:hAnsi="仿宋" w:eastAsia="仿宋" w:cs="仿宋"/>
                <w:kern w:val="0"/>
                <w:sz w:val="32"/>
                <w:szCs w:val="32"/>
              </w:rPr>
            </w:pP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hint="eastAsia" w:ascii="仿宋" w:hAnsi="仿宋" w:eastAsia="仿宋" w:cs="仿宋"/>
                <w:kern w:val="0"/>
                <w:sz w:val="32"/>
                <w:szCs w:val="32"/>
              </w:rPr>
            </w:pP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hint="eastAsia" w:ascii="仿宋" w:hAnsi="仿宋" w:eastAsia="仿宋" w:cs="仿宋"/>
                <w:kern w:val="0"/>
                <w:sz w:val="32"/>
                <w:szCs w:val="32"/>
              </w:rPr>
            </w:pP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其中：公车购置</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　</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　</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公车运行维护</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hint="eastAsia" w:ascii="仿宋" w:hAnsi="仿宋" w:eastAsia="仿宋" w:cs="仿宋"/>
                <w:kern w:val="0"/>
                <w:sz w:val="32"/>
                <w:szCs w:val="32"/>
              </w:rPr>
            </w:pP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hint="eastAsia" w:ascii="仿宋" w:hAnsi="仿宋" w:eastAsia="仿宋" w:cs="仿宋"/>
                <w:kern w:val="0"/>
                <w:sz w:val="32"/>
                <w:szCs w:val="32"/>
              </w:rPr>
            </w:pP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hint="eastAsia" w:ascii="仿宋" w:hAnsi="仿宋" w:eastAsia="仿宋" w:cs="仿宋"/>
                <w:kern w:val="0"/>
                <w:sz w:val="32"/>
                <w:szCs w:val="32"/>
              </w:rPr>
            </w:pP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2、出国经费</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　</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　</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3、公务接待</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hint="eastAsia" w:ascii="仿宋" w:hAnsi="仿宋" w:eastAsia="仿宋" w:cs="仿宋"/>
                <w:color w:val="FF0000"/>
                <w:kern w:val="0"/>
                <w:sz w:val="32"/>
                <w:szCs w:val="32"/>
              </w:rPr>
            </w:pPr>
            <w:r>
              <w:rPr>
                <w:rFonts w:hint="eastAsia" w:ascii="仿宋" w:hAnsi="仿宋" w:eastAsia="仿宋" w:cs="仿宋"/>
                <w:color w:val="FF0000"/>
                <w:kern w:val="0"/>
                <w:sz w:val="32"/>
                <w:szCs w:val="32"/>
              </w:rPr>
              <w:t>　</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hint="eastAsia" w:ascii="仿宋" w:hAnsi="仿宋" w:eastAsia="仿宋" w:cs="仿宋"/>
                <w:color w:val="FF0000"/>
                <w:kern w:val="0"/>
                <w:sz w:val="32"/>
                <w:szCs w:val="32"/>
              </w:rPr>
            </w:pPr>
            <w:r>
              <w:rPr>
                <w:rFonts w:hint="eastAsia" w:ascii="仿宋" w:hAnsi="仿宋" w:eastAsia="仿宋" w:cs="仿宋"/>
                <w:color w:val="FF0000"/>
                <w:kern w:val="0"/>
                <w:sz w:val="32"/>
                <w:szCs w:val="32"/>
              </w:rPr>
              <w:t>　</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hint="eastAsia" w:ascii="仿宋" w:hAnsi="仿宋" w:eastAsia="仿宋" w:cs="仿宋"/>
                <w:color w:val="FF0000"/>
                <w:kern w:val="0"/>
                <w:sz w:val="32"/>
                <w:szCs w:val="32"/>
              </w:rPr>
            </w:pPr>
            <w:r>
              <w:rPr>
                <w:rFonts w:hint="eastAsia" w:ascii="仿宋" w:hAnsi="仿宋" w:eastAsia="仿宋" w:cs="仿宋"/>
                <w:color w:val="FF0000"/>
                <w:kern w:val="0"/>
                <w:sz w:val="32"/>
                <w:szCs w:val="32"/>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jc w:val="left"/>
              <w:rPr>
                <w:rFonts w:hint="eastAsia" w:ascii="仿宋" w:hAnsi="仿宋" w:eastAsia="仿宋" w:cs="仿宋"/>
                <w:kern w:val="0"/>
                <w:sz w:val="32"/>
                <w:szCs w:val="32"/>
              </w:rPr>
            </w:pPr>
            <w:r>
              <w:rPr>
                <w:rFonts w:hint="eastAsia" w:ascii="仿宋" w:hAnsi="仿宋" w:eastAsia="仿宋" w:cs="仿宋"/>
                <w:b/>
                <w:bCs/>
                <w:kern w:val="0"/>
                <w:sz w:val="32"/>
                <w:szCs w:val="32"/>
              </w:rPr>
              <w:t>政府采购金额</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hint="eastAsia" w:ascii="仿宋" w:hAnsi="仿宋" w:eastAsia="仿宋" w:cs="仿宋"/>
                <w:kern w:val="0"/>
                <w:sz w:val="32"/>
                <w:szCs w:val="32"/>
              </w:rPr>
            </w:pP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hint="default" w:ascii="仿宋" w:hAnsi="仿宋" w:eastAsia="仿宋" w:cs="仿宋"/>
                <w:kern w:val="0"/>
                <w:sz w:val="32"/>
                <w:szCs w:val="32"/>
                <w:lang w:val="en-US" w:eastAsia="zh-CN"/>
              </w:rPr>
            </w:pPr>
            <w:r>
              <w:rPr>
                <w:rFonts w:hint="eastAsia" w:ascii="仿宋" w:hAnsi="仿宋" w:eastAsia="仿宋" w:cs="仿宋"/>
                <w:kern w:val="0"/>
                <w:sz w:val="32"/>
                <w:szCs w:val="32"/>
              </w:rPr>
              <w:t>　</w:t>
            </w:r>
            <w:r>
              <w:rPr>
                <w:rFonts w:hint="eastAsia" w:ascii="仿宋" w:hAnsi="仿宋" w:eastAsia="仿宋" w:cs="仿宋"/>
                <w:kern w:val="0"/>
                <w:sz w:val="32"/>
                <w:szCs w:val="32"/>
                <w:lang w:val="en-US" w:eastAsia="zh-CN"/>
              </w:rPr>
              <w:t>862.6</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1045.45</w:t>
            </w:r>
          </w:p>
        </w:tc>
      </w:tr>
      <w:tr>
        <w:tblPrEx>
          <w:tblCellMar>
            <w:top w:w="0" w:type="dxa"/>
            <w:left w:w="108" w:type="dxa"/>
            <w:bottom w:w="0" w:type="dxa"/>
            <w:right w:w="108" w:type="dxa"/>
          </w:tblCellMar>
        </w:tblPrEx>
        <w:trPr>
          <w:trHeight w:val="630" w:hRule="atLeast"/>
          <w:jc w:val="center"/>
        </w:trPr>
        <w:tc>
          <w:tcPr>
            <w:tcW w:w="3214" w:type="dxa"/>
            <w:vMerge w:val="restart"/>
            <w:tcBorders>
              <w:top w:val="nil"/>
              <w:left w:val="single" w:color="auto" w:sz="4" w:space="0"/>
              <w:bottom w:val="single" w:color="auto" w:sz="4" w:space="0"/>
              <w:right w:val="single" w:color="auto" w:sz="4" w:space="0"/>
            </w:tcBorders>
            <w:vAlign w:val="center"/>
          </w:tcPr>
          <w:p>
            <w:pPr>
              <w:widowControl/>
              <w:spacing w:line="440" w:lineRule="exact"/>
              <w:rPr>
                <w:rFonts w:hint="eastAsia" w:ascii="仿宋" w:hAnsi="仿宋" w:eastAsia="仿宋" w:cs="仿宋"/>
                <w:kern w:val="0"/>
                <w:sz w:val="32"/>
                <w:szCs w:val="32"/>
              </w:rPr>
            </w:pPr>
            <w:r>
              <w:rPr>
                <w:rFonts w:hint="eastAsia" w:ascii="仿宋" w:hAnsi="仿宋" w:eastAsia="仿宋" w:cs="仿宋"/>
                <w:kern w:val="0"/>
                <w:sz w:val="32"/>
                <w:szCs w:val="32"/>
              </w:rPr>
              <w:t>楼堂馆所控制情况</w:t>
            </w:r>
            <w:r>
              <w:rPr>
                <w:rFonts w:hint="eastAsia" w:ascii="仿宋" w:hAnsi="仿宋" w:eastAsia="仿宋" w:cs="仿宋"/>
                <w:kern w:val="0"/>
                <w:sz w:val="32"/>
                <w:szCs w:val="32"/>
              </w:rPr>
              <w:br w:type="textWrapping"/>
            </w:r>
            <w:r>
              <w:rPr>
                <w:rFonts w:hint="eastAsia" w:ascii="仿宋" w:hAnsi="仿宋" w:eastAsia="仿宋" w:cs="仿宋"/>
                <w:kern w:val="0"/>
                <w:sz w:val="32"/>
                <w:szCs w:val="32"/>
              </w:rPr>
              <w:t>（2021年完工项目）</w:t>
            </w:r>
          </w:p>
        </w:tc>
        <w:tc>
          <w:tcPr>
            <w:tcW w:w="1200" w:type="dxa"/>
            <w:tcBorders>
              <w:top w:val="nil"/>
              <w:left w:val="nil"/>
              <w:bottom w:val="single" w:color="auto" w:sz="4" w:space="0"/>
              <w:right w:val="single" w:color="auto" w:sz="4" w:space="0"/>
            </w:tcBorders>
            <w:vAlign w:val="center"/>
          </w:tcPr>
          <w:p>
            <w:pPr>
              <w:widowControl/>
              <w:spacing w:line="30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批复规模</w:t>
            </w:r>
            <w:r>
              <w:rPr>
                <w:rFonts w:hint="eastAsia" w:ascii="仿宋" w:hAnsi="仿宋" w:eastAsia="仿宋" w:cs="仿宋"/>
                <w:kern w:val="0"/>
                <w:sz w:val="32"/>
                <w:szCs w:val="32"/>
              </w:rPr>
              <w:br w:type="textWrapping"/>
            </w:r>
            <w:r>
              <w:rPr>
                <w:rFonts w:hint="eastAsia" w:ascii="仿宋" w:hAnsi="仿宋" w:eastAsia="仿宋" w:cs="仿宋"/>
                <w:kern w:val="0"/>
                <w:sz w:val="32"/>
                <w:szCs w:val="32"/>
              </w:rPr>
              <w:t>（㎡）</w:t>
            </w:r>
          </w:p>
        </w:tc>
        <w:tc>
          <w:tcPr>
            <w:tcW w:w="1125" w:type="dxa"/>
            <w:tcBorders>
              <w:top w:val="nil"/>
              <w:left w:val="nil"/>
              <w:bottom w:val="single" w:color="auto" w:sz="4" w:space="0"/>
              <w:right w:val="single" w:color="auto" w:sz="4" w:space="0"/>
            </w:tcBorders>
            <w:vAlign w:val="center"/>
          </w:tcPr>
          <w:p>
            <w:pPr>
              <w:widowControl/>
              <w:spacing w:line="30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实际规模（㎡）</w:t>
            </w: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规模控制率</w:t>
            </w:r>
          </w:p>
        </w:tc>
        <w:tc>
          <w:tcPr>
            <w:tcW w:w="1140" w:type="dxa"/>
            <w:tcBorders>
              <w:top w:val="nil"/>
              <w:left w:val="nil"/>
              <w:bottom w:val="single" w:color="auto" w:sz="4" w:space="0"/>
              <w:right w:val="single" w:color="auto" w:sz="4" w:space="0"/>
            </w:tcBorders>
            <w:vAlign w:val="center"/>
          </w:tcPr>
          <w:p>
            <w:pPr>
              <w:widowControl/>
              <w:spacing w:line="30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预算投资（万元）</w:t>
            </w:r>
          </w:p>
        </w:tc>
        <w:tc>
          <w:tcPr>
            <w:tcW w:w="960" w:type="dxa"/>
            <w:tcBorders>
              <w:top w:val="nil"/>
              <w:left w:val="nil"/>
              <w:bottom w:val="single" w:color="auto" w:sz="4" w:space="0"/>
              <w:right w:val="single" w:color="auto" w:sz="4" w:space="0"/>
            </w:tcBorders>
            <w:vAlign w:val="center"/>
          </w:tcPr>
          <w:p>
            <w:pPr>
              <w:widowControl/>
              <w:spacing w:line="30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实际投资（万元）</w:t>
            </w:r>
          </w:p>
        </w:tc>
        <w:tc>
          <w:tcPr>
            <w:tcW w:w="976" w:type="dxa"/>
            <w:tcBorders>
              <w:top w:val="nil"/>
              <w:left w:val="nil"/>
              <w:bottom w:val="single" w:color="auto" w:sz="4" w:space="0"/>
              <w:right w:val="single" w:color="auto" w:sz="4" w:space="0"/>
            </w:tcBorders>
            <w:vAlign w:val="center"/>
          </w:tcPr>
          <w:p>
            <w:pPr>
              <w:widowControl/>
              <w:spacing w:line="30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投资概算控制率</w:t>
            </w:r>
          </w:p>
        </w:tc>
      </w:tr>
      <w:tr>
        <w:tblPrEx>
          <w:tblCellMar>
            <w:top w:w="0" w:type="dxa"/>
            <w:left w:w="108" w:type="dxa"/>
            <w:bottom w:w="0" w:type="dxa"/>
            <w:right w:w="108" w:type="dxa"/>
          </w:tblCellMar>
        </w:tblPrEx>
        <w:trPr>
          <w:trHeight w:val="454" w:hRule="atLeast"/>
          <w:jc w:val="center"/>
        </w:trPr>
        <w:tc>
          <w:tcPr>
            <w:tcW w:w="3214"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hint="eastAsia" w:ascii="仿宋" w:hAnsi="仿宋" w:eastAsia="仿宋" w:cs="仿宋"/>
                <w:kern w:val="0"/>
                <w:sz w:val="32"/>
                <w:szCs w:val="32"/>
              </w:rPr>
            </w:pPr>
          </w:p>
        </w:tc>
        <w:tc>
          <w:tcPr>
            <w:tcW w:w="1200" w:type="dxa"/>
            <w:tcBorders>
              <w:top w:val="nil"/>
              <w:left w:val="nil"/>
              <w:bottom w:val="single" w:color="auto" w:sz="4" w:space="0"/>
              <w:right w:val="single" w:color="auto" w:sz="4" w:space="0"/>
            </w:tcBorders>
            <w:vAlign w:val="center"/>
          </w:tcPr>
          <w:p>
            <w:pPr>
              <w:widowControl/>
              <w:spacing w:line="44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　</w:t>
            </w:r>
          </w:p>
        </w:tc>
        <w:tc>
          <w:tcPr>
            <w:tcW w:w="1125" w:type="dxa"/>
            <w:tcBorders>
              <w:top w:val="nil"/>
              <w:left w:val="nil"/>
              <w:bottom w:val="single" w:color="auto" w:sz="4" w:space="0"/>
              <w:right w:val="single" w:color="auto" w:sz="4" w:space="0"/>
            </w:tcBorders>
            <w:vAlign w:val="center"/>
          </w:tcPr>
          <w:p>
            <w:pPr>
              <w:widowControl/>
              <w:spacing w:line="44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　</w:t>
            </w:r>
          </w:p>
        </w:tc>
        <w:tc>
          <w:tcPr>
            <w:tcW w:w="1080" w:type="dxa"/>
            <w:tcBorders>
              <w:top w:val="nil"/>
              <w:left w:val="nil"/>
              <w:bottom w:val="single" w:color="auto" w:sz="4" w:space="0"/>
              <w:right w:val="single" w:color="auto" w:sz="4" w:space="0"/>
            </w:tcBorders>
            <w:vAlign w:val="center"/>
          </w:tcPr>
          <w:p>
            <w:pPr>
              <w:widowControl/>
              <w:spacing w:line="44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　</w:t>
            </w:r>
          </w:p>
        </w:tc>
        <w:tc>
          <w:tcPr>
            <w:tcW w:w="1140" w:type="dxa"/>
            <w:tcBorders>
              <w:top w:val="nil"/>
              <w:left w:val="nil"/>
              <w:bottom w:val="single" w:color="auto" w:sz="4" w:space="0"/>
              <w:right w:val="single" w:color="auto" w:sz="4" w:space="0"/>
            </w:tcBorders>
            <w:vAlign w:val="center"/>
          </w:tcPr>
          <w:p>
            <w:pPr>
              <w:widowControl/>
              <w:spacing w:line="44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　</w:t>
            </w:r>
          </w:p>
        </w:tc>
        <w:tc>
          <w:tcPr>
            <w:tcW w:w="960" w:type="dxa"/>
            <w:tcBorders>
              <w:top w:val="nil"/>
              <w:left w:val="nil"/>
              <w:bottom w:val="single" w:color="auto" w:sz="4" w:space="0"/>
              <w:right w:val="single" w:color="auto" w:sz="4" w:space="0"/>
            </w:tcBorders>
            <w:vAlign w:val="center"/>
          </w:tcPr>
          <w:p>
            <w:pPr>
              <w:widowControl/>
              <w:spacing w:line="44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　</w:t>
            </w:r>
          </w:p>
        </w:tc>
        <w:tc>
          <w:tcPr>
            <w:tcW w:w="976" w:type="dxa"/>
            <w:tcBorders>
              <w:top w:val="nil"/>
              <w:left w:val="nil"/>
              <w:bottom w:val="single" w:color="auto" w:sz="4" w:space="0"/>
              <w:right w:val="single" w:color="auto" w:sz="4" w:space="0"/>
            </w:tcBorders>
            <w:vAlign w:val="center"/>
          </w:tcPr>
          <w:p>
            <w:pPr>
              <w:widowControl/>
              <w:spacing w:line="44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　</w:t>
            </w:r>
          </w:p>
        </w:tc>
      </w:tr>
      <w:tr>
        <w:tblPrEx>
          <w:tblCellMar>
            <w:top w:w="0" w:type="dxa"/>
            <w:left w:w="108" w:type="dxa"/>
            <w:bottom w:w="0" w:type="dxa"/>
            <w:right w:w="108" w:type="dxa"/>
          </w:tblCellMar>
        </w:tblPrEx>
        <w:trPr>
          <w:trHeight w:val="734"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厉行节约保障措施</w:t>
            </w:r>
          </w:p>
        </w:tc>
        <w:tc>
          <w:tcPr>
            <w:tcW w:w="6481" w:type="dxa"/>
            <w:gridSpan w:val="6"/>
            <w:tcBorders>
              <w:top w:val="single" w:color="auto" w:sz="4" w:space="0"/>
              <w:left w:val="nil"/>
              <w:bottom w:val="single" w:color="auto" w:sz="4" w:space="0"/>
              <w:right w:val="single" w:color="000000" w:sz="4" w:space="0"/>
            </w:tcBorders>
            <w:vAlign w:val="center"/>
          </w:tcPr>
          <w:p>
            <w:pPr>
              <w:widowControl/>
              <w:spacing w:line="44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严格落实中央八项规定和省委九项规定，坚持勤俭节约、反对铺张浪费，带头过紧日子，细化预算，确保机关运转。　　</w:t>
            </w:r>
          </w:p>
        </w:tc>
      </w:tr>
    </w:tbl>
    <w:p>
      <w:pPr>
        <w:widowControl/>
        <w:spacing w:line="30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说明：“公用经费”填报基本支出中的一般商品和服务支出。“项目支出”需要填报基本支出以外的所有项目支出情况，“运行维护经费”填报项目支出中用于人员类和公用运转类的支出。</w:t>
      </w:r>
    </w:p>
    <w:p>
      <w:pPr>
        <w:widowControl/>
        <w:shd w:val="clear" w:color="auto" w:fill="FFFFFF"/>
        <w:spacing w:line="600" w:lineRule="atLeast"/>
        <w:jc w:val="left"/>
        <w:rPr>
          <w:rFonts w:hint="eastAsia" w:ascii="仿宋" w:hAnsi="仿宋" w:eastAsia="仿宋" w:cs="仿宋"/>
          <w:kern w:val="0"/>
          <w:sz w:val="32"/>
          <w:szCs w:val="32"/>
        </w:rPr>
      </w:pPr>
      <w:r>
        <w:rPr>
          <w:rFonts w:hint="eastAsia" w:ascii="仿宋" w:hAnsi="仿宋" w:eastAsia="仿宋" w:cs="仿宋"/>
          <w:kern w:val="0"/>
          <w:sz w:val="32"/>
          <w:szCs w:val="32"/>
        </w:rPr>
        <w:t>填表人：        填报日期：          联系电话：            单位负责人签字：</w:t>
      </w:r>
    </w:p>
    <w:p>
      <w:pPr>
        <w:widowControl/>
        <w:shd w:val="clear" w:color="auto" w:fill="FFFFFF"/>
        <w:spacing w:line="600" w:lineRule="atLeast"/>
        <w:jc w:val="left"/>
        <w:rPr>
          <w:rFonts w:hint="eastAsia" w:ascii="微软雅黑" w:hAnsi="微软雅黑" w:eastAsia="微软雅黑" w:cs="宋体"/>
          <w:color w:val="000000"/>
          <w:kern w:val="0"/>
          <w:sz w:val="24"/>
          <w:szCs w:val="24"/>
        </w:rPr>
      </w:pPr>
      <w:r>
        <w:rPr>
          <w:rFonts w:hint="eastAsia" w:ascii="黑体" w:hAnsi="黑体" w:eastAsia="黑体" w:cs="宋体"/>
          <w:color w:val="000000"/>
          <w:kern w:val="0"/>
          <w:sz w:val="32"/>
          <w:szCs w:val="32"/>
        </w:rPr>
        <w:t>附件2</w:t>
      </w:r>
    </w:p>
    <w:p>
      <w:pPr>
        <w:widowControl/>
        <w:shd w:val="clear" w:color="auto" w:fill="FFFFFF"/>
        <w:spacing w:line="600" w:lineRule="atLeast"/>
        <w:jc w:val="center"/>
        <w:rPr>
          <w:rFonts w:hint="eastAsia" w:ascii="微软雅黑" w:hAnsi="微软雅黑" w:eastAsia="微软雅黑" w:cs="宋体"/>
          <w:color w:val="000000"/>
          <w:kern w:val="0"/>
          <w:sz w:val="24"/>
          <w:szCs w:val="24"/>
        </w:rPr>
      </w:pPr>
      <w:r>
        <w:rPr>
          <w:rFonts w:hint="eastAsia" w:ascii="方正小标宋简体" w:hAnsi="微软雅黑" w:eastAsia="方正小标宋简体" w:cs="宋体"/>
          <w:color w:val="000000"/>
          <w:kern w:val="0"/>
          <w:sz w:val="44"/>
          <w:szCs w:val="44"/>
        </w:rPr>
        <w:t>2022年度部门整体支出绩效自评表</w:t>
      </w:r>
    </w:p>
    <w:tbl>
      <w:tblPr>
        <w:tblStyle w:val="8"/>
        <w:tblW w:w="9865" w:type="dxa"/>
        <w:jc w:val="center"/>
        <w:tblLayout w:type="autofit"/>
        <w:tblCellMar>
          <w:top w:w="15" w:type="dxa"/>
          <w:left w:w="15" w:type="dxa"/>
          <w:bottom w:w="15" w:type="dxa"/>
          <w:right w:w="15" w:type="dxa"/>
        </w:tblCellMar>
      </w:tblPr>
      <w:tblGrid>
        <w:gridCol w:w="975"/>
        <w:gridCol w:w="943"/>
        <w:gridCol w:w="990"/>
        <w:gridCol w:w="1150"/>
        <w:gridCol w:w="243"/>
        <w:gridCol w:w="1285"/>
        <w:gridCol w:w="1301"/>
        <w:gridCol w:w="728"/>
        <w:gridCol w:w="1050"/>
        <w:gridCol w:w="1200"/>
      </w:tblGrid>
      <w:tr>
        <w:tblPrEx>
          <w:tblCellMar>
            <w:top w:w="15" w:type="dxa"/>
            <w:left w:w="15" w:type="dxa"/>
            <w:bottom w:w="15" w:type="dxa"/>
            <w:right w:w="15" w:type="dxa"/>
          </w:tblCellMar>
        </w:tblPrEx>
        <w:trPr>
          <w:trHeight w:val="624" w:hRule="atLeast"/>
          <w:jc w:val="center"/>
        </w:trPr>
        <w:tc>
          <w:tcPr>
            <w:tcW w:w="97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ascii="宋体" w:hAnsi="宋体" w:eastAsia="宋体" w:cs="Times New Roman"/>
                <w:kern w:val="0"/>
                <w:sz w:val="20"/>
                <w:szCs w:val="20"/>
              </w:rPr>
              <w:t>预算</w:t>
            </w:r>
          </w:p>
          <w:p>
            <w:pPr>
              <w:widowControl/>
              <w:spacing w:line="320" w:lineRule="atLeast"/>
              <w:jc w:val="center"/>
              <w:rPr>
                <w:rFonts w:ascii="宋体" w:hAnsi="宋体" w:eastAsia="宋体" w:cs="宋体"/>
                <w:kern w:val="0"/>
                <w:sz w:val="24"/>
                <w:szCs w:val="24"/>
              </w:rPr>
            </w:pPr>
            <w:r>
              <w:rPr>
                <w:rFonts w:ascii="宋体" w:hAnsi="宋体" w:eastAsia="宋体" w:cs="Times New Roman"/>
                <w:kern w:val="0"/>
                <w:sz w:val="20"/>
                <w:szCs w:val="20"/>
              </w:rPr>
              <w:t>部门</w:t>
            </w:r>
          </w:p>
        </w:tc>
        <w:tc>
          <w:tcPr>
            <w:tcW w:w="8890" w:type="dxa"/>
            <w:gridSpan w:val="9"/>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宋体" w:hAnsi="宋体" w:eastAsia="宋体" w:cs="宋体"/>
                <w:kern w:val="0"/>
                <w:sz w:val="20"/>
                <w:szCs w:val="20"/>
              </w:rPr>
              <w:t>益阳市</w:t>
            </w:r>
            <w:r>
              <w:rPr>
                <w:rFonts w:hint="eastAsia" w:ascii="宋体" w:hAnsi="宋体" w:eastAsia="宋体" w:cs="宋体"/>
                <w:kern w:val="0"/>
                <w:sz w:val="20"/>
                <w:szCs w:val="20"/>
                <w:lang w:eastAsia="zh-CN"/>
              </w:rPr>
              <w:t>资阳区</w:t>
            </w:r>
            <w:r>
              <w:rPr>
                <w:rFonts w:hint="eastAsia" w:ascii="宋体" w:hAnsi="宋体" w:eastAsia="宋体" w:cs="宋体"/>
                <w:kern w:val="0"/>
                <w:sz w:val="20"/>
                <w:szCs w:val="20"/>
              </w:rPr>
              <w:t>工业和信息化局</w:t>
            </w:r>
          </w:p>
        </w:tc>
      </w:tr>
      <w:tr>
        <w:tblPrEx>
          <w:tblCellMar>
            <w:top w:w="15" w:type="dxa"/>
            <w:left w:w="15" w:type="dxa"/>
            <w:bottom w:w="15" w:type="dxa"/>
            <w:right w:w="15" w:type="dxa"/>
          </w:tblCellMar>
        </w:tblPrEx>
        <w:trPr>
          <w:trHeight w:val="624" w:hRule="atLeast"/>
          <w:jc w:val="center"/>
        </w:trPr>
        <w:tc>
          <w:tcPr>
            <w:tcW w:w="97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ascii="宋体" w:hAnsi="宋体" w:eastAsia="宋体" w:cs="Times New Roman"/>
                <w:kern w:val="0"/>
                <w:sz w:val="20"/>
                <w:szCs w:val="20"/>
              </w:rPr>
              <w:t>年度预</w:t>
            </w:r>
          </w:p>
          <w:p>
            <w:pPr>
              <w:widowControl/>
              <w:spacing w:line="320" w:lineRule="atLeast"/>
              <w:jc w:val="center"/>
              <w:rPr>
                <w:rFonts w:ascii="宋体" w:hAnsi="宋体" w:eastAsia="宋体" w:cs="宋体"/>
                <w:kern w:val="0"/>
                <w:sz w:val="24"/>
                <w:szCs w:val="24"/>
              </w:rPr>
            </w:pPr>
            <w:r>
              <w:rPr>
                <w:rFonts w:ascii="宋体" w:hAnsi="宋体" w:eastAsia="宋体" w:cs="Times New Roman"/>
                <w:kern w:val="0"/>
                <w:sz w:val="20"/>
                <w:szCs w:val="20"/>
              </w:rPr>
              <w:t>算申请</w:t>
            </w:r>
          </w:p>
          <w:p>
            <w:pPr>
              <w:widowControl/>
              <w:spacing w:line="320" w:lineRule="atLeast"/>
              <w:jc w:val="center"/>
              <w:rPr>
                <w:rFonts w:ascii="宋体" w:hAnsi="宋体" w:eastAsia="宋体" w:cs="宋体"/>
                <w:kern w:val="0"/>
                <w:sz w:val="24"/>
                <w:szCs w:val="24"/>
              </w:rPr>
            </w:pPr>
            <w:r>
              <w:rPr>
                <w:rFonts w:ascii="宋体" w:hAnsi="宋体" w:eastAsia="宋体" w:cs="Times New Roman"/>
                <w:kern w:val="0"/>
                <w:sz w:val="20"/>
                <w:szCs w:val="20"/>
              </w:rPr>
              <w:t>（万元）</w:t>
            </w:r>
          </w:p>
        </w:tc>
        <w:tc>
          <w:tcPr>
            <w:tcW w:w="1933"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ascii="Times New Roman" w:hAnsi="Times New Roman" w:eastAsia="宋体" w:cs="Times New Roman"/>
                <w:kern w:val="0"/>
                <w:sz w:val="20"/>
                <w:szCs w:val="20"/>
              </w:rPr>
              <w:t> </w:t>
            </w:r>
          </w:p>
        </w:tc>
        <w:tc>
          <w:tcPr>
            <w:tcW w:w="11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ascii="宋体" w:hAnsi="宋体" w:eastAsia="宋体" w:cs="Times New Roman"/>
                <w:kern w:val="0"/>
                <w:sz w:val="20"/>
                <w:szCs w:val="20"/>
              </w:rPr>
              <w:t>年初</w:t>
            </w:r>
          </w:p>
          <w:p>
            <w:pPr>
              <w:widowControl/>
              <w:spacing w:line="320" w:lineRule="atLeast"/>
              <w:jc w:val="center"/>
              <w:rPr>
                <w:rFonts w:ascii="宋体" w:hAnsi="宋体" w:eastAsia="宋体" w:cs="宋体"/>
                <w:kern w:val="0"/>
                <w:sz w:val="24"/>
                <w:szCs w:val="24"/>
              </w:rPr>
            </w:pPr>
            <w:r>
              <w:rPr>
                <w:rFonts w:ascii="宋体" w:hAnsi="宋体" w:eastAsia="宋体" w:cs="Times New Roman"/>
                <w:kern w:val="0"/>
                <w:sz w:val="20"/>
                <w:szCs w:val="20"/>
              </w:rPr>
              <w:t>预算数</w:t>
            </w:r>
          </w:p>
        </w:tc>
        <w:tc>
          <w:tcPr>
            <w:tcW w:w="1528"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ascii="宋体" w:hAnsi="宋体" w:eastAsia="宋体" w:cs="Times New Roman"/>
                <w:kern w:val="0"/>
                <w:sz w:val="20"/>
                <w:szCs w:val="20"/>
              </w:rPr>
              <w:t>全年预算数</w:t>
            </w:r>
          </w:p>
        </w:tc>
        <w:tc>
          <w:tcPr>
            <w:tcW w:w="13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ascii="宋体" w:hAnsi="宋体" w:eastAsia="宋体" w:cs="Times New Roman"/>
                <w:kern w:val="0"/>
                <w:sz w:val="20"/>
                <w:szCs w:val="20"/>
              </w:rPr>
              <w:t>全年执行数</w:t>
            </w:r>
          </w:p>
        </w:tc>
        <w:tc>
          <w:tcPr>
            <w:tcW w:w="72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ascii="宋体" w:hAnsi="宋体" w:eastAsia="宋体" w:cs="Times New Roman"/>
                <w:kern w:val="0"/>
                <w:sz w:val="20"/>
                <w:szCs w:val="20"/>
              </w:rPr>
              <w:t>分值</w:t>
            </w:r>
          </w:p>
        </w:tc>
        <w:tc>
          <w:tcPr>
            <w:tcW w:w="10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ascii="宋体" w:hAnsi="宋体" w:eastAsia="宋体" w:cs="Times New Roman"/>
                <w:kern w:val="0"/>
                <w:sz w:val="20"/>
                <w:szCs w:val="20"/>
              </w:rPr>
              <w:t>执行率</w:t>
            </w:r>
          </w:p>
        </w:tc>
        <w:tc>
          <w:tcPr>
            <w:tcW w:w="12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ascii="宋体" w:hAnsi="宋体" w:eastAsia="宋体" w:cs="Times New Roman"/>
                <w:kern w:val="0"/>
                <w:sz w:val="20"/>
                <w:szCs w:val="20"/>
              </w:rPr>
              <w:t>得分</w:t>
            </w:r>
          </w:p>
        </w:tc>
      </w:tr>
      <w:tr>
        <w:tblPrEx>
          <w:tblCellMar>
            <w:top w:w="15" w:type="dxa"/>
            <w:left w:w="15" w:type="dxa"/>
            <w:bottom w:w="15" w:type="dxa"/>
            <w:right w:w="15" w:type="dxa"/>
          </w:tblCellMar>
        </w:tblPrEx>
        <w:trPr>
          <w:trHeight w:val="62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1933"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ascii="宋体" w:hAnsi="宋体" w:eastAsia="宋体" w:cs="Times New Roman"/>
                <w:kern w:val="0"/>
                <w:sz w:val="20"/>
                <w:szCs w:val="20"/>
              </w:rPr>
              <w:t>年度资金总额</w:t>
            </w:r>
          </w:p>
        </w:tc>
        <w:tc>
          <w:tcPr>
            <w:tcW w:w="11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498.36</w:t>
            </w:r>
          </w:p>
        </w:tc>
        <w:tc>
          <w:tcPr>
            <w:tcW w:w="1528"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3352.23</w:t>
            </w:r>
          </w:p>
        </w:tc>
        <w:tc>
          <w:tcPr>
            <w:tcW w:w="13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3352.23</w:t>
            </w:r>
          </w:p>
        </w:tc>
        <w:tc>
          <w:tcPr>
            <w:tcW w:w="7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ascii="Times New Roman" w:hAnsi="Times New Roman" w:eastAsia="宋体" w:cs="Times New Roman"/>
                <w:kern w:val="0"/>
                <w:sz w:val="20"/>
                <w:szCs w:val="20"/>
              </w:rPr>
              <w:t>10</w:t>
            </w:r>
          </w:p>
        </w:tc>
        <w:tc>
          <w:tcPr>
            <w:tcW w:w="10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Times New Roman" w:hAnsi="Times New Roman" w:eastAsia="宋体" w:cs="Times New Roman"/>
                <w:kern w:val="0"/>
                <w:sz w:val="20"/>
                <w:szCs w:val="20"/>
              </w:rPr>
              <w:t>100%</w:t>
            </w:r>
          </w:p>
        </w:tc>
        <w:tc>
          <w:tcPr>
            <w:tcW w:w="12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Times New Roman" w:hAnsi="Times New Roman" w:eastAsia="宋体" w:cs="Times New Roman"/>
                <w:kern w:val="0"/>
                <w:sz w:val="20"/>
                <w:szCs w:val="20"/>
              </w:rPr>
              <w:t>10</w:t>
            </w:r>
          </w:p>
        </w:tc>
      </w:tr>
      <w:tr>
        <w:tblPrEx>
          <w:tblCellMar>
            <w:top w:w="15" w:type="dxa"/>
            <w:left w:w="15" w:type="dxa"/>
            <w:bottom w:w="15" w:type="dxa"/>
            <w:right w:w="15" w:type="dxa"/>
          </w:tblCellMar>
        </w:tblPrEx>
        <w:trPr>
          <w:trHeight w:val="56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4611" w:type="dxa"/>
            <w:gridSpan w:val="5"/>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ascii="宋体" w:hAnsi="宋体" w:eastAsia="宋体" w:cs="Times New Roman"/>
                <w:kern w:val="0"/>
                <w:sz w:val="20"/>
                <w:szCs w:val="20"/>
              </w:rPr>
              <w:t>按收入性质分：</w:t>
            </w:r>
          </w:p>
        </w:tc>
        <w:tc>
          <w:tcPr>
            <w:tcW w:w="4279"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ascii="宋体" w:hAnsi="宋体" w:eastAsia="宋体" w:cs="Times New Roman"/>
                <w:kern w:val="0"/>
                <w:sz w:val="20"/>
                <w:szCs w:val="20"/>
              </w:rPr>
              <w:t>按支出性质分：</w:t>
            </w:r>
          </w:p>
        </w:tc>
      </w:tr>
      <w:tr>
        <w:tblPrEx>
          <w:tblCellMar>
            <w:top w:w="15" w:type="dxa"/>
            <w:left w:w="15" w:type="dxa"/>
            <w:bottom w:w="15" w:type="dxa"/>
            <w:right w:w="15" w:type="dxa"/>
          </w:tblCellMar>
        </w:tblPrEx>
        <w:trPr>
          <w:trHeight w:val="56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4611" w:type="dxa"/>
            <w:gridSpan w:val="5"/>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default" w:ascii="宋体" w:hAnsi="宋体" w:eastAsia="宋体" w:cs="宋体"/>
                <w:kern w:val="0"/>
                <w:sz w:val="24"/>
                <w:szCs w:val="24"/>
                <w:lang w:val="en-US" w:eastAsia="zh-CN"/>
              </w:rPr>
            </w:pPr>
            <w:r>
              <w:rPr>
                <w:rFonts w:ascii="宋体" w:hAnsi="宋体" w:eastAsia="宋体" w:cs="Times New Roman"/>
                <w:kern w:val="0"/>
                <w:sz w:val="20"/>
                <w:szCs w:val="20"/>
              </w:rPr>
              <w:t>其中：</w:t>
            </w:r>
            <w:r>
              <w:rPr>
                <w:rFonts w:ascii="Times New Roman" w:hAnsi="Times New Roman" w:eastAsia="宋体" w:cs="Times New Roman"/>
                <w:kern w:val="0"/>
                <w:sz w:val="20"/>
                <w:szCs w:val="20"/>
              </w:rPr>
              <w:t>  </w:t>
            </w:r>
            <w:r>
              <w:rPr>
                <w:rFonts w:ascii="宋体" w:hAnsi="宋体" w:eastAsia="宋体" w:cs="Times New Roman"/>
                <w:kern w:val="0"/>
                <w:sz w:val="20"/>
                <w:szCs w:val="20"/>
              </w:rPr>
              <w:t>一般公共预算：</w:t>
            </w:r>
            <w:r>
              <w:rPr>
                <w:rFonts w:hint="eastAsia" w:ascii="Times New Roman" w:hAnsi="Times New Roman" w:eastAsia="宋体" w:cs="Times New Roman"/>
                <w:kern w:val="0"/>
                <w:sz w:val="20"/>
                <w:szCs w:val="20"/>
                <w:lang w:val="en-US" w:eastAsia="zh-CN"/>
              </w:rPr>
              <w:t>3345.5</w:t>
            </w:r>
          </w:p>
        </w:tc>
        <w:tc>
          <w:tcPr>
            <w:tcW w:w="4279"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default" w:ascii="宋体" w:hAnsi="宋体" w:eastAsia="宋体" w:cs="宋体"/>
                <w:kern w:val="0"/>
                <w:sz w:val="24"/>
                <w:szCs w:val="24"/>
                <w:lang w:val="en-US" w:eastAsia="zh-CN"/>
              </w:rPr>
            </w:pPr>
            <w:r>
              <w:rPr>
                <w:rFonts w:ascii="宋体" w:hAnsi="宋体" w:eastAsia="宋体" w:cs="Times New Roman"/>
                <w:kern w:val="0"/>
                <w:sz w:val="20"/>
                <w:szCs w:val="20"/>
              </w:rPr>
              <w:t>其中：基本支出：</w:t>
            </w:r>
            <w:r>
              <w:rPr>
                <w:rFonts w:hint="eastAsia" w:ascii="Times New Roman" w:hAnsi="Times New Roman" w:eastAsia="宋体" w:cs="Times New Roman"/>
                <w:kern w:val="0"/>
                <w:sz w:val="20"/>
                <w:szCs w:val="20"/>
                <w:lang w:val="en-US" w:eastAsia="zh-CN"/>
              </w:rPr>
              <w:t>507.79</w:t>
            </w:r>
          </w:p>
        </w:tc>
      </w:tr>
      <w:tr>
        <w:tblPrEx>
          <w:tblCellMar>
            <w:top w:w="15" w:type="dxa"/>
            <w:left w:w="15" w:type="dxa"/>
            <w:bottom w:w="15" w:type="dxa"/>
            <w:right w:w="15" w:type="dxa"/>
          </w:tblCellMar>
        </w:tblPrEx>
        <w:trPr>
          <w:trHeight w:val="56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4611" w:type="dxa"/>
            <w:gridSpan w:val="5"/>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ind w:firstLine="800"/>
              <w:jc w:val="center"/>
              <w:rPr>
                <w:rFonts w:ascii="宋体" w:hAnsi="宋体" w:eastAsia="宋体" w:cs="宋体"/>
                <w:kern w:val="0"/>
                <w:sz w:val="24"/>
                <w:szCs w:val="24"/>
              </w:rPr>
            </w:pPr>
            <w:r>
              <w:rPr>
                <w:rFonts w:ascii="宋体" w:hAnsi="宋体" w:eastAsia="宋体" w:cs="Times New Roman"/>
                <w:kern w:val="0"/>
                <w:sz w:val="20"/>
                <w:szCs w:val="20"/>
              </w:rPr>
              <w:t>政府性基金拨款：</w:t>
            </w:r>
          </w:p>
        </w:tc>
        <w:tc>
          <w:tcPr>
            <w:tcW w:w="4279"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ind w:firstLine="600"/>
              <w:jc w:val="center"/>
              <w:rPr>
                <w:rFonts w:hint="default" w:ascii="宋体" w:hAnsi="宋体" w:eastAsia="宋体" w:cs="宋体"/>
                <w:kern w:val="0"/>
                <w:sz w:val="24"/>
                <w:szCs w:val="24"/>
                <w:lang w:val="en-US" w:eastAsia="zh-CN"/>
              </w:rPr>
            </w:pPr>
            <w:r>
              <w:rPr>
                <w:rFonts w:ascii="宋体" w:hAnsi="宋体" w:eastAsia="宋体" w:cs="Times New Roman"/>
                <w:kern w:val="0"/>
                <w:sz w:val="20"/>
                <w:szCs w:val="20"/>
              </w:rPr>
              <w:t>项目支出：</w:t>
            </w:r>
            <w:r>
              <w:rPr>
                <w:rFonts w:hint="eastAsia" w:ascii="Times New Roman" w:hAnsi="Times New Roman" w:eastAsia="宋体" w:cs="Times New Roman"/>
                <w:kern w:val="0"/>
                <w:sz w:val="20"/>
                <w:szCs w:val="20"/>
                <w:lang w:val="en-US" w:eastAsia="zh-CN"/>
              </w:rPr>
              <w:t>2844.44</w:t>
            </w:r>
          </w:p>
        </w:tc>
      </w:tr>
      <w:tr>
        <w:tblPrEx>
          <w:tblCellMar>
            <w:top w:w="15" w:type="dxa"/>
            <w:left w:w="15" w:type="dxa"/>
            <w:bottom w:w="15" w:type="dxa"/>
            <w:right w:w="15" w:type="dxa"/>
          </w:tblCellMar>
        </w:tblPrEx>
        <w:trPr>
          <w:trHeight w:val="56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4611" w:type="dxa"/>
            <w:gridSpan w:val="5"/>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ascii="宋体" w:hAnsi="宋体" w:eastAsia="宋体" w:cs="Times New Roman"/>
                <w:kern w:val="0"/>
                <w:sz w:val="20"/>
                <w:szCs w:val="20"/>
              </w:rPr>
              <w:t>纳入专户管理的非税收入拨款：</w:t>
            </w:r>
          </w:p>
        </w:tc>
        <w:tc>
          <w:tcPr>
            <w:tcW w:w="4279"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ascii="Times New Roman" w:hAnsi="Times New Roman" w:eastAsia="宋体" w:cs="Times New Roman"/>
                <w:kern w:val="0"/>
                <w:sz w:val="20"/>
                <w:szCs w:val="20"/>
              </w:rPr>
              <w:t> </w:t>
            </w:r>
          </w:p>
        </w:tc>
      </w:tr>
      <w:tr>
        <w:tblPrEx>
          <w:tblCellMar>
            <w:top w:w="15" w:type="dxa"/>
            <w:left w:w="15" w:type="dxa"/>
            <w:bottom w:w="15" w:type="dxa"/>
            <w:right w:w="15" w:type="dxa"/>
          </w:tblCellMar>
        </w:tblPrEx>
        <w:trPr>
          <w:trHeight w:val="56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4611" w:type="dxa"/>
            <w:gridSpan w:val="5"/>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ind w:firstLine="1400"/>
              <w:jc w:val="center"/>
              <w:rPr>
                <w:rFonts w:hint="default" w:ascii="宋体" w:hAnsi="宋体" w:eastAsia="宋体" w:cs="宋体"/>
                <w:kern w:val="0"/>
                <w:sz w:val="24"/>
                <w:szCs w:val="24"/>
                <w:lang w:val="en-US" w:eastAsia="zh-CN"/>
              </w:rPr>
            </w:pPr>
            <w:r>
              <w:rPr>
                <w:rFonts w:ascii="宋体" w:hAnsi="宋体" w:eastAsia="宋体" w:cs="Times New Roman"/>
                <w:kern w:val="0"/>
                <w:sz w:val="20"/>
                <w:szCs w:val="20"/>
              </w:rPr>
              <w:t>其他资金：</w:t>
            </w:r>
            <w:r>
              <w:rPr>
                <w:rFonts w:hint="eastAsia" w:ascii="Times New Roman" w:hAnsi="Times New Roman" w:eastAsia="宋体" w:cs="Times New Roman"/>
                <w:kern w:val="0"/>
                <w:sz w:val="20"/>
                <w:szCs w:val="20"/>
                <w:lang w:val="en-US" w:eastAsia="zh-CN"/>
              </w:rPr>
              <w:t>6.73</w:t>
            </w:r>
          </w:p>
        </w:tc>
        <w:tc>
          <w:tcPr>
            <w:tcW w:w="4279"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ascii="Times New Roman" w:hAnsi="Times New Roman" w:eastAsia="宋体" w:cs="Times New Roman"/>
                <w:kern w:val="0"/>
                <w:sz w:val="20"/>
                <w:szCs w:val="20"/>
              </w:rPr>
              <w:t> </w:t>
            </w:r>
          </w:p>
        </w:tc>
      </w:tr>
      <w:tr>
        <w:tblPrEx>
          <w:tblCellMar>
            <w:top w:w="15" w:type="dxa"/>
            <w:left w:w="15" w:type="dxa"/>
            <w:bottom w:w="15" w:type="dxa"/>
            <w:right w:w="15" w:type="dxa"/>
          </w:tblCellMar>
        </w:tblPrEx>
        <w:trPr>
          <w:trHeight w:val="567" w:hRule="atLeast"/>
          <w:jc w:val="center"/>
        </w:trPr>
        <w:tc>
          <w:tcPr>
            <w:tcW w:w="97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ascii="宋体" w:hAnsi="宋体" w:eastAsia="宋体" w:cs="Times New Roman"/>
                <w:kern w:val="0"/>
                <w:sz w:val="20"/>
                <w:szCs w:val="20"/>
              </w:rPr>
              <w:t>年度总体目标</w:t>
            </w:r>
          </w:p>
        </w:tc>
        <w:tc>
          <w:tcPr>
            <w:tcW w:w="4611" w:type="dxa"/>
            <w:gridSpan w:val="5"/>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ascii="宋体" w:hAnsi="宋体" w:eastAsia="宋体" w:cs="Times New Roman"/>
                <w:kern w:val="0"/>
                <w:sz w:val="20"/>
                <w:szCs w:val="20"/>
              </w:rPr>
              <w:t>预期目标</w:t>
            </w:r>
          </w:p>
        </w:tc>
        <w:tc>
          <w:tcPr>
            <w:tcW w:w="4279"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ascii="宋体" w:hAnsi="宋体" w:eastAsia="宋体" w:cs="Times New Roman"/>
                <w:kern w:val="0"/>
                <w:sz w:val="20"/>
                <w:szCs w:val="20"/>
              </w:rPr>
              <w:t>实际完成情况</w:t>
            </w:r>
          </w:p>
        </w:tc>
      </w:tr>
      <w:tr>
        <w:tblPrEx>
          <w:tblCellMar>
            <w:top w:w="15" w:type="dxa"/>
            <w:left w:w="15" w:type="dxa"/>
            <w:bottom w:w="15" w:type="dxa"/>
            <w:right w:w="15" w:type="dxa"/>
          </w:tblCellMar>
        </w:tblPrEx>
        <w:trPr>
          <w:trHeight w:val="315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4611" w:type="dxa"/>
            <w:gridSpan w:val="5"/>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rPr>
                <w:rFonts w:ascii="宋体" w:hAnsi="宋体" w:eastAsia="宋体" w:cs="宋体"/>
                <w:kern w:val="0"/>
                <w:sz w:val="24"/>
                <w:szCs w:val="24"/>
              </w:rPr>
            </w:pPr>
            <w:r>
              <w:rPr>
                <w:rFonts w:ascii="Times New Roman" w:hAnsi="Times New Roman" w:eastAsia="宋体" w:cs="Times New Roman"/>
                <w:kern w:val="0"/>
                <w:sz w:val="20"/>
                <w:szCs w:val="20"/>
              </w:rPr>
              <w:t>1</w:t>
            </w:r>
            <w:r>
              <w:rPr>
                <w:rFonts w:hint="eastAsia" w:ascii="宋体" w:hAnsi="宋体" w:eastAsia="宋体" w:cs="宋体"/>
                <w:kern w:val="0"/>
                <w:sz w:val="20"/>
                <w:szCs w:val="20"/>
              </w:rPr>
              <w:t>、保证局本级单位正常运转，推进各项专项工作正常运作，编制内在职人员控制率</w:t>
            </w:r>
            <w:r>
              <w:rPr>
                <w:rFonts w:ascii="Arial" w:hAnsi="Arial" w:eastAsia="宋体" w:cs="Arial"/>
                <w:kern w:val="0"/>
                <w:sz w:val="20"/>
                <w:szCs w:val="20"/>
              </w:rPr>
              <w:t>≤</w:t>
            </w:r>
            <w:r>
              <w:rPr>
                <w:rFonts w:hint="eastAsia" w:ascii="Times New Roman" w:hAnsi="Times New Roman" w:eastAsia="宋体" w:cs="Times New Roman"/>
                <w:kern w:val="0"/>
                <w:sz w:val="20"/>
                <w:szCs w:val="20"/>
              </w:rPr>
              <w:t>100%</w:t>
            </w:r>
            <w:r>
              <w:rPr>
                <w:rFonts w:hint="eastAsia" w:ascii="宋体" w:hAnsi="宋体" w:eastAsia="宋体" w:cs="宋体"/>
                <w:kern w:val="0"/>
                <w:sz w:val="20"/>
                <w:szCs w:val="20"/>
              </w:rPr>
              <w:t>，控制在预算编制以内，三公经费预算总额较上年减少，三公经费控制率小于</w:t>
            </w:r>
            <w:r>
              <w:rPr>
                <w:rFonts w:hint="eastAsia" w:ascii="Times New Roman" w:hAnsi="Times New Roman" w:eastAsia="宋体" w:cs="Times New Roman"/>
                <w:kern w:val="0"/>
                <w:sz w:val="20"/>
                <w:szCs w:val="20"/>
              </w:rPr>
              <w:t>100%</w:t>
            </w:r>
            <w:r>
              <w:rPr>
                <w:rFonts w:hint="eastAsia" w:ascii="宋体" w:hAnsi="宋体" w:eastAsia="宋体" w:cs="宋体"/>
                <w:kern w:val="0"/>
                <w:sz w:val="20"/>
                <w:szCs w:val="20"/>
              </w:rPr>
              <w:t>；</w:t>
            </w:r>
          </w:p>
          <w:p>
            <w:pPr>
              <w:widowControl/>
              <w:spacing w:line="300" w:lineRule="atLeast"/>
              <w:rPr>
                <w:rFonts w:ascii="宋体" w:hAnsi="宋体" w:eastAsia="宋体" w:cs="宋体"/>
                <w:kern w:val="0"/>
                <w:sz w:val="24"/>
                <w:szCs w:val="24"/>
              </w:rPr>
            </w:pPr>
            <w:r>
              <w:rPr>
                <w:rFonts w:ascii="Times New Roman" w:hAnsi="Times New Roman" w:eastAsia="宋体" w:cs="Times New Roman"/>
                <w:kern w:val="0"/>
                <w:sz w:val="20"/>
                <w:szCs w:val="20"/>
              </w:rPr>
              <w:t>2</w:t>
            </w:r>
            <w:r>
              <w:rPr>
                <w:rFonts w:hint="eastAsia" w:ascii="宋体" w:hAnsi="宋体" w:eastAsia="宋体" w:cs="宋体"/>
                <w:kern w:val="0"/>
                <w:sz w:val="20"/>
                <w:szCs w:val="20"/>
              </w:rPr>
              <w:t>、全面完成</w:t>
            </w:r>
            <w:r>
              <w:rPr>
                <w:rFonts w:hint="eastAsia" w:ascii="宋体" w:hAnsi="宋体" w:eastAsia="宋体" w:cs="宋体"/>
                <w:kern w:val="0"/>
                <w:sz w:val="20"/>
                <w:szCs w:val="20"/>
                <w:lang w:eastAsia="zh-CN"/>
              </w:rPr>
              <w:t>区</w:t>
            </w:r>
            <w:r>
              <w:rPr>
                <w:rFonts w:hint="eastAsia" w:ascii="宋体" w:hAnsi="宋体" w:eastAsia="宋体" w:cs="宋体"/>
                <w:kern w:val="0"/>
                <w:sz w:val="20"/>
                <w:szCs w:val="20"/>
              </w:rPr>
              <w:t>委经济工作会议和</w:t>
            </w:r>
            <w:r>
              <w:rPr>
                <w:rFonts w:hint="eastAsia" w:ascii="宋体" w:hAnsi="宋体" w:eastAsia="宋体" w:cs="宋体"/>
                <w:kern w:val="0"/>
                <w:sz w:val="20"/>
                <w:szCs w:val="20"/>
                <w:lang w:eastAsia="zh-CN"/>
              </w:rPr>
              <w:t>区</w:t>
            </w:r>
            <w:r>
              <w:rPr>
                <w:rFonts w:hint="eastAsia" w:ascii="宋体" w:hAnsi="宋体" w:eastAsia="宋体" w:cs="宋体"/>
                <w:kern w:val="0"/>
                <w:sz w:val="20"/>
                <w:szCs w:val="20"/>
              </w:rPr>
              <w:t>政府工作报告确定的各项任务；</w:t>
            </w:r>
          </w:p>
          <w:p>
            <w:pPr>
              <w:widowControl/>
              <w:spacing w:line="300" w:lineRule="atLeast"/>
              <w:rPr>
                <w:rFonts w:ascii="宋体" w:hAnsi="宋体" w:eastAsia="宋体" w:cs="宋体"/>
                <w:kern w:val="0"/>
                <w:sz w:val="24"/>
                <w:szCs w:val="24"/>
              </w:rPr>
            </w:pPr>
            <w:r>
              <w:rPr>
                <w:rFonts w:ascii="Times New Roman" w:hAnsi="Times New Roman" w:eastAsia="宋体" w:cs="Times New Roman"/>
                <w:kern w:val="0"/>
                <w:sz w:val="20"/>
                <w:szCs w:val="20"/>
              </w:rPr>
              <w:t>3</w:t>
            </w:r>
            <w:r>
              <w:rPr>
                <w:rFonts w:hint="eastAsia" w:ascii="宋体" w:hAnsi="宋体" w:eastAsia="宋体" w:cs="宋体"/>
                <w:kern w:val="0"/>
                <w:sz w:val="20"/>
                <w:szCs w:val="20"/>
              </w:rPr>
              <w:t>、全</w:t>
            </w:r>
            <w:r>
              <w:rPr>
                <w:rFonts w:hint="eastAsia" w:ascii="宋体" w:hAnsi="宋体" w:eastAsia="宋体" w:cs="宋体"/>
                <w:kern w:val="0"/>
                <w:sz w:val="20"/>
                <w:szCs w:val="20"/>
                <w:lang w:eastAsia="zh-CN"/>
              </w:rPr>
              <w:t>区</w:t>
            </w:r>
            <w:r>
              <w:rPr>
                <w:rFonts w:hint="eastAsia" w:ascii="宋体" w:hAnsi="宋体" w:eastAsia="宋体" w:cs="宋体"/>
                <w:kern w:val="0"/>
                <w:sz w:val="20"/>
                <w:szCs w:val="20"/>
              </w:rPr>
              <w:t>工业经济保持稳定增长，助力工业高质量发展。</w:t>
            </w:r>
          </w:p>
        </w:tc>
        <w:tc>
          <w:tcPr>
            <w:tcW w:w="4279"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rPr>
                <w:rFonts w:ascii="宋体" w:hAnsi="宋体" w:eastAsia="宋体" w:cs="宋体"/>
                <w:kern w:val="0"/>
                <w:sz w:val="24"/>
                <w:szCs w:val="24"/>
              </w:rPr>
            </w:pPr>
            <w:r>
              <w:rPr>
                <w:rFonts w:hint="eastAsia" w:ascii="宋体" w:hAnsi="宋体" w:eastAsia="宋体" w:cs="宋体"/>
                <w:kern w:val="0"/>
                <w:sz w:val="20"/>
                <w:szCs w:val="20"/>
              </w:rPr>
              <w:t>全</w:t>
            </w:r>
            <w:r>
              <w:rPr>
                <w:rFonts w:hint="eastAsia" w:ascii="宋体" w:hAnsi="宋体" w:eastAsia="宋体" w:cs="宋体"/>
                <w:kern w:val="0"/>
                <w:sz w:val="20"/>
                <w:szCs w:val="20"/>
                <w:lang w:eastAsia="zh-CN"/>
              </w:rPr>
              <w:t>区</w:t>
            </w:r>
            <w:r>
              <w:rPr>
                <w:rFonts w:hint="eastAsia" w:ascii="宋体" w:hAnsi="宋体" w:eastAsia="宋体" w:cs="宋体"/>
                <w:kern w:val="0"/>
                <w:sz w:val="20"/>
                <w:szCs w:val="20"/>
              </w:rPr>
              <w:t>工信系统全面落实“三高四新”战略地位和使命任务，加快构建现代化产业体系，深入推进新型工业化，全</w:t>
            </w:r>
            <w:r>
              <w:rPr>
                <w:rFonts w:hint="eastAsia" w:ascii="宋体" w:hAnsi="宋体" w:eastAsia="宋体" w:cs="宋体"/>
                <w:kern w:val="0"/>
                <w:sz w:val="20"/>
                <w:szCs w:val="20"/>
                <w:lang w:eastAsia="zh-CN"/>
              </w:rPr>
              <w:t>区</w:t>
            </w:r>
            <w:r>
              <w:rPr>
                <w:rFonts w:hint="eastAsia" w:ascii="宋体" w:hAnsi="宋体" w:eastAsia="宋体" w:cs="宋体"/>
                <w:kern w:val="0"/>
                <w:sz w:val="20"/>
                <w:szCs w:val="20"/>
              </w:rPr>
              <w:t>工业经济运行恢复良好，制造业高质量发展逐渐显效，充分发挥了工业经济“压舱石”作用。</w:t>
            </w:r>
            <w:r>
              <w:rPr>
                <w:rFonts w:ascii="宋体" w:hAnsi="宋体" w:eastAsia="宋体" w:cs="Times New Roman"/>
                <w:kern w:val="0"/>
                <w:sz w:val="20"/>
                <w:szCs w:val="20"/>
              </w:rPr>
              <w:t>全市</w:t>
            </w:r>
            <w:r>
              <w:rPr>
                <w:rFonts w:hint="eastAsia" w:ascii="宋体" w:hAnsi="宋体" w:eastAsia="宋体" w:cs="Times New Roman"/>
                <w:kern w:val="0"/>
                <w:sz w:val="20"/>
                <w:szCs w:val="20"/>
                <w:lang w:eastAsia="zh-CN"/>
              </w:rPr>
              <w:t>区</w:t>
            </w:r>
            <w:r>
              <w:rPr>
                <w:rFonts w:ascii="宋体" w:hAnsi="宋体" w:eastAsia="宋体" w:cs="Times New Roman"/>
                <w:kern w:val="0"/>
                <w:sz w:val="20"/>
                <w:szCs w:val="20"/>
              </w:rPr>
              <w:t>规模</w:t>
            </w:r>
            <w:r>
              <w:rPr>
                <w:rFonts w:hint="eastAsia" w:ascii="宋体" w:hAnsi="宋体" w:eastAsia="宋体" w:cs="宋体"/>
                <w:kern w:val="0"/>
                <w:sz w:val="20"/>
                <w:szCs w:val="20"/>
              </w:rPr>
              <w:t>以上</w:t>
            </w:r>
            <w:r>
              <w:rPr>
                <w:rFonts w:ascii="宋体" w:hAnsi="宋体" w:eastAsia="宋体" w:cs="Times New Roman"/>
                <w:kern w:val="0"/>
                <w:sz w:val="20"/>
                <w:szCs w:val="20"/>
              </w:rPr>
              <w:t>工业增加值增长</w:t>
            </w:r>
            <w:r>
              <w:rPr>
                <w:rFonts w:hint="eastAsia" w:ascii="Times New Roman" w:hAnsi="Times New Roman" w:eastAsia="宋体" w:cs="Times New Roman"/>
                <w:kern w:val="0"/>
                <w:sz w:val="20"/>
                <w:szCs w:val="20"/>
                <w:lang w:val="en-US" w:eastAsia="zh-CN"/>
              </w:rPr>
              <w:t>9.6</w:t>
            </w:r>
            <w:r>
              <w:rPr>
                <w:rFonts w:ascii="Times New Roman" w:hAnsi="Times New Roman" w:eastAsia="宋体" w:cs="Times New Roman"/>
                <w:kern w:val="0"/>
                <w:sz w:val="20"/>
                <w:szCs w:val="20"/>
              </w:rPr>
              <w:t>%</w:t>
            </w:r>
            <w:r>
              <w:rPr>
                <w:rFonts w:hint="eastAsia" w:ascii="宋体" w:hAnsi="宋体" w:eastAsia="宋体" w:cs="宋体"/>
                <w:kern w:val="0"/>
                <w:sz w:val="20"/>
                <w:szCs w:val="20"/>
              </w:rPr>
              <w:t>；全</w:t>
            </w:r>
            <w:r>
              <w:rPr>
                <w:rFonts w:hint="eastAsia" w:ascii="宋体" w:hAnsi="宋体" w:eastAsia="宋体" w:cs="宋体"/>
                <w:kern w:val="0"/>
                <w:sz w:val="20"/>
                <w:szCs w:val="20"/>
                <w:lang w:eastAsia="zh-CN"/>
              </w:rPr>
              <w:t>区工业税收</w:t>
            </w:r>
            <w:r>
              <w:rPr>
                <w:rFonts w:hint="eastAsia" w:ascii="宋体" w:hAnsi="宋体" w:eastAsia="宋体" w:cs="宋体"/>
                <w:kern w:val="0"/>
                <w:sz w:val="20"/>
                <w:szCs w:val="20"/>
              </w:rPr>
              <w:t>增</w:t>
            </w:r>
            <w:r>
              <w:rPr>
                <w:rFonts w:hint="eastAsia" w:ascii="宋体" w:hAnsi="宋体" w:eastAsia="宋体" w:cs="宋体"/>
                <w:kern w:val="0"/>
                <w:sz w:val="20"/>
                <w:szCs w:val="20"/>
                <w:lang w:eastAsia="zh-CN"/>
              </w:rPr>
              <w:t>速</w:t>
            </w:r>
            <w:r>
              <w:rPr>
                <w:rFonts w:hint="eastAsia" w:ascii="Times New Roman" w:hAnsi="Times New Roman" w:eastAsia="宋体" w:cs="Times New Roman"/>
                <w:kern w:val="0"/>
                <w:sz w:val="20"/>
                <w:szCs w:val="20"/>
                <w:lang w:val="en-US" w:eastAsia="zh-CN"/>
              </w:rPr>
              <w:t>37.7</w:t>
            </w:r>
            <w:r>
              <w:rPr>
                <w:rFonts w:hint="eastAsia" w:ascii="Times New Roman" w:hAnsi="Times New Roman" w:eastAsia="宋体" w:cs="Times New Roman"/>
                <w:kern w:val="0"/>
                <w:sz w:val="20"/>
                <w:szCs w:val="20"/>
              </w:rPr>
              <w:t>%</w:t>
            </w:r>
            <w:r>
              <w:rPr>
                <w:rFonts w:hint="eastAsia" w:ascii="宋体" w:hAnsi="宋体" w:eastAsia="宋体" w:cs="宋体"/>
                <w:kern w:val="0"/>
                <w:sz w:val="20"/>
                <w:szCs w:val="20"/>
              </w:rPr>
              <w:t>，工业投资增长</w:t>
            </w:r>
            <w:r>
              <w:rPr>
                <w:rFonts w:hint="eastAsia" w:ascii="Times New Roman" w:hAnsi="Times New Roman" w:eastAsia="宋体" w:cs="Times New Roman"/>
                <w:kern w:val="0"/>
                <w:sz w:val="20"/>
                <w:szCs w:val="20"/>
                <w:lang w:val="en-US" w:eastAsia="zh-CN"/>
              </w:rPr>
              <w:t>20.4</w:t>
            </w:r>
            <w:r>
              <w:rPr>
                <w:rFonts w:hint="eastAsia" w:ascii="Times New Roman" w:hAnsi="Times New Roman" w:eastAsia="宋体" w:cs="Times New Roman"/>
                <w:kern w:val="0"/>
                <w:sz w:val="20"/>
                <w:szCs w:val="20"/>
              </w:rPr>
              <w:t>%</w:t>
            </w:r>
            <w:r>
              <w:rPr>
                <w:rFonts w:hint="eastAsia" w:ascii="宋体" w:hAnsi="宋体" w:eastAsia="宋体" w:cs="宋体"/>
                <w:kern w:val="0"/>
                <w:sz w:val="20"/>
                <w:szCs w:val="20"/>
              </w:rPr>
              <w:t>。</w:t>
            </w:r>
          </w:p>
        </w:tc>
      </w:tr>
      <w:tr>
        <w:tblPrEx>
          <w:tblCellMar>
            <w:top w:w="15" w:type="dxa"/>
            <w:left w:w="15" w:type="dxa"/>
            <w:bottom w:w="15" w:type="dxa"/>
            <w:right w:w="15" w:type="dxa"/>
          </w:tblCellMar>
        </w:tblPrEx>
        <w:trPr>
          <w:jc w:val="center"/>
        </w:trPr>
        <w:tc>
          <w:tcPr>
            <w:tcW w:w="97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ascii="宋体" w:hAnsi="宋体" w:eastAsia="宋体" w:cs="Times New Roman"/>
                <w:kern w:val="0"/>
                <w:sz w:val="20"/>
                <w:szCs w:val="20"/>
              </w:rPr>
              <w:t>绩</w:t>
            </w:r>
          </w:p>
          <w:p>
            <w:pPr>
              <w:widowControl/>
              <w:spacing w:line="320" w:lineRule="atLeast"/>
              <w:jc w:val="center"/>
              <w:rPr>
                <w:rFonts w:ascii="宋体" w:hAnsi="宋体" w:eastAsia="宋体" w:cs="宋体"/>
                <w:kern w:val="0"/>
                <w:sz w:val="24"/>
                <w:szCs w:val="24"/>
              </w:rPr>
            </w:pPr>
            <w:r>
              <w:rPr>
                <w:rFonts w:ascii="宋体" w:hAnsi="宋体" w:eastAsia="宋体" w:cs="Times New Roman"/>
                <w:kern w:val="0"/>
                <w:sz w:val="20"/>
                <w:szCs w:val="20"/>
              </w:rPr>
              <w:t>效</w:t>
            </w:r>
          </w:p>
          <w:p>
            <w:pPr>
              <w:widowControl/>
              <w:spacing w:line="320" w:lineRule="atLeast"/>
              <w:jc w:val="center"/>
              <w:rPr>
                <w:rFonts w:ascii="宋体" w:hAnsi="宋体" w:eastAsia="宋体" w:cs="宋体"/>
                <w:kern w:val="0"/>
                <w:sz w:val="24"/>
                <w:szCs w:val="24"/>
              </w:rPr>
            </w:pPr>
            <w:r>
              <w:rPr>
                <w:rFonts w:ascii="宋体" w:hAnsi="宋体" w:eastAsia="宋体" w:cs="Times New Roman"/>
                <w:kern w:val="0"/>
                <w:sz w:val="20"/>
                <w:szCs w:val="20"/>
              </w:rPr>
              <w:t>指</w:t>
            </w:r>
          </w:p>
          <w:p>
            <w:pPr>
              <w:widowControl/>
              <w:spacing w:line="320" w:lineRule="atLeast"/>
              <w:jc w:val="center"/>
              <w:rPr>
                <w:rFonts w:ascii="宋体" w:hAnsi="宋体" w:eastAsia="宋体" w:cs="宋体"/>
                <w:kern w:val="0"/>
                <w:sz w:val="24"/>
                <w:szCs w:val="24"/>
              </w:rPr>
            </w:pPr>
            <w:r>
              <w:rPr>
                <w:rFonts w:ascii="宋体" w:hAnsi="宋体" w:eastAsia="宋体" w:cs="Times New Roman"/>
                <w:kern w:val="0"/>
                <w:sz w:val="20"/>
                <w:szCs w:val="20"/>
              </w:rPr>
              <w:t>标</w:t>
            </w:r>
          </w:p>
          <w:p>
            <w:pPr>
              <w:widowControl/>
              <w:spacing w:line="320" w:lineRule="atLeast"/>
              <w:jc w:val="center"/>
              <w:rPr>
                <w:rFonts w:ascii="宋体" w:hAnsi="宋体" w:eastAsia="宋体" w:cs="宋体"/>
                <w:kern w:val="0"/>
                <w:sz w:val="24"/>
                <w:szCs w:val="24"/>
              </w:rPr>
            </w:pPr>
            <w:r>
              <w:rPr>
                <w:rFonts w:ascii="宋体" w:hAnsi="宋体" w:eastAsia="宋体" w:cs="Times New Roman"/>
                <w:kern w:val="0"/>
                <w:sz w:val="20"/>
                <w:szCs w:val="20"/>
              </w:rPr>
              <w:t>绩</w:t>
            </w:r>
          </w:p>
          <w:p>
            <w:pPr>
              <w:widowControl/>
              <w:spacing w:line="320" w:lineRule="atLeast"/>
              <w:jc w:val="center"/>
              <w:rPr>
                <w:rFonts w:ascii="宋体" w:hAnsi="宋体" w:eastAsia="宋体" w:cs="宋体"/>
                <w:kern w:val="0"/>
                <w:sz w:val="24"/>
                <w:szCs w:val="24"/>
              </w:rPr>
            </w:pPr>
            <w:r>
              <w:rPr>
                <w:rFonts w:ascii="宋体" w:hAnsi="宋体" w:eastAsia="宋体" w:cs="Times New Roman"/>
                <w:kern w:val="0"/>
                <w:sz w:val="20"/>
                <w:szCs w:val="20"/>
              </w:rPr>
              <w:t>效</w:t>
            </w:r>
          </w:p>
          <w:p>
            <w:pPr>
              <w:widowControl/>
              <w:spacing w:line="320" w:lineRule="atLeast"/>
              <w:jc w:val="center"/>
              <w:rPr>
                <w:rFonts w:ascii="宋体" w:hAnsi="宋体" w:eastAsia="宋体" w:cs="宋体"/>
                <w:kern w:val="0"/>
                <w:sz w:val="24"/>
                <w:szCs w:val="24"/>
              </w:rPr>
            </w:pPr>
            <w:r>
              <w:rPr>
                <w:rFonts w:ascii="宋体" w:hAnsi="宋体" w:eastAsia="宋体" w:cs="Times New Roman"/>
                <w:kern w:val="0"/>
                <w:sz w:val="20"/>
                <w:szCs w:val="20"/>
              </w:rPr>
              <w:t>指</w:t>
            </w:r>
          </w:p>
          <w:p>
            <w:pPr>
              <w:widowControl/>
              <w:spacing w:line="320" w:lineRule="atLeast"/>
              <w:jc w:val="center"/>
              <w:rPr>
                <w:rFonts w:ascii="宋体" w:hAnsi="宋体" w:eastAsia="宋体" w:cs="宋体"/>
                <w:kern w:val="0"/>
                <w:sz w:val="24"/>
                <w:szCs w:val="24"/>
              </w:rPr>
            </w:pPr>
            <w:r>
              <w:rPr>
                <w:rFonts w:ascii="宋体" w:hAnsi="宋体" w:eastAsia="宋体" w:cs="Times New Roman"/>
                <w:kern w:val="0"/>
                <w:sz w:val="20"/>
                <w:szCs w:val="20"/>
              </w:rPr>
              <w:t>标</w:t>
            </w:r>
          </w:p>
        </w:tc>
        <w:tc>
          <w:tcPr>
            <w:tcW w:w="9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rPr>
                <w:rFonts w:ascii="宋体" w:hAnsi="宋体" w:eastAsia="宋体" w:cs="宋体"/>
                <w:kern w:val="0"/>
                <w:sz w:val="24"/>
                <w:szCs w:val="24"/>
              </w:rPr>
            </w:pPr>
            <w:r>
              <w:rPr>
                <w:rFonts w:ascii="宋体" w:hAnsi="宋体" w:eastAsia="宋体" w:cs="Times New Roman"/>
                <w:kern w:val="0"/>
                <w:sz w:val="20"/>
                <w:szCs w:val="20"/>
              </w:rPr>
              <w:t>一级</w:t>
            </w:r>
          </w:p>
          <w:p>
            <w:pPr>
              <w:widowControl/>
              <w:spacing w:line="300" w:lineRule="atLeast"/>
              <w:jc w:val="center"/>
              <w:rPr>
                <w:rFonts w:ascii="宋体" w:hAnsi="宋体" w:eastAsia="宋体" w:cs="宋体"/>
                <w:kern w:val="0"/>
                <w:sz w:val="24"/>
                <w:szCs w:val="24"/>
              </w:rPr>
            </w:pPr>
            <w:r>
              <w:rPr>
                <w:rFonts w:ascii="宋体" w:hAnsi="宋体" w:eastAsia="宋体" w:cs="Times New Roman"/>
                <w:kern w:val="0"/>
                <w:sz w:val="20"/>
                <w:szCs w:val="20"/>
              </w:rPr>
              <w:t>指标</w:t>
            </w:r>
          </w:p>
        </w:tc>
        <w:tc>
          <w:tcPr>
            <w:tcW w:w="9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rPr>
                <w:rFonts w:ascii="宋体" w:hAnsi="宋体" w:eastAsia="宋体" w:cs="宋体"/>
                <w:kern w:val="0"/>
                <w:sz w:val="24"/>
                <w:szCs w:val="24"/>
              </w:rPr>
            </w:pPr>
            <w:r>
              <w:rPr>
                <w:rFonts w:ascii="宋体" w:hAnsi="宋体" w:eastAsia="宋体" w:cs="Times New Roman"/>
                <w:kern w:val="0"/>
                <w:sz w:val="20"/>
                <w:szCs w:val="20"/>
              </w:rPr>
              <w:t>二级指标</w:t>
            </w:r>
          </w:p>
        </w:tc>
        <w:tc>
          <w:tcPr>
            <w:tcW w:w="1393"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rPr>
                <w:rFonts w:ascii="宋体" w:hAnsi="宋体" w:eastAsia="宋体" w:cs="宋体"/>
                <w:kern w:val="0"/>
                <w:sz w:val="24"/>
                <w:szCs w:val="24"/>
              </w:rPr>
            </w:pPr>
            <w:r>
              <w:rPr>
                <w:rFonts w:ascii="宋体" w:hAnsi="宋体" w:eastAsia="宋体" w:cs="Times New Roman"/>
                <w:kern w:val="0"/>
                <w:sz w:val="20"/>
                <w:szCs w:val="20"/>
              </w:rPr>
              <w:t>三级指标</w:t>
            </w:r>
          </w:p>
        </w:tc>
        <w:tc>
          <w:tcPr>
            <w:tcW w:w="128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rPr>
                <w:rFonts w:ascii="宋体" w:hAnsi="宋体" w:eastAsia="宋体" w:cs="宋体"/>
                <w:kern w:val="0"/>
                <w:sz w:val="24"/>
                <w:szCs w:val="24"/>
              </w:rPr>
            </w:pPr>
            <w:r>
              <w:rPr>
                <w:rFonts w:ascii="宋体" w:hAnsi="宋体" w:eastAsia="宋体" w:cs="Times New Roman"/>
                <w:kern w:val="0"/>
                <w:sz w:val="20"/>
                <w:szCs w:val="20"/>
              </w:rPr>
              <w:t>年度</w:t>
            </w:r>
          </w:p>
          <w:p>
            <w:pPr>
              <w:widowControl/>
              <w:spacing w:line="300" w:lineRule="atLeast"/>
              <w:jc w:val="center"/>
              <w:rPr>
                <w:rFonts w:ascii="宋体" w:hAnsi="宋体" w:eastAsia="宋体" w:cs="宋体"/>
                <w:kern w:val="0"/>
                <w:sz w:val="24"/>
                <w:szCs w:val="24"/>
              </w:rPr>
            </w:pPr>
            <w:r>
              <w:rPr>
                <w:rFonts w:ascii="宋体" w:hAnsi="宋体" w:eastAsia="宋体" w:cs="Times New Roman"/>
                <w:kern w:val="0"/>
                <w:sz w:val="20"/>
                <w:szCs w:val="20"/>
              </w:rPr>
              <w:t>指标值</w:t>
            </w:r>
          </w:p>
        </w:tc>
        <w:tc>
          <w:tcPr>
            <w:tcW w:w="13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rPr>
                <w:rFonts w:ascii="宋体" w:hAnsi="宋体" w:eastAsia="宋体" w:cs="宋体"/>
                <w:kern w:val="0"/>
                <w:sz w:val="24"/>
                <w:szCs w:val="24"/>
              </w:rPr>
            </w:pPr>
            <w:r>
              <w:rPr>
                <w:rFonts w:ascii="宋体" w:hAnsi="宋体" w:eastAsia="宋体" w:cs="Times New Roman"/>
                <w:kern w:val="0"/>
                <w:sz w:val="20"/>
                <w:szCs w:val="20"/>
              </w:rPr>
              <w:t>实际完成值</w:t>
            </w:r>
          </w:p>
        </w:tc>
        <w:tc>
          <w:tcPr>
            <w:tcW w:w="72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rPr>
                <w:rFonts w:ascii="宋体" w:hAnsi="宋体" w:eastAsia="宋体" w:cs="宋体"/>
                <w:kern w:val="0"/>
                <w:sz w:val="24"/>
                <w:szCs w:val="24"/>
              </w:rPr>
            </w:pPr>
            <w:r>
              <w:rPr>
                <w:rFonts w:ascii="宋体" w:hAnsi="宋体" w:eastAsia="宋体" w:cs="Times New Roman"/>
                <w:kern w:val="0"/>
                <w:sz w:val="20"/>
                <w:szCs w:val="20"/>
              </w:rPr>
              <w:t>分值</w:t>
            </w:r>
          </w:p>
        </w:tc>
        <w:tc>
          <w:tcPr>
            <w:tcW w:w="10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rPr>
                <w:rFonts w:ascii="宋体" w:hAnsi="宋体" w:eastAsia="宋体" w:cs="宋体"/>
                <w:kern w:val="0"/>
                <w:sz w:val="24"/>
                <w:szCs w:val="24"/>
              </w:rPr>
            </w:pPr>
            <w:r>
              <w:rPr>
                <w:rFonts w:ascii="宋体" w:hAnsi="宋体" w:eastAsia="宋体" w:cs="Times New Roman"/>
                <w:kern w:val="0"/>
                <w:sz w:val="20"/>
                <w:szCs w:val="20"/>
              </w:rPr>
              <w:t>得分</w:t>
            </w:r>
          </w:p>
        </w:tc>
        <w:tc>
          <w:tcPr>
            <w:tcW w:w="12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rPr>
                <w:rFonts w:ascii="宋体" w:hAnsi="宋体" w:eastAsia="宋体" w:cs="宋体"/>
                <w:kern w:val="0"/>
                <w:sz w:val="24"/>
                <w:szCs w:val="24"/>
              </w:rPr>
            </w:pPr>
            <w:r>
              <w:rPr>
                <w:rFonts w:ascii="宋体" w:hAnsi="宋体" w:eastAsia="宋体" w:cs="Times New Roman"/>
                <w:kern w:val="0"/>
                <w:sz w:val="20"/>
                <w:szCs w:val="20"/>
              </w:rPr>
              <w:t>偏差原因</w:t>
            </w:r>
          </w:p>
          <w:p>
            <w:pPr>
              <w:widowControl/>
              <w:spacing w:line="300" w:lineRule="atLeast"/>
              <w:jc w:val="center"/>
              <w:rPr>
                <w:rFonts w:ascii="宋体" w:hAnsi="宋体" w:eastAsia="宋体" w:cs="宋体"/>
                <w:kern w:val="0"/>
                <w:sz w:val="24"/>
                <w:szCs w:val="24"/>
              </w:rPr>
            </w:pPr>
            <w:r>
              <w:rPr>
                <w:rFonts w:ascii="宋体" w:hAnsi="宋体" w:eastAsia="宋体" w:cs="Times New Roman"/>
                <w:kern w:val="0"/>
                <w:sz w:val="20"/>
                <w:szCs w:val="20"/>
              </w:rPr>
              <w:t>分析及改进措施</w:t>
            </w:r>
          </w:p>
        </w:tc>
      </w:tr>
      <w:tr>
        <w:tblPrEx>
          <w:tblCellMar>
            <w:top w:w="15" w:type="dxa"/>
            <w:left w:w="15" w:type="dxa"/>
            <w:bottom w:w="15" w:type="dxa"/>
            <w:right w:w="15" w:type="dxa"/>
          </w:tblCellMar>
        </w:tblPrEx>
        <w:trPr>
          <w:trHeight w:val="9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rPr>
                <w:rFonts w:ascii="宋体" w:hAnsi="宋体" w:eastAsia="宋体" w:cs="宋体"/>
                <w:kern w:val="0"/>
                <w:sz w:val="24"/>
                <w:szCs w:val="24"/>
              </w:rPr>
            </w:pPr>
            <w:r>
              <w:rPr>
                <w:rFonts w:ascii="宋体" w:hAnsi="宋体" w:eastAsia="宋体" w:cs="Times New Roman"/>
                <w:kern w:val="0"/>
                <w:sz w:val="20"/>
                <w:szCs w:val="20"/>
              </w:rPr>
              <w:t>产出</w:t>
            </w:r>
          </w:p>
          <w:p>
            <w:pPr>
              <w:widowControl/>
              <w:spacing w:line="300" w:lineRule="atLeast"/>
              <w:jc w:val="center"/>
              <w:rPr>
                <w:rFonts w:ascii="宋体" w:hAnsi="宋体" w:eastAsia="宋体" w:cs="宋体"/>
                <w:kern w:val="0"/>
                <w:sz w:val="24"/>
                <w:szCs w:val="24"/>
              </w:rPr>
            </w:pPr>
            <w:r>
              <w:rPr>
                <w:rFonts w:ascii="宋体" w:hAnsi="宋体" w:eastAsia="宋体" w:cs="Times New Roman"/>
                <w:kern w:val="0"/>
                <w:sz w:val="20"/>
                <w:szCs w:val="20"/>
              </w:rPr>
              <w:t>指标</w:t>
            </w:r>
          </w:p>
          <w:p>
            <w:pPr>
              <w:widowControl/>
              <w:spacing w:line="90" w:lineRule="atLeast"/>
              <w:jc w:val="center"/>
              <w:rPr>
                <w:rFonts w:ascii="宋体" w:hAnsi="宋体" w:eastAsia="宋体" w:cs="宋体"/>
                <w:kern w:val="0"/>
                <w:sz w:val="24"/>
                <w:szCs w:val="24"/>
              </w:rPr>
            </w:pPr>
            <w:r>
              <w:rPr>
                <w:rFonts w:hint="eastAsia" w:ascii="宋体" w:hAnsi="宋体" w:eastAsia="宋体" w:cs="宋体"/>
                <w:kern w:val="0"/>
                <w:sz w:val="20"/>
                <w:szCs w:val="20"/>
              </w:rPr>
              <w:t>（</w:t>
            </w:r>
            <w:r>
              <w:rPr>
                <w:rFonts w:ascii="Times New Roman" w:hAnsi="Times New Roman" w:eastAsia="宋体" w:cs="Times New Roman"/>
                <w:kern w:val="0"/>
                <w:sz w:val="20"/>
                <w:szCs w:val="20"/>
              </w:rPr>
              <w:t>50</w:t>
            </w:r>
            <w:r>
              <w:rPr>
                <w:rFonts w:ascii="宋体" w:hAnsi="宋体" w:eastAsia="宋体" w:cs="Times New Roman"/>
                <w:kern w:val="0"/>
                <w:sz w:val="20"/>
                <w:szCs w:val="20"/>
              </w:rPr>
              <w:t>分</w:t>
            </w:r>
            <w:r>
              <w:rPr>
                <w:rFonts w:hint="eastAsia" w:ascii="宋体" w:hAnsi="宋体" w:eastAsia="宋体" w:cs="宋体"/>
                <w:kern w:val="0"/>
                <w:sz w:val="20"/>
                <w:szCs w:val="20"/>
              </w:rPr>
              <w:t>）</w:t>
            </w:r>
          </w:p>
        </w:tc>
        <w:tc>
          <w:tcPr>
            <w:tcW w:w="99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rPr>
                <w:rFonts w:ascii="宋体" w:hAnsi="宋体" w:eastAsia="宋体" w:cs="宋体"/>
                <w:kern w:val="0"/>
                <w:sz w:val="24"/>
                <w:szCs w:val="24"/>
              </w:rPr>
            </w:pPr>
            <w:r>
              <w:rPr>
                <w:rFonts w:ascii="宋体" w:hAnsi="宋体" w:eastAsia="宋体" w:cs="Times New Roman"/>
                <w:kern w:val="0"/>
                <w:sz w:val="20"/>
                <w:szCs w:val="20"/>
              </w:rPr>
              <w:t>数量</w:t>
            </w:r>
          </w:p>
          <w:p>
            <w:pPr>
              <w:widowControl/>
              <w:spacing w:line="300" w:lineRule="atLeast"/>
              <w:jc w:val="center"/>
              <w:rPr>
                <w:rFonts w:ascii="宋体" w:hAnsi="宋体" w:eastAsia="宋体" w:cs="宋体"/>
                <w:kern w:val="0"/>
                <w:sz w:val="24"/>
                <w:szCs w:val="24"/>
              </w:rPr>
            </w:pPr>
            <w:r>
              <w:rPr>
                <w:rFonts w:ascii="宋体" w:hAnsi="宋体" w:eastAsia="宋体" w:cs="Times New Roman"/>
                <w:kern w:val="0"/>
                <w:sz w:val="20"/>
                <w:szCs w:val="20"/>
              </w:rPr>
              <w:t>指标</w:t>
            </w:r>
          </w:p>
          <w:p>
            <w:pPr>
              <w:widowControl/>
              <w:spacing w:line="90" w:lineRule="atLeast"/>
              <w:jc w:val="center"/>
              <w:rPr>
                <w:rFonts w:ascii="宋体" w:hAnsi="宋体" w:eastAsia="宋体" w:cs="宋体"/>
                <w:kern w:val="0"/>
                <w:sz w:val="24"/>
                <w:szCs w:val="24"/>
              </w:rPr>
            </w:pPr>
            <w:r>
              <w:rPr>
                <w:rFonts w:hint="eastAsia" w:ascii="宋体" w:hAnsi="宋体" w:eastAsia="宋体" w:cs="宋体"/>
                <w:kern w:val="0"/>
                <w:sz w:val="20"/>
                <w:szCs w:val="20"/>
              </w:rPr>
              <w:t>（</w:t>
            </w:r>
            <w:r>
              <w:rPr>
                <w:rFonts w:hint="eastAsia" w:ascii="Times New Roman" w:hAnsi="Times New Roman" w:eastAsia="宋体" w:cs="Times New Roman"/>
                <w:kern w:val="0"/>
                <w:sz w:val="20"/>
                <w:szCs w:val="20"/>
              </w:rPr>
              <w:t>10</w:t>
            </w:r>
            <w:r>
              <w:rPr>
                <w:rFonts w:hint="eastAsia" w:ascii="宋体" w:hAnsi="宋体" w:eastAsia="宋体" w:cs="宋体"/>
                <w:kern w:val="0"/>
                <w:sz w:val="20"/>
                <w:szCs w:val="20"/>
              </w:rPr>
              <w:t>分）</w:t>
            </w:r>
          </w:p>
        </w:tc>
        <w:tc>
          <w:tcPr>
            <w:tcW w:w="1393"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90" w:lineRule="atLeast"/>
              <w:jc w:val="center"/>
              <w:rPr>
                <w:rFonts w:ascii="宋体" w:hAnsi="宋体" w:eastAsia="宋体" w:cs="宋体"/>
                <w:kern w:val="0"/>
                <w:sz w:val="24"/>
                <w:szCs w:val="24"/>
              </w:rPr>
            </w:pPr>
            <w:r>
              <w:rPr>
                <w:rFonts w:hint="eastAsia" w:ascii="宋体" w:hAnsi="宋体" w:eastAsia="宋体" w:cs="宋体"/>
                <w:kern w:val="0"/>
                <w:sz w:val="20"/>
                <w:szCs w:val="20"/>
              </w:rPr>
              <w:t>规模以上工业增加值</w:t>
            </w:r>
          </w:p>
        </w:tc>
        <w:tc>
          <w:tcPr>
            <w:tcW w:w="128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90" w:lineRule="atLeast"/>
              <w:jc w:val="center"/>
              <w:rPr>
                <w:rFonts w:ascii="宋体" w:hAnsi="宋体" w:eastAsia="宋体" w:cs="宋体"/>
                <w:kern w:val="0"/>
                <w:sz w:val="24"/>
                <w:szCs w:val="24"/>
              </w:rPr>
            </w:pPr>
            <w:r>
              <w:rPr>
                <w:rFonts w:ascii="Arial" w:hAnsi="Arial" w:eastAsia="宋体" w:cs="Arial"/>
                <w:kern w:val="0"/>
                <w:sz w:val="20"/>
                <w:szCs w:val="20"/>
              </w:rPr>
              <w:t>≥</w:t>
            </w:r>
            <w:r>
              <w:rPr>
                <w:rFonts w:hint="eastAsia" w:ascii="宋体" w:hAnsi="宋体" w:eastAsia="宋体" w:cs="宋体"/>
                <w:kern w:val="0"/>
                <w:sz w:val="20"/>
                <w:szCs w:val="20"/>
              </w:rPr>
              <w:t>全省平均水平</w:t>
            </w:r>
          </w:p>
        </w:tc>
        <w:tc>
          <w:tcPr>
            <w:tcW w:w="13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90" w:lineRule="atLeast"/>
              <w:jc w:val="center"/>
              <w:rPr>
                <w:rFonts w:ascii="宋体" w:hAnsi="宋体" w:eastAsia="宋体" w:cs="宋体"/>
                <w:kern w:val="0"/>
                <w:sz w:val="24"/>
                <w:szCs w:val="24"/>
              </w:rPr>
            </w:pPr>
            <w:r>
              <w:rPr>
                <w:rFonts w:hint="eastAsia" w:ascii="Times New Roman" w:hAnsi="Times New Roman" w:eastAsia="宋体" w:cs="Times New Roman"/>
                <w:kern w:val="0"/>
                <w:sz w:val="20"/>
                <w:szCs w:val="20"/>
                <w:lang w:val="en-US" w:eastAsia="zh-CN"/>
              </w:rPr>
              <w:t>9.6</w:t>
            </w:r>
            <w:r>
              <w:rPr>
                <w:rFonts w:hint="eastAsia" w:ascii="Times New Roman" w:hAnsi="Times New Roman" w:eastAsia="宋体" w:cs="Times New Roman"/>
                <w:kern w:val="0"/>
                <w:sz w:val="20"/>
                <w:szCs w:val="20"/>
              </w:rPr>
              <w:t>%</w:t>
            </w:r>
          </w:p>
        </w:tc>
        <w:tc>
          <w:tcPr>
            <w:tcW w:w="7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90" w:lineRule="atLeast"/>
              <w:jc w:val="center"/>
              <w:rPr>
                <w:rFonts w:ascii="宋体" w:hAnsi="宋体" w:eastAsia="宋体" w:cs="宋体"/>
                <w:kern w:val="0"/>
                <w:sz w:val="24"/>
                <w:szCs w:val="24"/>
              </w:rPr>
            </w:pPr>
            <w:r>
              <w:rPr>
                <w:rFonts w:hint="eastAsia" w:ascii="Times New Roman" w:hAnsi="Times New Roman" w:eastAsia="宋体" w:cs="Times New Roman"/>
                <w:kern w:val="0"/>
                <w:sz w:val="20"/>
                <w:szCs w:val="20"/>
              </w:rPr>
              <w:t>4</w:t>
            </w:r>
          </w:p>
        </w:tc>
        <w:tc>
          <w:tcPr>
            <w:tcW w:w="10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90" w:lineRule="atLeast"/>
              <w:jc w:val="center"/>
              <w:rPr>
                <w:rFonts w:hint="eastAsia" w:ascii="宋体" w:hAnsi="宋体" w:eastAsia="宋体" w:cs="宋体"/>
                <w:kern w:val="0"/>
                <w:sz w:val="24"/>
                <w:szCs w:val="24"/>
                <w:lang w:eastAsia="zh-CN"/>
              </w:rPr>
            </w:pPr>
            <w:r>
              <w:rPr>
                <w:rFonts w:hint="eastAsia" w:ascii="Times New Roman" w:hAnsi="Times New Roman" w:eastAsia="宋体" w:cs="Times New Roman"/>
                <w:kern w:val="0"/>
                <w:sz w:val="20"/>
                <w:szCs w:val="20"/>
                <w:lang w:val="en-US" w:eastAsia="zh-CN"/>
              </w:rPr>
              <w:t>4</w:t>
            </w:r>
          </w:p>
        </w:tc>
        <w:tc>
          <w:tcPr>
            <w:tcW w:w="12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90" w:lineRule="atLeast"/>
              <w:jc w:val="center"/>
              <w:rPr>
                <w:rFonts w:ascii="宋体" w:hAnsi="宋体" w:eastAsia="宋体" w:cs="宋体"/>
                <w:kern w:val="0"/>
                <w:sz w:val="24"/>
                <w:szCs w:val="24"/>
              </w:rPr>
            </w:pPr>
          </w:p>
        </w:tc>
      </w:tr>
      <w:tr>
        <w:tblPrEx>
          <w:tblCellMar>
            <w:top w:w="15" w:type="dxa"/>
            <w:left w:w="15" w:type="dxa"/>
            <w:bottom w:w="15" w:type="dxa"/>
            <w:right w:w="15" w:type="dxa"/>
          </w:tblCellMar>
        </w:tblPrEx>
        <w:trPr>
          <w:trHeight w:val="66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1393"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rPr>
                <w:rFonts w:ascii="宋体" w:hAnsi="宋体" w:eastAsia="宋体" w:cs="宋体"/>
                <w:kern w:val="0"/>
                <w:sz w:val="24"/>
                <w:szCs w:val="24"/>
              </w:rPr>
            </w:pPr>
            <w:r>
              <w:rPr>
                <w:rFonts w:hint="eastAsia" w:ascii="宋体" w:hAnsi="宋体" w:eastAsia="宋体" w:cs="宋体"/>
                <w:kern w:val="0"/>
                <w:sz w:val="20"/>
                <w:szCs w:val="20"/>
              </w:rPr>
              <w:t>工业投资增速</w:t>
            </w:r>
          </w:p>
        </w:tc>
        <w:tc>
          <w:tcPr>
            <w:tcW w:w="128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rPr>
                <w:rFonts w:ascii="宋体" w:hAnsi="宋体" w:eastAsia="宋体" w:cs="宋体"/>
                <w:kern w:val="0"/>
                <w:sz w:val="24"/>
                <w:szCs w:val="24"/>
              </w:rPr>
            </w:pPr>
            <w:r>
              <w:rPr>
                <w:rFonts w:ascii="Arial" w:hAnsi="Arial" w:eastAsia="宋体" w:cs="Arial"/>
                <w:kern w:val="0"/>
                <w:sz w:val="20"/>
                <w:szCs w:val="20"/>
              </w:rPr>
              <w:t>≥</w:t>
            </w:r>
            <w:r>
              <w:rPr>
                <w:rFonts w:hint="eastAsia" w:ascii="宋体" w:hAnsi="宋体" w:eastAsia="宋体" w:cs="宋体"/>
                <w:kern w:val="0"/>
                <w:sz w:val="20"/>
                <w:szCs w:val="20"/>
              </w:rPr>
              <w:t>全省平均水平</w:t>
            </w:r>
          </w:p>
        </w:tc>
        <w:tc>
          <w:tcPr>
            <w:tcW w:w="13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rPr>
                <w:rFonts w:ascii="宋体" w:hAnsi="宋体" w:eastAsia="宋体" w:cs="宋体"/>
                <w:kern w:val="0"/>
                <w:sz w:val="24"/>
                <w:szCs w:val="24"/>
              </w:rPr>
            </w:pPr>
            <w:r>
              <w:rPr>
                <w:rFonts w:hint="eastAsia" w:ascii="Times New Roman" w:hAnsi="Times New Roman" w:eastAsia="宋体" w:cs="Times New Roman"/>
                <w:kern w:val="0"/>
                <w:sz w:val="20"/>
                <w:szCs w:val="20"/>
                <w:lang w:val="en-US" w:eastAsia="zh-CN"/>
              </w:rPr>
              <w:t>20.4</w:t>
            </w:r>
            <w:r>
              <w:rPr>
                <w:rFonts w:hint="eastAsia" w:ascii="Times New Roman" w:hAnsi="Times New Roman" w:eastAsia="宋体" w:cs="Times New Roman"/>
                <w:kern w:val="0"/>
                <w:sz w:val="20"/>
                <w:szCs w:val="20"/>
              </w:rPr>
              <w:t>%</w:t>
            </w:r>
          </w:p>
        </w:tc>
        <w:tc>
          <w:tcPr>
            <w:tcW w:w="7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rPr>
                <w:rFonts w:ascii="宋体" w:hAnsi="宋体" w:eastAsia="宋体" w:cs="宋体"/>
                <w:kern w:val="0"/>
                <w:sz w:val="24"/>
                <w:szCs w:val="24"/>
              </w:rPr>
            </w:pPr>
            <w:r>
              <w:rPr>
                <w:rFonts w:hint="eastAsia" w:ascii="Times New Roman" w:hAnsi="Times New Roman" w:eastAsia="宋体" w:cs="Times New Roman"/>
                <w:kern w:val="0"/>
                <w:sz w:val="20"/>
                <w:szCs w:val="20"/>
              </w:rPr>
              <w:t>3</w:t>
            </w:r>
          </w:p>
        </w:tc>
        <w:tc>
          <w:tcPr>
            <w:tcW w:w="10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rPr>
                <w:rFonts w:ascii="宋体" w:hAnsi="宋体" w:eastAsia="宋体" w:cs="宋体"/>
                <w:kern w:val="0"/>
                <w:sz w:val="24"/>
                <w:szCs w:val="24"/>
              </w:rPr>
            </w:pPr>
            <w:r>
              <w:rPr>
                <w:rFonts w:hint="eastAsia" w:ascii="Times New Roman" w:hAnsi="Times New Roman" w:eastAsia="宋体" w:cs="Times New Roman"/>
                <w:kern w:val="0"/>
                <w:sz w:val="20"/>
                <w:szCs w:val="20"/>
              </w:rPr>
              <w:t>3</w:t>
            </w:r>
          </w:p>
        </w:tc>
        <w:tc>
          <w:tcPr>
            <w:tcW w:w="12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rPr>
                <w:rFonts w:ascii="宋体" w:hAnsi="宋体" w:eastAsia="宋体" w:cs="宋体"/>
                <w:kern w:val="0"/>
                <w:sz w:val="24"/>
                <w:szCs w:val="24"/>
              </w:rPr>
            </w:pPr>
            <w:r>
              <w:rPr>
                <w:rFonts w:hint="eastAsia" w:ascii="宋体" w:hAnsi="宋体" w:eastAsia="宋体" w:cs="宋体"/>
                <w:kern w:val="0"/>
                <w:sz w:val="20"/>
                <w:szCs w:val="20"/>
              </w:rPr>
              <w:t> </w:t>
            </w:r>
          </w:p>
        </w:tc>
      </w:tr>
      <w:tr>
        <w:tblPrEx>
          <w:tblCellMar>
            <w:top w:w="15" w:type="dxa"/>
            <w:left w:w="15" w:type="dxa"/>
            <w:bottom w:w="15" w:type="dxa"/>
            <w:right w:w="15" w:type="dxa"/>
          </w:tblCellMar>
        </w:tblPrEx>
        <w:trPr>
          <w:trHeight w:val="50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1393"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宋体" w:hAnsi="宋体" w:eastAsia="宋体" w:cs="宋体"/>
                <w:kern w:val="0"/>
                <w:sz w:val="20"/>
                <w:szCs w:val="20"/>
              </w:rPr>
              <w:t>净增规模工业企业数量</w:t>
            </w:r>
          </w:p>
        </w:tc>
        <w:tc>
          <w:tcPr>
            <w:tcW w:w="128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Times New Roman" w:hAnsi="Times New Roman" w:eastAsia="宋体" w:cs="Times New Roman"/>
                <w:kern w:val="0"/>
                <w:sz w:val="20"/>
                <w:szCs w:val="20"/>
                <w:lang w:val="en-US" w:eastAsia="zh-CN"/>
              </w:rPr>
              <w:t>20</w:t>
            </w:r>
            <w:r>
              <w:rPr>
                <w:rFonts w:hint="eastAsia" w:ascii="宋体" w:hAnsi="宋体" w:eastAsia="宋体" w:cs="宋体"/>
                <w:kern w:val="0"/>
                <w:sz w:val="20"/>
                <w:szCs w:val="20"/>
              </w:rPr>
              <w:t>家</w:t>
            </w:r>
          </w:p>
        </w:tc>
        <w:tc>
          <w:tcPr>
            <w:tcW w:w="13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Times New Roman" w:hAnsi="Times New Roman" w:eastAsia="宋体" w:cs="Times New Roman"/>
                <w:kern w:val="0"/>
                <w:sz w:val="20"/>
                <w:szCs w:val="20"/>
                <w:lang w:val="en-US" w:eastAsia="zh-CN"/>
              </w:rPr>
              <w:t>27</w:t>
            </w:r>
            <w:r>
              <w:rPr>
                <w:rFonts w:hint="eastAsia" w:ascii="宋体" w:hAnsi="宋体" w:eastAsia="宋体" w:cs="宋体"/>
                <w:kern w:val="0"/>
                <w:sz w:val="20"/>
                <w:szCs w:val="20"/>
              </w:rPr>
              <w:t>家</w:t>
            </w:r>
          </w:p>
        </w:tc>
        <w:tc>
          <w:tcPr>
            <w:tcW w:w="7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Times New Roman" w:hAnsi="Times New Roman" w:eastAsia="宋体" w:cs="Times New Roman"/>
                <w:kern w:val="0"/>
                <w:sz w:val="20"/>
                <w:szCs w:val="20"/>
              </w:rPr>
              <w:t>3</w:t>
            </w:r>
          </w:p>
        </w:tc>
        <w:tc>
          <w:tcPr>
            <w:tcW w:w="10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Times New Roman" w:hAnsi="Times New Roman" w:eastAsia="宋体" w:cs="Times New Roman"/>
                <w:kern w:val="0"/>
                <w:sz w:val="20"/>
                <w:szCs w:val="20"/>
              </w:rPr>
              <w:t>3</w:t>
            </w:r>
          </w:p>
        </w:tc>
        <w:tc>
          <w:tcPr>
            <w:tcW w:w="12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ascii="Times New Roman" w:hAnsi="Times New Roman" w:eastAsia="宋体" w:cs="Times New Roman"/>
                <w:kern w:val="0"/>
                <w:sz w:val="20"/>
                <w:szCs w:val="20"/>
              </w:rPr>
              <w:t> </w:t>
            </w:r>
          </w:p>
        </w:tc>
      </w:tr>
      <w:tr>
        <w:tblPrEx>
          <w:tblCellMar>
            <w:top w:w="15" w:type="dxa"/>
            <w:left w:w="15" w:type="dxa"/>
            <w:bottom w:w="15" w:type="dxa"/>
            <w:right w:w="15" w:type="dxa"/>
          </w:tblCellMar>
        </w:tblPrEx>
        <w:trPr>
          <w:trHeight w:val="102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99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ascii="宋体" w:hAnsi="宋体" w:eastAsia="宋体" w:cs="Times New Roman"/>
                <w:kern w:val="0"/>
                <w:sz w:val="20"/>
                <w:szCs w:val="20"/>
              </w:rPr>
              <w:t>质量</w:t>
            </w:r>
          </w:p>
          <w:p>
            <w:pPr>
              <w:widowControl/>
              <w:spacing w:line="320" w:lineRule="atLeast"/>
              <w:jc w:val="center"/>
              <w:rPr>
                <w:rFonts w:ascii="宋体" w:hAnsi="宋体" w:eastAsia="宋体" w:cs="宋体"/>
                <w:kern w:val="0"/>
                <w:sz w:val="24"/>
                <w:szCs w:val="24"/>
              </w:rPr>
            </w:pPr>
            <w:r>
              <w:rPr>
                <w:rFonts w:ascii="宋体" w:hAnsi="宋体" w:eastAsia="宋体" w:cs="Times New Roman"/>
                <w:kern w:val="0"/>
                <w:sz w:val="20"/>
                <w:szCs w:val="20"/>
              </w:rPr>
              <w:t>指标</w:t>
            </w:r>
          </w:p>
          <w:p>
            <w:pPr>
              <w:widowControl/>
              <w:spacing w:line="320" w:lineRule="atLeast"/>
              <w:jc w:val="center"/>
              <w:rPr>
                <w:rFonts w:ascii="宋体" w:hAnsi="宋体" w:eastAsia="宋体" w:cs="宋体"/>
                <w:kern w:val="0"/>
                <w:sz w:val="24"/>
                <w:szCs w:val="24"/>
              </w:rPr>
            </w:pPr>
            <w:r>
              <w:rPr>
                <w:rFonts w:hint="eastAsia" w:ascii="宋体" w:hAnsi="宋体" w:eastAsia="宋体" w:cs="宋体"/>
                <w:kern w:val="0"/>
                <w:sz w:val="20"/>
                <w:szCs w:val="20"/>
              </w:rPr>
              <w:t>（</w:t>
            </w:r>
            <w:r>
              <w:rPr>
                <w:rFonts w:hint="eastAsia" w:ascii="Times New Roman" w:hAnsi="Times New Roman" w:eastAsia="宋体" w:cs="Times New Roman"/>
                <w:kern w:val="0"/>
                <w:sz w:val="20"/>
                <w:szCs w:val="20"/>
              </w:rPr>
              <w:t>20</w:t>
            </w:r>
            <w:r>
              <w:rPr>
                <w:rFonts w:hint="eastAsia" w:ascii="宋体" w:hAnsi="宋体" w:eastAsia="宋体" w:cs="宋体"/>
                <w:kern w:val="0"/>
                <w:sz w:val="20"/>
                <w:szCs w:val="20"/>
              </w:rPr>
              <w:t>分）</w:t>
            </w:r>
          </w:p>
        </w:tc>
        <w:tc>
          <w:tcPr>
            <w:tcW w:w="1393"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宋体" w:hAnsi="宋体" w:eastAsia="宋体" w:cs="宋体"/>
                <w:kern w:val="0"/>
                <w:sz w:val="20"/>
                <w:szCs w:val="20"/>
              </w:rPr>
              <w:t>资金使用合规性</w:t>
            </w:r>
          </w:p>
        </w:tc>
        <w:tc>
          <w:tcPr>
            <w:tcW w:w="128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宋体" w:hAnsi="宋体" w:eastAsia="宋体" w:cs="宋体"/>
                <w:kern w:val="0"/>
                <w:sz w:val="20"/>
                <w:szCs w:val="20"/>
              </w:rPr>
              <w:t>合规</w:t>
            </w:r>
          </w:p>
        </w:tc>
        <w:tc>
          <w:tcPr>
            <w:tcW w:w="13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宋体" w:hAnsi="宋体" w:eastAsia="宋体" w:cs="宋体"/>
                <w:kern w:val="0"/>
                <w:sz w:val="20"/>
                <w:szCs w:val="20"/>
              </w:rPr>
              <w:t>合规</w:t>
            </w:r>
          </w:p>
        </w:tc>
        <w:tc>
          <w:tcPr>
            <w:tcW w:w="7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c>
          <w:tcPr>
            <w:tcW w:w="10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c>
          <w:tcPr>
            <w:tcW w:w="12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Times New Roman" w:hAnsi="Times New Roman" w:eastAsia="宋体" w:cs="Times New Roman"/>
                <w:kern w:val="0"/>
                <w:sz w:val="20"/>
                <w:szCs w:val="20"/>
                <w:lang w:eastAsia="zh-CN"/>
              </w:rPr>
              <w:t>指标有串用现象</w:t>
            </w:r>
            <w:r>
              <w:rPr>
                <w:rFonts w:ascii="Times New Roman" w:hAnsi="Times New Roman" w:eastAsia="宋体" w:cs="Times New Roman"/>
                <w:kern w:val="0"/>
                <w:sz w:val="20"/>
                <w:szCs w:val="20"/>
              </w:rPr>
              <w:t> </w:t>
            </w:r>
          </w:p>
        </w:tc>
      </w:tr>
      <w:tr>
        <w:tblPrEx>
          <w:tblCellMar>
            <w:top w:w="15" w:type="dxa"/>
            <w:left w:w="15" w:type="dxa"/>
            <w:bottom w:w="15" w:type="dxa"/>
            <w:right w:w="15" w:type="dxa"/>
          </w:tblCellMar>
        </w:tblPrEx>
        <w:trPr>
          <w:trHeight w:val="102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1393"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宋体" w:hAnsi="宋体" w:eastAsia="宋体" w:cs="宋体"/>
                <w:kern w:val="0"/>
                <w:sz w:val="20"/>
                <w:szCs w:val="20"/>
              </w:rPr>
              <w:t>管理制度健全性</w:t>
            </w:r>
          </w:p>
        </w:tc>
        <w:tc>
          <w:tcPr>
            <w:tcW w:w="128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宋体" w:hAnsi="宋体" w:eastAsia="宋体" w:cs="宋体"/>
                <w:kern w:val="0"/>
                <w:sz w:val="20"/>
                <w:szCs w:val="20"/>
              </w:rPr>
              <w:t>完善</w:t>
            </w:r>
          </w:p>
        </w:tc>
        <w:tc>
          <w:tcPr>
            <w:tcW w:w="13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宋体" w:hAnsi="宋体" w:eastAsia="宋体" w:cs="宋体"/>
                <w:kern w:val="0"/>
                <w:sz w:val="20"/>
                <w:szCs w:val="20"/>
              </w:rPr>
              <w:t>完善</w:t>
            </w:r>
          </w:p>
        </w:tc>
        <w:tc>
          <w:tcPr>
            <w:tcW w:w="7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c>
          <w:tcPr>
            <w:tcW w:w="10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c>
          <w:tcPr>
            <w:tcW w:w="12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ascii="Times New Roman" w:hAnsi="Times New Roman" w:eastAsia="宋体" w:cs="Times New Roman"/>
                <w:kern w:val="0"/>
                <w:sz w:val="20"/>
                <w:szCs w:val="20"/>
              </w:rPr>
              <w:t> </w:t>
            </w:r>
          </w:p>
        </w:tc>
      </w:tr>
      <w:tr>
        <w:tblPrEx>
          <w:tblCellMar>
            <w:top w:w="15" w:type="dxa"/>
            <w:left w:w="15" w:type="dxa"/>
            <w:bottom w:w="15" w:type="dxa"/>
            <w:right w:w="15" w:type="dxa"/>
          </w:tblCellMar>
        </w:tblPrEx>
        <w:trPr>
          <w:trHeight w:val="102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1393"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p>
        </w:tc>
        <w:tc>
          <w:tcPr>
            <w:tcW w:w="128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p>
        </w:tc>
        <w:tc>
          <w:tcPr>
            <w:tcW w:w="13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p>
        </w:tc>
        <w:tc>
          <w:tcPr>
            <w:tcW w:w="7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宋体" w:hAnsi="宋体" w:eastAsia="宋体" w:cs="宋体"/>
                <w:kern w:val="0"/>
                <w:sz w:val="24"/>
                <w:szCs w:val="24"/>
                <w:lang w:val="en-US" w:eastAsia="zh-CN"/>
              </w:rPr>
            </w:pPr>
          </w:p>
        </w:tc>
        <w:tc>
          <w:tcPr>
            <w:tcW w:w="10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宋体" w:hAnsi="宋体" w:eastAsia="宋体" w:cs="宋体"/>
                <w:kern w:val="0"/>
                <w:sz w:val="24"/>
                <w:szCs w:val="24"/>
                <w:lang w:val="en-US" w:eastAsia="zh-CN"/>
              </w:rPr>
            </w:pPr>
          </w:p>
        </w:tc>
        <w:tc>
          <w:tcPr>
            <w:tcW w:w="12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ascii="Times New Roman" w:hAnsi="Times New Roman" w:eastAsia="宋体" w:cs="Times New Roman"/>
                <w:kern w:val="0"/>
                <w:sz w:val="20"/>
                <w:szCs w:val="20"/>
              </w:rPr>
              <w:t> </w:t>
            </w:r>
          </w:p>
        </w:tc>
      </w:tr>
      <w:tr>
        <w:tblPrEx>
          <w:tblCellMar>
            <w:top w:w="15" w:type="dxa"/>
            <w:left w:w="15" w:type="dxa"/>
            <w:bottom w:w="15" w:type="dxa"/>
            <w:right w:w="15" w:type="dxa"/>
          </w:tblCellMar>
        </w:tblPrEx>
        <w:trPr>
          <w:trHeight w:val="102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1393"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宋体" w:hAnsi="宋体" w:eastAsia="宋体" w:cs="宋体"/>
                <w:kern w:val="0"/>
                <w:sz w:val="20"/>
                <w:szCs w:val="20"/>
              </w:rPr>
              <w:t>园区高质量发展水平</w:t>
            </w:r>
          </w:p>
        </w:tc>
        <w:tc>
          <w:tcPr>
            <w:tcW w:w="128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宋体" w:hAnsi="宋体" w:eastAsia="宋体" w:cs="宋体"/>
                <w:kern w:val="0"/>
                <w:sz w:val="20"/>
                <w:szCs w:val="20"/>
              </w:rPr>
              <w:t>不断提高</w:t>
            </w:r>
          </w:p>
        </w:tc>
        <w:tc>
          <w:tcPr>
            <w:tcW w:w="13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宋体" w:hAnsi="宋体" w:eastAsia="宋体" w:cs="宋体"/>
                <w:kern w:val="0"/>
                <w:sz w:val="20"/>
                <w:szCs w:val="20"/>
              </w:rPr>
              <w:t>不断提高</w:t>
            </w:r>
          </w:p>
        </w:tc>
        <w:tc>
          <w:tcPr>
            <w:tcW w:w="7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c>
          <w:tcPr>
            <w:tcW w:w="10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c>
          <w:tcPr>
            <w:tcW w:w="12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ascii="Times New Roman" w:hAnsi="Times New Roman" w:eastAsia="宋体" w:cs="Times New Roman"/>
                <w:kern w:val="0"/>
                <w:sz w:val="20"/>
                <w:szCs w:val="20"/>
              </w:rPr>
              <w:t> </w:t>
            </w:r>
          </w:p>
        </w:tc>
      </w:tr>
      <w:tr>
        <w:tblPrEx>
          <w:tblCellMar>
            <w:top w:w="15" w:type="dxa"/>
            <w:left w:w="15" w:type="dxa"/>
            <w:bottom w:w="15" w:type="dxa"/>
            <w:right w:w="15" w:type="dxa"/>
          </w:tblCellMar>
        </w:tblPrEx>
        <w:trPr>
          <w:trHeight w:val="569"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1393"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p>
        </w:tc>
        <w:tc>
          <w:tcPr>
            <w:tcW w:w="128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p>
        </w:tc>
        <w:tc>
          <w:tcPr>
            <w:tcW w:w="13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p>
        </w:tc>
        <w:tc>
          <w:tcPr>
            <w:tcW w:w="7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p>
        </w:tc>
        <w:tc>
          <w:tcPr>
            <w:tcW w:w="10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p>
        </w:tc>
        <w:tc>
          <w:tcPr>
            <w:tcW w:w="12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ascii="Times New Roman" w:hAnsi="Times New Roman" w:eastAsia="宋体" w:cs="Times New Roman"/>
                <w:kern w:val="0"/>
                <w:sz w:val="20"/>
                <w:szCs w:val="20"/>
              </w:rPr>
              <w:t> </w:t>
            </w:r>
          </w:p>
        </w:tc>
      </w:tr>
      <w:tr>
        <w:tblPrEx>
          <w:tblCellMar>
            <w:top w:w="15" w:type="dxa"/>
            <w:left w:w="15" w:type="dxa"/>
            <w:bottom w:w="15" w:type="dxa"/>
            <w:right w:w="15" w:type="dxa"/>
          </w:tblCellMar>
        </w:tblPrEx>
        <w:trPr>
          <w:trHeight w:val="119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99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ascii="宋体" w:hAnsi="宋体" w:eastAsia="宋体" w:cs="Times New Roman"/>
                <w:kern w:val="0"/>
                <w:sz w:val="20"/>
                <w:szCs w:val="20"/>
              </w:rPr>
              <w:t>时效</w:t>
            </w:r>
          </w:p>
          <w:p>
            <w:pPr>
              <w:widowControl/>
              <w:spacing w:line="320" w:lineRule="atLeast"/>
              <w:jc w:val="center"/>
              <w:rPr>
                <w:rFonts w:ascii="宋体" w:hAnsi="宋体" w:eastAsia="宋体" w:cs="宋体"/>
                <w:kern w:val="0"/>
                <w:sz w:val="24"/>
                <w:szCs w:val="24"/>
              </w:rPr>
            </w:pPr>
            <w:r>
              <w:rPr>
                <w:rFonts w:ascii="宋体" w:hAnsi="宋体" w:eastAsia="宋体" w:cs="Times New Roman"/>
                <w:kern w:val="0"/>
                <w:sz w:val="20"/>
                <w:szCs w:val="20"/>
              </w:rPr>
              <w:t>指标</w:t>
            </w:r>
          </w:p>
          <w:p>
            <w:pPr>
              <w:widowControl/>
              <w:spacing w:line="320" w:lineRule="atLeast"/>
              <w:jc w:val="center"/>
              <w:rPr>
                <w:rFonts w:ascii="宋体" w:hAnsi="宋体" w:eastAsia="宋体" w:cs="宋体"/>
                <w:kern w:val="0"/>
                <w:sz w:val="24"/>
                <w:szCs w:val="24"/>
              </w:rPr>
            </w:pPr>
            <w:r>
              <w:rPr>
                <w:rFonts w:hint="eastAsia" w:ascii="宋体" w:hAnsi="宋体" w:eastAsia="宋体" w:cs="宋体"/>
                <w:kern w:val="0"/>
                <w:sz w:val="20"/>
                <w:szCs w:val="20"/>
              </w:rPr>
              <w:t>（</w:t>
            </w:r>
            <w:r>
              <w:rPr>
                <w:rFonts w:hint="eastAsia" w:ascii="Times New Roman" w:hAnsi="Times New Roman" w:eastAsia="宋体" w:cs="Times New Roman"/>
                <w:kern w:val="0"/>
                <w:sz w:val="20"/>
                <w:szCs w:val="20"/>
              </w:rPr>
              <w:t>10</w:t>
            </w:r>
            <w:r>
              <w:rPr>
                <w:rFonts w:hint="eastAsia" w:ascii="宋体" w:hAnsi="宋体" w:eastAsia="宋体" w:cs="宋体"/>
                <w:kern w:val="0"/>
                <w:sz w:val="20"/>
                <w:szCs w:val="20"/>
              </w:rPr>
              <w:t>分）</w:t>
            </w:r>
          </w:p>
        </w:tc>
        <w:tc>
          <w:tcPr>
            <w:tcW w:w="1393"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宋体" w:hAnsi="宋体" w:eastAsia="宋体" w:cs="宋体"/>
                <w:kern w:val="0"/>
                <w:sz w:val="20"/>
                <w:szCs w:val="20"/>
              </w:rPr>
              <w:t>主要工作按计划完成程度</w:t>
            </w:r>
          </w:p>
        </w:tc>
        <w:tc>
          <w:tcPr>
            <w:tcW w:w="128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宋体" w:hAnsi="宋体" w:eastAsia="宋体" w:cs="宋体"/>
                <w:kern w:val="0"/>
                <w:sz w:val="20"/>
                <w:szCs w:val="20"/>
              </w:rPr>
              <w:t>按年度计划完满完成</w:t>
            </w:r>
          </w:p>
        </w:tc>
        <w:tc>
          <w:tcPr>
            <w:tcW w:w="13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宋体" w:hAnsi="宋体" w:eastAsia="宋体" w:cs="宋体"/>
                <w:kern w:val="0"/>
                <w:sz w:val="20"/>
                <w:szCs w:val="20"/>
              </w:rPr>
              <w:t>按年度计划完满完成</w:t>
            </w:r>
          </w:p>
        </w:tc>
        <w:tc>
          <w:tcPr>
            <w:tcW w:w="7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ascii="Times New Roman" w:hAnsi="Times New Roman" w:eastAsia="宋体" w:cs="Times New Roman"/>
                <w:kern w:val="0"/>
                <w:sz w:val="20"/>
                <w:szCs w:val="20"/>
              </w:rPr>
              <w:t>4</w:t>
            </w:r>
          </w:p>
        </w:tc>
        <w:tc>
          <w:tcPr>
            <w:tcW w:w="10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ascii="Times New Roman" w:hAnsi="Times New Roman" w:eastAsia="宋体" w:cs="Times New Roman"/>
                <w:kern w:val="0"/>
                <w:sz w:val="20"/>
                <w:szCs w:val="20"/>
              </w:rPr>
              <w:t>4</w:t>
            </w:r>
          </w:p>
        </w:tc>
        <w:tc>
          <w:tcPr>
            <w:tcW w:w="12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ascii="Times New Roman" w:hAnsi="Times New Roman" w:eastAsia="宋体" w:cs="Times New Roman"/>
                <w:kern w:val="0"/>
                <w:sz w:val="20"/>
                <w:szCs w:val="20"/>
              </w:rPr>
              <w:t> </w:t>
            </w:r>
          </w:p>
        </w:tc>
      </w:tr>
      <w:tr>
        <w:tblPrEx>
          <w:tblCellMar>
            <w:top w:w="15" w:type="dxa"/>
            <w:left w:w="15" w:type="dxa"/>
            <w:bottom w:w="15" w:type="dxa"/>
            <w:right w:w="15" w:type="dxa"/>
          </w:tblCellMar>
        </w:tblPrEx>
        <w:trPr>
          <w:trHeight w:val="119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1393"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宋体" w:hAnsi="宋体" w:eastAsia="宋体" w:cs="宋体"/>
                <w:kern w:val="0"/>
                <w:sz w:val="20"/>
                <w:szCs w:val="20"/>
              </w:rPr>
              <w:t>项目资金及时拨付使用</w:t>
            </w:r>
          </w:p>
        </w:tc>
        <w:tc>
          <w:tcPr>
            <w:tcW w:w="128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宋体" w:hAnsi="宋体" w:eastAsia="宋体" w:cs="宋体"/>
                <w:kern w:val="0"/>
                <w:sz w:val="20"/>
                <w:szCs w:val="20"/>
              </w:rPr>
              <w:t>按年度计划及时拨付</w:t>
            </w:r>
          </w:p>
        </w:tc>
        <w:tc>
          <w:tcPr>
            <w:tcW w:w="13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宋体" w:hAnsi="宋体" w:eastAsia="宋体" w:cs="宋体"/>
                <w:kern w:val="0"/>
                <w:sz w:val="20"/>
                <w:szCs w:val="20"/>
              </w:rPr>
              <w:t>按年度计划及时拨付</w:t>
            </w:r>
          </w:p>
        </w:tc>
        <w:tc>
          <w:tcPr>
            <w:tcW w:w="7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ascii="Times New Roman" w:hAnsi="Times New Roman" w:eastAsia="宋体" w:cs="Times New Roman"/>
                <w:kern w:val="0"/>
                <w:sz w:val="20"/>
                <w:szCs w:val="20"/>
              </w:rPr>
              <w:t>3</w:t>
            </w:r>
          </w:p>
        </w:tc>
        <w:tc>
          <w:tcPr>
            <w:tcW w:w="10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Times New Roman" w:hAnsi="Times New Roman" w:eastAsia="宋体" w:cs="Times New Roman"/>
                <w:kern w:val="0"/>
                <w:sz w:val="20"/>
                <w:szCs w:val="20"/>
              </w:rPr>
              <w:t>3</w:t>
            </w:r>
          </w:p>
        </w:tc>
        <w:tc>
          <w:tcPr>
            <w:tcW w:w="12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ascii="Times New Roman" w:hAnsi="Times New Roman" w:eastAsia="宋体" w:cs="Times New Roman"/>
                <w:kern w:val="0"/>
                <w:sz w:val="20"/>
                <w:szCs w:val="20"/>
              </w:rPr>
              <w:t> </w:t>
            </w:r>
          </w:p>
        </w:tc>
      </w:tr>
      <w:tr>
        <w:tblPrEx>
          <w:tblCellMar>
            <w:top w:w="15" w:type="dxa"/>
            <w:left w:w="15" w:type="dxa"/>
            <w:bottom w:w="15" w:type="dxa"/>
            <w:right w:w="15" w:type="dxa"/>
          </w:tblCellMar>
        </w:tblPrEx>
        <w:trPr>
          <w:trHeight w:val="102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1393"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宋体" w:hAnsi="宋体" w:eastAsia="宋体" w:cs="宋体"/>
                <w:kern w:val="0"/>
                <w:sz w:val="20"/>
                <w:szCs w:val="20"/>
              </w:rPr>
              <w:t>政务信息公开及时性</w:t>
            </w:r>
          </w:p>
        </w:tc>
        <w:tc>
          <w:tcPr>
            <w:tcW w:w="128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宋体" w:hAnsi="宋体" w:eastAsia="宋体" w:cs="宋体"/>
                <w:kern w:val="0"/>
                <w:sz w:val="20"/>
                <w:szCs w:val="20"/>
              </w:rPr>
              <w:t>按要求及时公开</w:t>
            </w:r>
          </w:p>
        </w:tc>
        <w:tc>
          <w:tcPr>
            <w:tcW w:w="13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宋体" w:hAnsi="宋体" w:eastAsia="宋体" w:cs="宋体"/>
                <w:kern w:val="0"/>
                <w:sz w:val="20"/>
                <w:szCs w:val="20"/>
              </w:rPr>
              <w:t>按要求及时公开</w:t>
            </w:r>
          </w:p>
        </w:tc>
        <w:tc>
          <w:tcPr>
            <w:tcW w:w="7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Times New Roman" w:hAnsi="Times New Roman" w:eastAsia="宋体" w:cs="Times New Roman"/>
                <w:kern w:val="0"/>
                <w:sz w:val="20"/>
                <w:szCs w:val="20"/>
              </w:rPr>
              <w:t>3</w:t>
            </w:r>
          </w:p>
        </w:tc>
        <w:tc>
          <w:tcPr>
            <w:tcW w:w="10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Times New Roman" w:hAnsi="Times New Roman" w:eastAsia="宋体" w:cs="Times New Roman"/>
                <w:kern w:val="0"/>
                <w:sz w:val="20"/>
                <w:szCs w:val="20"/>
              </w:rPr>
              <w:t>3</w:t>
            </w:r>
          </w:p>
        </w:tc>
        <w:tc>
          <w:tcPr>
            <w:tcW w:w="12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宋体" w:hAnsi="宋体" w:eastAsia="宋体" w:cs="宋体"/>
                <w:kern w:val="0"/>
                <w:sz w:val="20"/>
                <w:szCs w:val="20"/>
              </w:rPr>
              <w:t> </w:t>
            </w:r>
          </w:p>
        </w:tc>
      </w:tr>
      <w:tr>
        <w:tblPrEx>
          <w:tblCellMar>
            <w:top w:w="15" w:type="dxa"/>
            <w:left w:w="15" w:type="dxa"/>
            <w:bottom w:w="15" w:type="dxa"/>
            <w:right w:w="15" w:type="dxa"/>
          </w:tblCellMar>
        </w:tblPrEx>
        <w:trPr>
          <w:trHeight w:val="102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99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ascii="宋体" w:hAnsi="宋体" w:eastAsia="宋体" w:cs="Times New Roman"/>
                <w:kern w:val="0"/>
                <w:sz w:val="20"/>
                <w:szCs w:val="20"/>
              </w:rPr>
              <w:t>成本</w:t>
            </w:r>
          </w:p>
          <w:p>
            <w:pPr>
              <w:widowControl/>
              <w:spacing w:line="320" w:lineRule="atLeast"/>
              <w:jc w:val="center"/>
              <w:rPr>
                <w:rFonts w:ascii="宋体" w:hAnsi="宋体" w:eastAsia="宋体" w:cs="宋体"/>
                <w:kern w:val="0"/>
                <w:sz w:val="24"/>
                <w:szCs w:val="24"/>
              </w:rPr>
            </w:pPr>
            <w:r>
              <w:rPr>
                <w:rFonts w:ascii="宋体" w:hAnsi="宋体" w:eastAsia="宋体" w:cs="Times New Roman"/>
                <w:kern w:val="0"/>
                <w:sz w:val="20"/>
                <w:szCs w:val="20"/>
              </w:rPr>
              <w:t>指标</w:t>
            </w:r>
          </w:p>
          <w:p>
            <w:pPr>
              <w:widowControl/>
              <w:spacing w:line="320" w:lineRule="atLeast"/>
              <w:jc w:val="center"/>
              <w:rPr>
                <w:rFonts w:ascii="宋体" w:hAnsi="宋体" w:eastAsia="宋体" w:cs="宋体"/>
                <w:kern w:val="0"/>
                <w:sz w:val="24"/>
                <w:szCs w:val="24"/>
              </w:rPr>
            </w:pPr>
            <w:r>
              <w:rPr>
                <w:rFonts w:hint="eastAsia" w:ascii="宋体" w:hAnsi="宋体" w:eastAsia="宋体" w:cs="宋体"/>
                <w:kern w:val="0"/>
                <w:sz w:val="20"/>
                <w:szCs w:val="20"/>
              </w:rPr>
              <w:t>（</w:t>
            </w:r>
            <w:r>
              <w:rPr>
                <w:rFonts w:hint="eastAsia" w:ascii="Times New Roman" w:hAnsi="Times New Roman" w:eastAsia="宋体" w:cs="Times New Roman"/>
                <w:kern w:val="0"/>
                <w:sz w:val="20"/>
                <w:szCs w:val="20"/>
              </w:rPr>
              <w:t>10</w:t>
            </w:r>
            <w:r>
              <w:rPr>
                <w:rFonts w:hint="eastAsia" w:ascii="宋体" w:hAnsi="宋体" w:eastAsia="宋体" w:cs="宋体"/>
                <w:kern w:val="0"/>
                <w:sz w:val="20"/>
                <w:szCs w:val="20"/>
              </w:rPr>
              <w:t>分）</w:t>
            </w:r>
          </w:p>
        </w:tc>
        <w:tc>
          <w:tcPr>
            <w:tcW w:w="1393"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宋体" w:hAnsi="宋体" w:eastAsia="宋体" w:cs="宋体"/>
                <w:kern w:val="0"/>
                <w:sz w:val="20"/>
                <w:szCs w:val="20"/>
              </w:rPr>
              <w:t>在职人员控制率</w:t>
            </w:r>
          </w:p>
        </w:tc>
        <w:tc>
          <w:tcPr>
            <w:tcW w:w="128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宋体" w:hAnsi="宋体" w:eastAsia="宋体" w:cs="宋体"/>
                <w:kern w:val="0"/>
                <w:sz w:val="20"/>
                <w:szCs w:val="20"/>
              </w:rPr>
              <w:t>≤</w:t>
            </w:r>
            <w:r>
              <w:rPr>
                <w:rFonts w:hint="eastAsia" w:ascii="Times New Roman" w:hAnsi="Times New Roman" w:eastAsia="宋体" w:cs="Times New Roman"/>
                <w:kern w:val="0"/>
                <w:sz w:val="20"/>
                <w:szCs w:val="20"/>
              </w:rPr>
              <w:t>100%</w:t>
            </w:r>
          </w:p>
        </w:tc>
        <w:tc>
          <w:tcPr>
            <w:tcW w:w="13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Times New Roman" w:hAnsi="Times New Roman" w:eastAsia="宋体" w:cs="Times New Roman"/>
                <w:kern w:val="0"/>
                <w:sz w:val="20"/>
                <w:szCs w:val="20"/>
              </w:rPr>
              <w:t>98%</w:t>
            </w:r>
          </w:p>
        </w:tc>
        <w:tc>
          <w:tcPr>
            <w:tcW w:w="7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10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12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ascii="Times New Roman" w:hAnsi="Times New Roman" w:eastAsia="宋体" w:cs="Times New Roman"/>
                <w:kern w:val="0"/>
                <w:sz w:val="20"/>
                <w:szCs w:val="20"/>
              </w:rPr>
              <w:t> </w:t>
            </w:r>
          </w:p>
        </w:tc>
      </w:tr>
      <w:tr>
        <w:tblPrEx>
          <w:tblCellMar>
            <w:top w:w="15" w:type="dxa"/>
            <w:left w:w="15" w:type="dxa"/>
            <w:bottom w:w="15" w:type="dxa"/>
            <w:right w:w="15" w:type="dxa"/>
          </w:tblCellMar>
        </w:tblPrEx>
        <w:trPr>
          <w:trHeight w:val="102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1393"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宋体" w:hAnsi="宋体" w:eastAsia="宋体" w:cs="宋体"/>
                <w:kern w:val="0"/>
                <w:sz w:val="20"/>
                <w:szCs w:val="20"/>
              </w:rPr>
              <w:t>政府采购执行率</w:t>
            </w:r>
          </w:p>
        </w:tc>
        <w:tc>
          <w:tcPr>
            <w:tcW w:w="128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Times New Roman" w:hAnsi="Times New Roman" w:eastAsia="宋体" w:cs="Times New Roman"/>
                <w:kern w:val="0"/>
                <w:sz w:val="20"/>
                <w:szCs w:val="20"/>
              </w:rPr>
              <w:t>100%</w:t>
            </w:r>
          </w:p>
        </w:tc>
        <w:tc>
          <w:tcPr>
            <w:tcW w:w="13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Times New Roman" w:hAnsi="Times New Roman" w:eastAsia="宋体" w:cs="Times New Roman"/>
                <w:kern w:val="0"/>
                <w:sz w:val="20"/>
                <w:szCs w:val="20"/>
              </w:rPr>
              <w:t>100%</w:t>
            </w:r>
          </w:p>
        </w:tc>
        <w:tc>
          <w:tcPr>
            <w:tcW w:w="7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Times New Roman" w:hAnsi="Times New Roman" w:eastAsia="宋体" w:cs="Times New Roman"/>
                <w:kern w:val="0"/>
                <w:sz w:val="20"/>
                <w:szCs w:val="20"/>
              </w:rPr>
              <w:t>2</w:t>
            </w:r>
          </w:p>
        </w:tc>
        <w:tc>
          <w:tcPr>
            <w:tcW w:w="10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Times New Roman" w:hAnsi="Times New Roman" w:eastAsia="宋体" w:cs="Times New Roman"/>
                <w:kern w:val="0"/>
                <w:sz w:val="20"/>
                <w:szCs w:val="20"/>
              </w:rPr>
              <w:t>2</w:t>
            </w:r>
          </w:p>
        </w:tc>
        <w:tc>
          <w:tcPr>
            <w:tcW w:w="12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ascii="Times New Roman" w:hAnsi="Times New Roman" w:eastAsia="宋体" w:cs="Times New Roman"/>
                <w:kern w:val="0"/>
                <w:sz w:val="20"/>
                <w:szCs w:val="20"/>
              </w:rPr>
              <w:t> </w:t>
            </w:r>
          </w:p>
        </w:tc>
      </w:tr>
      <w:tr>
        <w:tblPrEx>
          <w:tblCellMar>
            <w:top w:w="15" w:type="dxa"/>
            <w:left w:w="15" w:type="dxa"/>
            <w:bottom w:w="15" w:type="dxa"/>
            <w:right w:w="15" w:type="dxa"/>
          </w:tblCellMar>
        </w:tblPrEx>
        <w:trPr>
          <w:trHeight w:val="102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1393"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宋体" w:hAnsi="宋体" w:eastAsia="宋体" w:cs="宋体"/>
                <w:kern w:val="0"/>
                <w:sz w:val="20"/>
                <w:szCs w:val="20"/>
              </w:rPr>
              <w:t>公用经费控制率</w:t>
            </w:r>
          </w:p>
        </w:tc>
        <w:tc>
          <w:tcPr>
            <w:tcW w:w="128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Times New Roman" w:hAnsi="Times New Roman" w:eastAsia="宋体" w:cs="Times New Roman"/>
                <w:kern w:val="0"/>
                <w:sz w:val="20"/>
                <w:szCs w:val="20"/>
              </w:rPr>
              <w:t>&lt;100%</w:t>
            </w:r>
          </w:p>
        </w:tc>
        <w:tc>
          <w:tcPr>
            <w:tcW w:w="13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Times New Roman" w:hAnsi="Times New Roman" w:eastAsia="宋体" w:cs="Times New Roman"/>
                <w:kern w:val="0"/>
                <w:sz w:val="20"/>
                <w:szCs w:val="20"/>
              </w:rPr>
              <w:t>98%</w:t>
            </w:r>
          </w:p>
        </w:tc>
        <w:tc>
          <w:tcPr>
            <w:tcW w:w="7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10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12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ascii="Times New Roman" w:hAnsi="Times New Roman" w:eastAsia="宋体" w:cs="Times New Roman"/>
                <w:kern w:val="0"/>
                <w:sz w:val="20"/>
                <w:szCs w:val="20"/>
              </w:rPr>
              <w:t> </w:t>
            </w:r>
          </w:p>
        </w:tc>
      </w:tr>
      <w:tr>
        <w:tblPrEx>
          <w:tblCellMar>
            <w:top w:w="15" w:type="dxa"/>
            <w:left w:w="15" w:type="dxa"/>
            <w:bottom w:w="15" w:type="dxa"/>
            <w:right w:w="15" w:type="dxa"/>
          </w:tblCellMar>
        </w:tblPrEx>
        <w:trPr>
          <w:trHeight w:val="102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1393"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宋体" w:hAnsi="宋体" w:eastAsia="宋体" w:cs="宋体"/>
                <w:kern w:val="0"/>
                <w:sz w:val="20"/>
                <w:szCs w:val="20"/>
              </w:rPr>
              <w:t>“三公经费”控制率</w:t>
            </w:r>
          </w:p>
        </w:tc>
        <w:tc>
          <w:tcPr>
            <w:tcW w:w="128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Times New Roman" w:hAnsi="Times New Roman" w:eastAsia="宋体" w:cs="Times New Roman"/>
                <w:kern w:val="0"/>
                <w:sz w:val="20"/>
                <w:szCs w:val="20"/>
              </w:rPr>
              <w:t>&lt;100%</w:t>
            </w:r>
          </w:p>
        </w:tc>
        <w:tc>
          <w:tcPr>
            <w:tcW w:w="13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100%</w:t>
            </w:r>
          </w:p>
        </w:tc>
        <w:tc>
          <w:tcPr>
            <w:tcW w:w="7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Times New Roman" w:hAnsi="Times New Roman" w:eastAsia="宋体" w:cs="Times New Roman"/>
                <w:kern w:val="0"/>
                <w:sz w:val="20"/>
                <w:szCs w:val="20"/>
              </w:rPr>
              <w:t>3</w:t>
            </w:r>
          </w:p>
        </w:tc>
        <w:tc>
          <w:tcPr>
            <w:tcW w:w="10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Times New Roman" w:hAnsi="Times New Roman" w:eastAsia="宋体" w:cs="Times New Roman"/>
                <w:kern w:val="0"/>
                <w:sz w:val="20"/>
                <w:szCs w:val="20"/>
              </w:rPr>
              <w:t>3</w:t>
            </w:r>
          </w:p>
        </w:tc>
        <w:tc>
          <w:tcPr>
            <w:tcW w:w="12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ascii="Times New Roman" w:hAnsi="Times New Roman" w:eastAsia="宋体" w:cs="Times New Roman"/>
                <w:kern w:val="0"/>
                <w:sz w:val="20"/>
                <w:szCs w:val="20"/>
              </w:rPr>
              <w:t> </w:t>
            </w:r>
          </w:p>
        </w:tc>
      </w:tr>
      <w:tr>
        <w:tblPrEx>
          <w:tblCellMar>
            <w:top w:w="15" w:type="dxa"/>
            <w:left w:w="15" w:type="dxa"/>
            <w:bottom w:w="15" w:type="dxa"/>
            <w:right w:w="15" w:type="dxa"/>
          </w:tblCellMar>
        </w:tblPrEx>
        <w:trPr>
          <w:trHeight w:val="102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ascii="宋体" w:hAnsi="宋体" w:eastAsia="宋体" w:cs="Times New Roman"/>
                <w:kern w:val="0"/>
                <w:sz w:val="20"/>
                <w:szCs w:val="20"/>
              </w:rPr>
              <w:t>效益</w:t>
            </w:r>
          </w:p>
          <w:p>
            <w:pPr>
              <w:widowControl/>
              <w:spacing w:line="320" w:lineRule="atLeast"/>
              <w:jc w:val="center"/>
              <w:rPr>
                <w:rFonts w:ascii="宋体" w:hAnsi="宋体" w:eastAsia="宋体" w:cs="宋体"/>
                <w:kern w:val="0"/>
                <w:sz w:val="24"/>
                <w:szCs w:val="24"/>
              </w:rPr>
            </w:pPr>
            <w:r>
              <w:rPr>
                <w:rFonts w:ascii="宋体" w:hAnsi="宋体" w:eastAsia="宋体" w:cs="Times New Roman"/>
                <w:kern w:val="0"/>
                <w:sz w:val="20"/>
                <w:szCs w:val="20"/>
              </w:rPr>
              <w:t>指标</w:t>
            </w:r>
          </w:p>
          <w:p>
            <w:pPr>
              <w:widowControl/>
              <w:spacing w:line="320" w:lineRule="atLeast"/>
              <w:jc w:val="center"/>
              <w:rPr>
                <w:rFonts w:ascii="宋体" w:hAnsi="宋体" w:eastAsia="宋体" w:cs="宋体"/>
                <w:kern w:val="0"/>
                <w:sz w:val="24"/>
                <w:szCs w:val="24"/>
              </w:rPr>
            </w:pPr>
            <w:r>
              <w:rPr>
                <w:rFonts w:ascii="宋体" w:hAnsi="宋体" w:eastAsia="宋体" w:cs="Times New Roman"/>
                <w:kern w:val="0"/>
                <w:sz w:val="20"/>
                <w:szCs w:val="20"/>
              </w:rPr>
              <w:t>（</w:t>
            </w:r>
            <w:r>
              <w:rPr>
                <w:rFonts w:hint="eastAsia" w:ascii="Times New Roman" w:hAnsi="Times New Roman" w:eastAsia="宋体" w:cs="Times New Roman"/>
                <w:kern w:val="0"/>
                <w:sz w:val="20"/>
                <w:szCs w:val="20"/>
              </w:rPr>
              <w:t>40</w:t>
            </w:r>
            <w:r>
              <w:rPr>
                <w:rFonts w:ascii="宋体" w:hAnsi="宋体" w:eastAsia="宋体" w:cs="Times New Roman"/>
                <w:kern w:val="0"/>
                <w:sz w:val="20"/>
                <w:szCs w:val="20"/>
              </w:rPr>
              <w:t>分）</w:t>
            </w:r>
          </w:p>
        </w:tc>
        <w:tc>
          <w:tcPr>
            <w:tcW w:w="99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ascii="宋体" w:hAnsi="宋体" w:eastAsia="宋体" w:cs="Times New Roman"/>
                <w:kern w:val="0"/>
                <w:sz w:val="20"/>
                <w:szCs w:val="20"/>
              </w:rPr>
              <w:t>经济效</w:t>
            </w:r>
          </w:p>
          <w:p>
            <w:pPr>
              <w:widowControl/>
              <w:spacing w:line="320" w:lineRule="atLeast"/>
              <w:jc w:val="center"/>
              <w:rPr>
                <w:rFonts w:ascii="宋体" w:hAnsi="宋体" w:eastAsia="宋体" w:cs="宋体"/>
                <w:kern w:val="0"/>
                <w:sz w:val="24"/>
                <w:szCs w:val="24"/>
              </w:rPr>
            </w:pPr>
            <w:r>
              <w:rPr>
                <w:rFonts w:ascii="宋体" w:hAnsi="宋体" w:eastAsia="宋体" w:cs="Times New Roman"/>
                <w:kern w:val="0"/>
                <w:sz w:val="20"/>
                <w:szCs w:val="20"/>
              </w:rPr>
              <w:t>益指标</w:t>
            </w:r>
            <w:r>
              <w:rPr>
                <w:rFonts w:hint="eastAsia" w:ascii="宋体" w:hAnsi="宋体" w:eastAsia="宋体" w:cs="宋体"/>
                <w:kern w:val="0"/>
                <w:sz w:val="20"/>
                <w:szCs w:val="20"/>
              </w:rPr>
              <w:t>（</w:t>
            </w:r>
            <w:r>
              <w:rPr>
                <w:rFonts w:hint="eastAsia" w:ascii="Times New Roman" w:hAnsi="Times New Roman" w:eastAsia="宋体" w:cs="Times New Roman"/>
                <w:kern w:val="0"/>
                <w:sz w:val="20"/>
                <w:szCs w:val="20"/>
              </w:rPr>
              <w:t>10</w:t>
            </w:r>
            <w:r>
              <w:rPr>
                <w:rFonts w:hint="eastAsia" w:ascii="宋体" w:hAnsi="宋体" w:eastAsia="宋体" w:cs="宋体"/>
                <w:kern w:val="0"/>
                <w:sz w:val="20"/>
                <w:szCs w:val="20"/>
              </w:rPr>
              <w:t>分）</w:t>
            </w:r>
          </w:p>
        </w:tc>
        <w:tc>
          <w:tcPr>
            <w:tcW w:w="1393"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宋体" w:hAnsi="宋体" w:eastAsia="宋体" w:cs="宋体"/>
                <w:kern w:val="0"/>
                <w:sz w:val="20"/>
                <w:szCs w:val="20"/>
              </w:rPr>
              <w:t>主要经济指标完成情况</w:t>
            </w:r>
          </w:p>
        </w:tc>
        <w:tc>
          <w:tcPr>
            <w:tcW w:w="128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宋体" w:hAnsi="宋体" w:eastAsia="宋体" w:cs="宋体"/>
                <w:kern w:val="0"/>
                <w:sz w:val="20"/>
                <w:szCs w:val="20"/>
              </w:rPr>
              <w:t>按年度计划完满完成</w:t>
            </w:r>
          </w:p>
        </w:tc>
        <w:tc>
          <w:tcPr>
            <w:tcW w:w="13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宋体" w:hAnsi="宋体" w:eastAsia="宋体" w:cs="宋体"/>
                <w:kern w:val="0"/>
                <w:sz w:val="20"/>
                <w:szCs w:val="20"/>
              </w:rPr>
              <w:t>超额完成</w:t>
            </w:r>
          </w:p>
        </w:tc>
        <w:tc>
          <w:tcPr>
            <w:tcW w:w="7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Times New Roman" w:hAnsi="Times New Roman" w:eastAsia="宋体" w:cs="Times New Roman"/>
                <w:kern w:val="0"/>
                <w:sz w:val="20"/>
                <w:szCs w:val="20"/>
              </w:rPr>
              <w:t>5</w:t>
            </w:r>
          </w:p>
        </w:tc>
        <w:tc>
          <w:tcPr>
            <w:tcW w:w="10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Times New Roman" w:hAnsi="Times New Roman" w:eastAsia="宋体" w:cs="Times New Roman"/>
                <w:kern w:val="0"/>
                <w:sz w:val="20"/>
                <w:szCs w:val="20"/>
              </w:rPr>
              <w:t>5</w:t>
            </w:r>
          </w:p>
        </w:tc>
        <w:tc>
          <w:tcPr>
            <w:tcW w:w="12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ascii="Times New Roman" w:hAnsi="Times New Roman" w:eastAsia="宋体" w:cs="Times New Roman"/>
                <w:kern w:val="0"/>
                <w:sz w:val="20"/>
                <w:szCs w:val="20"/>
              </w:rPr>
              <w:t> </w:t>
            </w:r>
          </w:p>
        </w:tc>
      </w:tr>
      <w:tr>
        <w:tblPrEx>
          <w:tblCellMar>
            <w:top w:w="15" w:type="dxa"/>
            <w:left w:w="15" w:type="dxa"/>
            <w:bottom w:w="15" w:type="dxa"/>
            <w:right w:w="15" w:type="dxa"/>
          </w:tblCellMar>
        </w:tblPrEx>
        <w:trPr>
          <w:trHeight w:val="102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1393"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宋体" w:hAnsi="宋体" w:eastAsia="宋体" w:cs="宋体"/>
                <w:kern w:val="0"/>
                <w:sz w:val="20"/>
                <w:szCs w:val="20"/>
              </w:rPr>
              <w:t>工业经济对全</w:t>
            </w:r>
            <w:r>
              <w:rPr>
                <w:rFonts w:hint="eastAsia" w:ascii="宋体" w:hAnsi="宋体" w:eastAsia="宋体" w:cs="宋体"/>
                <w:kern w:val="0"/>
                <w:sz w:val="20"/>
                <w:szCs w:val="20"/>
                <w:lang w:eastAsia="zh-CN"/>
              </w:rPr>
              <w:t>区</w:t>
            </w:r>
            <w:r>
              <w:rPr>
                <w:rFonts w:hint="eastAsia" w:ascii="宋体" w:hAnsi="宋体" w:eastAsia="宋体" w:cs="宋体"/>
                <w:kern w:val="0"/>
                <w:sz w:val="20"/>
                <w:szCs w:val="20"/>
              </w:rPr>
              <w:t>财税收入支撑</w:t>
            </w:r>
          </w:p>
        </w:tc>
        <w:tc>
          <w:tcPr>
            <w:tcW w:w="128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宋体" w:hAnsi="宋体" w:eastAsia="宋体" w:cs="宋体"/>
                <w:kern w:val="0"/>
                <w:sz w:val="20"/>
                <w:szCs w:val="20"/>
              </w:rPr>
              <w:t>不断提高</w:t>
            </w:r>
          </w:p>
        </w:tc>
        <w:tc>
          <w:tcPr>
            <w:tcW w:w="13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宋体" w:hAnsi="宋体" w:eastAsia="宋体" w:cs="宋体"/>
                <w:kern w:val="0"/>
                <w:sz w:val="20"/>
                <w:szCs w:val="20"/>
              </w:rPr>
              <w:t>不断提高</w:t>
            </w:r>
          </w:p>
        </w:tc>
        <w:tc>
          <w:tcPr>
            <w:tcW w:w="7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Times New Roman" w:hAnsi="Times New Roman" w:eastAsia="宋体" w:cs="Times New Roman"/>
                <w:kern w:val="0"/>
                <w:sz w:val="20"/>
                <w:szCs w:val="20"/>
              </w:rPr>
              <w:t>5</w:t>
            </w:r>
          </w:p>
        </w:tc>
        <w:tc>
          <w:tcPr>
            <w:tcW w:w="10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Times New Roman" w:hAnsi="Times New Roman" w:eastAsia="宋体" w:cs="Times New Roman"/>
                <w:kern w:val="0"/>
                <w:sz w:val="20"/>
                <w:szCs w:val="20"/>
              </w:rPr>
              <w:t>5</w:t>
            </w:r>
          </w:p>
        </w:tc>
        <w:tc>
          <w:tcPr>
            <w:tcW w:w="12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ascii="Times New Roman" w:hAnsi="Times New Roman" w:eastAsia="宋体" w:cs="Times New Roman"/>
                <w:kern w:val="0"/>
                <w:sz w:val="20"/>
                <w:szCs w:val="20"/>
              </w:rPr>
              <w:t> </w:t>
            </w:r>
          </w:p>
        </w:tc>
      </w:tr>
      <w:tr>
        <w:tblPrEx>
          <w:tblCellMar>
            <w:top w:w="15" w:type="dxa"/>
            <w:left w:w="15" w:type="dxa"/>
            <w:bottom w:w="15" w:type="dxa"/>
            <w:right w:w="15" w:type="dxa"/>
          </w:tblCellMar>
        </w:tblPrEx>
        <w:trPr>
          <w:trHeight w:val="102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99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ascii="宋体" w:hAnsi="宋体" w:eastAsia="宋体" w:cs="Times New Roman"/>
                <w:kern w:val="0"/>
                <w:sz w:val="20"/>
                <w:szCs w:val="20"/>
              </w:rPr>
              <w:t>社会效</w:t>
            </w:r>
          </w:p>
          <w:p>
            <w:pPr>
              <w:widowControl/>
              <w:spacing w:line="320" w:lineRule="atLeast"/>
              <w:jc w:val="center"/>
              <w:rPr>
                <w:rFonts w:ascii="宋体" w:hAnsi="宋体" w:eastAsia="宋体" w:cs="宋体"/>
                <w:kern w:val="0"/>
                <w:sz w:val="24"/>
                <w:szCs w:val="24"/>
              </w:rPr>
            </w:pPr>
            <w:r>
              <w:rPr>
                <w:rFonts w:ascii="宋体" w:hAnsi="宋体" w:eastAsia="宋体" w:cs="Times New Roman"/>
                <w:kern w:val="0"/>
                <w:sz w:val="20"/>
                <w:szCs w:val="20"/>
              </w:rPr>
              <w:t>益指标</w:t>
            </w:r>
            <w:r>
              <w:rPr>
                <w:rFonts w:hint="eastAsia" w:ascii="宋体" w:hAnsi="宋体" w:eastAsia="宋体" w:cs="宋体"/>
                <w:kern w:val="0"/>
                <w:sz w:val="20"/>
                <w:szCs w:val="20"/>
              </w:rPr>
              <w:t>（</w:t>
            </w:r>
            <w:r>
              <w:rPr>
                <w:rFonts w:hint="eastAsia" w:ascii="Times New Roman" w:hAnsi="Times New Roman" w:eastAsia="宋体" w:cs="Times New Roman"/>
                <w:kern w:val="0"/>
                <w:sz w:val="20"/>
                <w:szCs w:val="20"/>
              </w:rPr>
              <w:t>10</w:t>
            </w:r>
            <w:r>
              <w:rPr>
                <w:rFonts w:hint="eastAsia" w:ascii="宋体" w:hAnsi="宋体" w:eastAsia="宋体" w:cs="宋体"/>
                <w:kern w:val="0"/>
                <w:sz w:val="20"/>
                <w:szCs w:val="20"/>
              </w:rPr>
              <w:t>分）</w:t>
            </w:r>
          </w:p>
        </w:tc>
        <w:tc>
          <w:tcPr>
            <w:tcW w:w="1393"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宋体" w:hAnsi="宋体" w:eastAsia="宋体" w:cs="宋体"/>
                <w:kern w:val="0"/>
                <w:sz w:val="20"/>
                <w:szCs w:val="20"/>
              </w:rPr>
              <w:t>疫情防控应急物资保障情况</w:t>
            </w:r>
          </w:p>
        </w:tc>
        <w:tc>
          <w:tcPr>
            <w:tcW w:w="128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宋体" w:hAnsi="宋体" w:eastAsia="宋体" w:cs="宋体"/>
                <w:kern w:val="0"/>
                <w:sz w:val="20"/>
                <w:szCs w:val="20"/>
              </w:rPr>
              <w:t>形成公共卫生应急物资保障体系</w:t>
            </w:r>
          </w:p>
        </w:tc>
        <w:tc>
          <w:tcPr>
            <w:tcW w:w="13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宋体" w:hAnsi="宋体" w:eastAsia="宋体" w:cs="宋体"/>
                <w:kern w:val="0"/>
                <w:sz w:val="20"/>
                <w:szCs w:val="20"/>
              </w:rPr>
              <w:t>形成公共卫生应急物资保障体系</w:t>
            </w:r>
          </w:p>
        </w:tc>
        <w:tc>
          <w:tcPr>
            <w:tcW w:w="7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10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12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ascii="Times New Roman" w:hAnsi="Times New Roman" w:eastAsia="宋体" w:cs="Times New Roman"/>
                <w:kern w:val="0"/>
                <w:sz w:val="20"/>
                <w:szCs w:val="20"/>
              </w:rPr>
              <w:t> </w:t>
            </w:r>
          </w:p>
        </w:tc>
      </w:tr>
      <w:tr>
        <w:tblPrEx>
          <w:tblCellMar>
            <w:top w:w="15" w:type="dxa"/>
            <w:left w:w="15" w:type="dxa"/>
            <w:bottom w:w="15" w:type="dxa"/>
            <w:right w:w="15" w:type="dxa"/>
          </w:tblCellMar>
        </w:tblPrEx>
        <w:trPr>
          <w:trHeight w:val="102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1393"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宋体" w:hAnsi="宋体" w:eastAsia="宋体" w:cs="宋体"/>
                <w:kern w:val="0"/>
                <w:sz w:val="20"/>
                <w:szCs w:val="20"/>
              </w:rPr>
              <w:t>中小企业公务服务体系</w:t>
            </w:r>
          </w:p>
        </w:tc>
        <w:tc>
          <w:tcPr>
            <w:tcW w:w="128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宋体" w:hAnsi="宋体" w:eastAsia="宋体" w:cs="宋体"/>
                <w:kern w:val="0"/>
                <w:sz w:val="20"/>
                <w:szCs w:val="20"/>
              </w:rPr>
              <w:t>不断完善</w:t>
            </w:r>
          </w:p>
        </w:tc>
        <w:tc>
          <w:tcPr>
            <w:tcW w:w="13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宋体" w:hAnsi="宋体" w:eastAsia="宋体" w:cs="宋体"/>
                <w:kern w:val="0"/>
                <w:sz w:val="20"/>
                <w:szCs w:val="20"/>
              </w:rPr>
              <w:t>不断完善</w:t>
            </w:r>
          </w:p>
        </w:tc>
        <w:tc>
          <w:tcPr>
            <w:tcW w:w="7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10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12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ascii="Times New Roman" w:hAnsi="Times New Roman" w:eastAsia="宋体" w:cs="Times New Roman"/>
                <w:kern w:val="0"/>
                <w:sz w:val="20"/>
                <w:szCs w:val="20"/>
              </w:rPr>
              <w:t> </w:t>
            </w:r>
          </w:p>
        </w:tc>
      </w:tr>
      <w:tr>
        <w:tblPrEx>
          <w:tblCellMar>
            <w:top w:w="15" w:type="dxa"/>
            <w:left w:w="15" w:type="dxa"/>
            <w:bottom w:w="15" w:type="dxa"/>
            <w:right w:w="15" w:type="dxa"/>
          </w:tblCellMar>
        </w:tblPrEx>
        <w:trPr>
          <w:trHeight w:val="102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1393"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p>
        </w:tc>
        <w:tc>
          <w:tcPr>
            <w:tcW w:w="128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p>
        </w:tc>
        <w:tc>
          <w:tcPr>
            <w:tcW w:w="13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p>
        </w:tc>
        <w:tc>
          <w:tcPr>
            <w:tcW w:w="7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p>
        </w:tc>
        <w:tc>
          <w:tcPr>
            <w:tcW w:w="10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p>
        </w:tc>
        <w:tc>
          <w:tcPr>
            <w:tcW w:w="12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ascii="Times New Roman" w:hAnsi="Times New Roman" w:eastAsia="宋体" w:cs="Times New Roman"/>
                <w:kern w:val="0"/>
                <w:sz w:val="20"/>
                <w:szCs w:val="20"/>
              </w:rPr>
              <w:t> </w:t>
            </w:r>
          </w:p>
        </w:tc>
      </w:tr>
      <w:tr>
        <w:tblPrEx>
          <w:tblCellMar>
            <w:top w:w="15" w:type="dxa"/>
            <w:left w:w="15" w:type="dxa"/>
            <w:bottom w:w="15" w:type="dxa"/>
            <w:right w:w="15" w:type="dxa"/>
          </w:tblCellMar>
        </w:tblPrEx>
        <w:trPr>
          <w:trHeight w:val="102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99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ascii="宋体" w:hAnsi="宋体" w:eastAsia="宋体" w:cs="Times New Roman"/>
                <w:kern w:val="0"/>
                <w:sz w:val="20"/>
                <w:szCs w:val="20"/>
              </w:rPr>
              <w:t>生态效</w:t>
            </w:r>
          </w:p>
          <w:p>
            <w:pPr>
              <w:widowControl/>
              <w:spacing w:line="320" w:lineRule="atLeast"/>
              <w:jc w:val="center"/>
              <w:rPr>
                <w:rFonts w:ascii="宋体" w:hAnsi="宋体" w:eastAsia="宋体" w:cs="宋体"/>
                <w:kern w:val="0"/>
                <w:sz w:val="24"/>
                <w:szCs w:val="24"/>
              </w:rPr>
            </w:pPr>
            <w:r>
              <w:rPr>
                <w:rFonts w:ascii="宋体" w:hAnsi="宋体" w:eastAsia="宋体" w:cs="Times New Roman"/>
                <w:kern w:val="0"/>
                <w:sz w:val="20"/>
                <w:szCs w:val="20"/>
              </w:rPr>
              <w:t>益指标</w:t>
            </w:r>
            <w:r>
              <w:rPr>
                <w:rFonts w:hint="eastAsia" w:ascii="宋体" w:hAnsi="宋体" w:eastAsia="宋体" w:cs="宋体"/>
                <w:kern w:val="0"/>
                <w:sz w:val="20"/>
                <w:szCs w:val="20"/>
              </w:rPr>
              <w:t>（</w:t>
            </w:r>
            <w:r>
              <w:rPr>
                <w:rFonts w:hint="eastAsia" w:ascii="Times New Roman" w:hAnsi="Times New Roman" w:eastAsia="宋体" w:cs="Times New Roman"/>
                <w:kern w:val="0"/>
                <w:sz w:val="20"/>
                <w:szCs w:val="20"/>
              </w:rPr>
              <w:t>10</w:t>
            </w:r>
            <w:r>
              <w:rPr>
                <w:rFonts w:hint="eastAsia" w:ascii="宋体" w:hAnsi="宋体" w:eastAsia="宋体" w:cs="宋体"/>
                <w:kern w:val="0"/>
                <w:sz w:val="20"/>
                <w:szCs w:val="20"/>
              </w:rPr>
              <w:t>分）</w:t>
            </w:r>
          </w:p>
        </w:tc>
        <w:tc>
          <w:tcPr>
            <w:tcW w:w="1393"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宋体" w:hAnsi="宋体" w:eastAsia="宋体" w:cs="宋体"/>
                <w:kern w:val="0"/>
                <w:sz w:val="20"/>
                <w:szCs w:val="20"/>
              </w:rPr>
              <w:t>工业领域生态环境保护</w:t>
            </w:r>
          </w:p>
        </w:tc>
        <w:tc>
          <w:tcPr>
            <w:tcW w:w="128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宋体" w:hAnsi="宋体" w:eastAsia="宋体" w:cs="宋体"/>
                <w:kern w:val="0"/>
                <w:sz w:val="20"/>
                <w:szCs w:val="20"/>
              </w:rPr>
              <w:t>不断加强</w:t>
            </w:r>
          </w:p>
        </w:tc>
        <w:tc>
          <w:tcPr>
            <w:tcW w:w="13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宋体" w:hAnsi="宋体" w:eastAsia="宋体" w:cs="宋体"/>
                <w:kern w:val="0"/>
                <w:sz w:val="20"/>
                <w:szCs w:val="20"/>
              </w:rPr>
              <w:t>不断加强</w:t>
            </w:r>
          </w:p>
        </w:tc>
        <w:tc>
          <w:tcPr>
            <w:tcW w:w="7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Times New Roman" w:hAnsi="Times New Roman" w:eastAsia="宋体" w:cs="Times New Roman"/>
                <w:kern w:val="0"/>
                <w:sz w:val="20"/>
                <w:szCs w:val="20"/>
              </w:rPr>
              <w:t>5</w:t>
            </w:r>
          </w:p>
        </w:tc>
        <w:tc>
          <w:tcPr>
            <w:tcW w:w="10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Times New Roman" w:hAnsi="Times New Roman" w:eastAsia="宋体" w:cs="Times New Roman"/>
                <w:kern w:val="0"/>
                <w:sz w:val="20"/>
                <w:szCs w:val="20"/>
              </w:rPr>
              <w:t>5</w:t>
            </w:r>
          </w:p>
        </w:tc>
        <w:tc>
          <w:tcPr>
            <w:tcW w:w="12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ascii="Times New Roman" w:hAnsi="Times New Roman" w:eastAsia="宋体" w:cs="Times New Roman"/>
                <w:kern w:val="0"/>
                <w:sz w:val="20"/>
                <w:szCs w:val="20"/>
              </w:rPr>
              <w:t> </w:t>
            </w:r>
          </w:p>
        </w:tc>
      </w:tr>
      <w:tr>
        <w:tblPrEx>
          <w:tblCellMar>
            <w:top w:w="15" w:type="dxa"/>
            <w:left w:w="15" w:type="dxa"/>
            <w:bottom w:w="15" w:type="dxa"/>
            <w:right w:w="15" w:type="dxa"/>
          </w:tblCellMar>
        </w:tblPrEx>
        <w:trPr>
          <w:trHeight w:val="102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1393"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宋体" w:hAnsi="宋体" w:eastAsia="宋体" w:cs="宋体"/>
                <w:kern w:val="0"/>
                <w:sz w:val="20"/>
                <w:szCs w:val="20"/>
              </w:rPr>
              <w:t>企业节能减排</w:t>
            </w:r>
          </w:p>
        </w:tc>
        <w:tc>
          <w:tcPr>
            <w:tcW w:w="128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宋体" w:hAnsi="宋体" w:eastAsia="宋体" w:cs="宋体"/>
                <w:kern w:val="0"/>
                <w:sz w:val="20"/>
                <w:szCs w:val="20"/>
              </w:rPr>
              <w:t>不断加强</w:t>
            </w:r>
          </w:p>
        </w:tc>
        <w:tc>
          <w:tcPr>
            <w:tcW w:w="13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宋体" w:hAnsi="宋体" w:eastAsia="宋体" w:cs="宋体"/>
                <w:kern w:val="0"/>
                <w:sz w:val="20"/>
                <w:szCs w:val="20"/>
              </w:rPr>
              <w:t>不断加强</w:t>
            </w:r>
          </w:p>
        </w:tc>
        <w:tc>
          <w:tcPr>
            <w:tcW w:w="7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Times New Roman" w:hAnsi="Times New Roman" w:eastAsia="宋体" w:cs="Times New Roman"/>
                <w:kern w:val="0"/>
                <w:sz w:val="20"/>
                <w:szCs w:val="20"/>
              </w:rPr>
              <w:t>5</w:t>
            </w:r>
          </w:p>
        </w:tc>
        <w:tc>
          <w:tcPr>
            <w:tcW w:w="10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Times New Roman" w:hAnsi="Times New Roman" w:eastAsia="宋体" w:cs="Times New Roman"/>
                <w:kern w:val="0"/>
                <w:sz w:val="20"/>
                <w:szCs w:val="20"/>
              </w:rPr>
              <w:t>5</w:t>
            </w:r>
          </w:p>
        </w:tc>
        <w:tc>
          <w:tcPr>
            <w:tcW w:w="12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ascii="Times New Roman" w:hAnsi="Times New Roman" w:eastAsia="宋体" w:cs="Times New Roman"/>
                <w:kern w:val="0"/>
                <w:sz w:val="20"/>
                <w:szCs w:val="20"/>
              </w:rPr>
              <w:t> </w:t>
            </w:r>
          </w:p>
        </w:tc>
      </w:tr>
      <w:tr>
        <w:tblPrEx>
          <w:tblCellMar>
            <w:top w:w="15" w:type="dxa"/>
            <w:left w:w="15" w:type="dxa"/>
            <w:bottom w:w="15" w:type="dxa"/>
            <w:right w:w="15" w:type="dxa"/>
          </w:tblCellMar>
        </w:tblPrEx>
        <w:trPr>
          <w:trHeight w:val="102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99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ascii="宋体" w:hAnsi="宋体" w:eastAsia="宋体" w:cs="Times New Roman"/>
                <w:kern w:val="0"/>
                <w:sz w:val="20"/>
                <w:szCs w:val="20"/>
              </w:rPr>
              <w:t>可持续影响</w:t>
            </w:r>
          </w:p>
          <w:p>
            <w:pPr>
              <w:widowControl/>
              <w:spacing w:line="320" w:lineRule="atLeast"/>
              <w:jc w:val="center"/>
              <w:rPr>
                <w:rFonts w:ascii="宋体" w:hAnsi="宋体" w:eastAsia="宋体" w:cs="宋体"/>
                <w:kern w:val="0"/>
                <w:sz w:val="24"/>
                <w:szCs w:val="24"/>
              </w:rPr>
            </w:pPr>
            <w:r>
              <w:rPr>
                <w:rFonts w:ascii="宋体" w:hAnsi="宋体" w:eastAsia="宋体" w:cs="Times New Roman"/>
                <w:kern w:val="0"/>
                <w:sz w:val="20"/>
                <w:szCs w:val="20"/>
              </w:rPr>
              <w:t>指标</w:t>
            </w:r>
          </w:p>
          <w:p>
            <w:pPr>
              <w:widowControl/>
              <w:spacing w:line="320" w:lineRule="atLeast"/>
              <w:jc w:val="center"/>
              <w:rPr>
                <w:rFonts w:ascii="宋体" w:hAnsi="宋体" w:eastAsia="宋体" w:cs="宋体"/>
                <w:kern w:val="0"/>
                <w:sz w:val="24"/>
                <w:szCs w:val="24"/>
              </w:rPr>
            </w:pPr>
            <w:r>
              <w:rPr>
                <w:rFonts w:hint="eastAsia" w:ascii="宋体" w:hAnsi="宋体" w:eastAsia="宋体" w:cs="宋体"/>
                <w:kern w:val="0"/>
                <w:sz w:val="20"/>
                <w:szCs w:val="20"/>
              </w:rPr>
              <w:t>（</w:t>
            </w:r>
            <w:r>
              <w:rPr>
                <w:rFonts w:hint="eastAsia" w:ascii="Times New Roman" w:hAnsi="Times New Roman" w:eastAsia="宋体" w:cs="Times New Roman"/>
                <w:kern w:val="0"/>
                <w:sz w:val="20"/>
                <w:szCs w:val="20"/>
              </w:rPr>
              <w:t>5</w:t>
            </w:r>
            <w:r>
              <w:rPr>
                <w:rFonts w:hint="eastAsia" w:ascii="宋体" w:hAnsi="宋体" w:eastAsia="宋体" w:cs="宋体"/>
                <w:kern w:val="0"/>
                <w:sz w:val="20"/>
                <w:szCs w:val="20"/>
              </w:rPr>
              <w:t>分）</w:t>
            </w:r>
          </w:p>
        </w:tc>
        <w:tc>
          <w:tcPr>
            <w:tcW w:w="1393"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宋体" w:hAnsi="宋体" w:eastAsia="宋体" w:cs="宋体"/>
                <w:kern w:val="0"/>
                <w:sz w:val="20"/>
                <w:szCs w:val="20"/>
              </w:rPr>
              <w:t>廉政建设情况</w:t>
            </w:r>
          </w:p>
        </w:tc>
        <w:tc>
          <w:tcPr>
            <w:tcW w:w="128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宋体" w:hAnsi="宋体" w:eastAsia="宋体" w:cs="宋体"/>
                <w:kern w:val="0"/>
                <w:sz w:val="20"/>
                <w:szCs w:val="20"/>
              </w:rPr>
              <w:t>推动部门高效稳定运转</w:t>
            </w:r>
          </w:p>
        </w:tc>
        <w:tc>
          <w:tcPr>
            <w:tcW w:w="13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宋体" w:hAnsi="宋体" w:eastAsia="宋体" w:cs="宋体"/>
                <w:kern w:val="0"/>
                <w:sz w:val="20"/>
                <w:szCs w:val="20"/>
              </w:rPr>
              <w:t>推动部门高效稳定运转</w:t>
            </w:r>
          </w:p>
        </w:tc>
        <w:tc>
          <w:tcPr>
            <w:tcW w:w="7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Times New Roman" w:hAnsi="Times New Roman" w:eastAsia="宋体" w:cs="Times New Roman"/>
                <w:kern w:val="0"/>
                <w:sz w:val="20"/>
                <w:szCs w:val="20"/>
              </w:rPr>
              <w:t>2</w:t>
            </w:r>
          </w:p>
        </w:tc>
        <w:tc>
          <w:tcPr>
            <w:tcW w:w="10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Times New Roman" w:hAnsi="Times New Roman" w:eastAsia="宋体" w:cs="Times New Roman"/>
                <w:kern w:val="0"/>
                <w:sz w:val="20"/>
                <w:szCs w:val="20"/>
              </w:rPr>
              <w:t>2</w:t>
            </w:r>
          </w:p>
        </w:tc>
        <w:tc>
          <w:tcPr>
            <w:tcW w:w="12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ascii="Times New Roman" w:hAnsi="Times New Roman" w:eastAsia="宋体" w:cs="Times New Roman"/>
                <w:kern w:val="0"/>
                <w:sz w:val="20"/>
                <w:szCs w:val="20"/>
              </w:rPr>
              <w:t> </w:t>
            </w:r>
          </w:p>
        </w:tc>
      </w:tr>
      <w:tr>
        <w:tblPrEx>
          <w:tblCellMar>
            <w:top w:w="15" w:type="dxa"/>
            <w:left w:w="15" w:type="dxa"/>
            <w:bottom w:w="15" w:type="dxa"/>
            <w:right w:w="15" w:type="dxa"/>
          </w:tblCellMar>
        </w:tblPrEx>
        <w:trPr>
          <w:trHeight w:val="102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1393"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宋体" w:hAnsi="宋体" w:eastAsia="宋体" w:cs="宋体"/>
                <w:kern w:val="0"/>
                <w:sz w:val="20"/>
                <w:szCs w:val="20"/>
              </w:rPr>
              <w:t>营商环境</w:t>
            </w:r>
          </w:p>
        </w:tc>
        <w:tc>
          <w:tcPr>
            <w:tcW w:w="128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宋体" w:hAnsi="宋体" w:eastAsia="宋体" w:cs="宋体"/>
                <w:kern w:val="0"/>
                <w:sz w:val="20"/>
                <w:szCs w:val="20"/>
              </w:rPr>
              <w:t>不断优化</w:t>
            </w:r>
          </w:p>
        </w:tc>
        <w:tc>
          <w:tcPr>
            <w:tcW w:w="13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宋体" w:hAnsi="宋体" w:eastAsia="宋体" w:cs="宋体"/>
                <w:kern w:val="0"/>
                <w:sz w:val="20"/>
                <w:szCs w:val="20"/>
              </w:rPr>
              <w:t>不断优化</w:t>
            </w:r>
          </w:p>
        </w:tc>
        <w:tc>
          <w:tcPr>
            <w:tcW w:w="7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Times New Roman" w:hAnsi="Times New Roman" w:eastAsia="宋体" w:cs="Times New Roman"/>
                <w:kern w:val="0"/>
                <w:sz w:val="20"/>
                <w:szCs w:val="20"/>
              </w:rPr>
              <w:t>3</w:t>
            </w:r>
          </w:p>
        </w:tc>
        <w:tc>
          <w:tcPr>
            <w:tcW w:w="10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Times New Roman" w:hAnsi="Times New Roman" w:eastAsia="宋体" w:cs="Times New Roman"/>
                <w:kern w:val="0"/>
                <w:sz w:val="20"/>
                <w:szCs w:val="20"/>
              </w:rPr>
              <w:t>3</w:t>
            </w:r>
          </w:p>
        </w:tc>
        <w:tc>
          <w:tcPr>
            <w:tcW w:w="12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ascii="Times New Roman" w:hAnsi="Times New Roman" w:eastAsia="宋体" w:cs="Times New Roman"/>
                <w:kern w:val="0"/>
                <w:sz w:val="20"/>
                <w:szCs w:val="20"/>
              </w:rPr>
              <w:t> </w:t>
            </w:r>
          </w:p>
        </w:tc>
      </w:tr>
      <w:tr>
        <w:tblPrEx>
          <w:tblCellMar>
            <w:top w:w="15" w:type="dxa"/>
            <w:left w:w="15" w:type="dxa"/>
            <w:bottom w:w="15" w:type="dxa"/>
            <w:right w:w="15" w:type="dxa"/>
          </w:tblCellMar>
        </w:tblPrEx>
        <w:trPr>
          <w:trHeight w:val="102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99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ascii="宋体" w:hAnsi="宋体" w:eastAsia="宋体" w:cs="Times New Roman"/>
                <w:kern w:val="0"/>
                <w:sz w:val="20"/>
                <w:szCs w:val="20"/>
              </w:rPr>
              <w:t>服务对象满意度指标</w:t>
            </w:r>
            <w:r>
              <w:rPr>
                <w:rFonts w:hint="eastAsia" w:ascii="宋体" w:hAnsi="宋体" w:eastAsia="宋体" w:cs="宋体"/>
                <w:kern w:val="0"/>
                <w:sz w:val="20"/>
                <w:szCs w:val="20"/>
              </w:rPr>
              <w:t>（</w:t>
            </w:r>
            <w:r>
              <w:rPr>
                <w:rFonts w:hint="eastAsia" w:ascii="Times New Roman" w:hAnsi="Times New Roman" w:eastAsia="宋体" w:cs="Times New Roman"/>
                <w:kern w:val="0"/>
                <w:sz w:val="20"/>
                <w:szCs w:val="20"/>
              </w:rPr>
              <w:t>5</w:t>
            </w:r>
            <w:r>
              <w:rPr>
                <w:rFonts w:hint="eastAsia" w:ascii="宋体" w:hAnsi="宋体" w:eastAsia="宋体" w:cs="宋体"/>
                <w:kern w:val="0"/>
                <w:sz w:val="20"/>
                <w:szCs w:val="20"/>
              </w:rPr>
              <w:t>分）</w:t>
            </w:r>
          </w:p>
        </w:tc>
        <w:tc>
          <w:tcPr>
            <w:tcW w:w="1393"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宋体" w:hAnsi="宋体" w:eastAsia="宋体" w:cs="宋体"/>
                <w:kern w:val="0"/>
                <w:sz w:val="20"/>
                <w:szCs w:val="20"/>
              </w:rPr>
              <w:t>社会群众满意度</w:t>
            </w:r>
          </w:p>
        </w:tc>
        <w:tc>
          <w:tcPr>
            <w:tcW w:w="128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宋体" w:hAnsi="宋体" w:eastAsia="宋体" w:cs="宋体"/>
                <w:kern w:val="0"/>
                <w:sz w:val="20"/>
                <w:szCs w:val="20"/>
              </w:rPr>
              <w:t>≥</w:t>
            </w:r>
            <w:r>
              <w:rPr>
                <w:rFonts w:hint="eastAsia" w:ascii="Times New Roman" w:hAnsi="Times New Roman" w:eastAsia="宋体" w:cs="Times New Roman"/>
                <w:kern w:val="0"/>
                <w:sz w:val="20"/>
                <w:szCs w:val="20"/>
              </w:rPr>
              <w:t>90%</w:t>
            </w:r>
          </w:p>
        </w:tc>
        <w:tc>
          <w:tcPr>
            <w:tcW w:w="13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Times New Roman" w:hAnsi="Times New Roman" w:eastAsia="宋体" w:cs="Times New Roman"/>
                <w:kern w:val="0"/>
                <w:sz w:val="20"/>
                <w:szCs w:val="20"/>
              </w:rPr>
              <w:t>98%</w:t>
            </w:r>
          </w:p>
        </w:tc>
        <w:tc>
          <w:tcPr>
            <w:tcW w:w="7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Times New Roman" w:hAnsi="Times New Roman" w:eastAsia="宋体" w:cs="Times New Roman"/>
                <w:kern w:val="0"/>
                <w:sz w:val="20"/>
                <w:szCs w:val="20"/>
              </w:rPr>
              <w:t>2</w:t>
            </w:r>
          </w:p>
        </w:tc>
        <w:tc>
          <w:tcPr>
            <w:tcW w:w="10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Times New Roman" w:hAnsi="Times New Roman" w:eastAsia="宋体" w:cs="Times New Roman"/>
                <w:kern w:val="0"/>
                <w:sz w:val="20"/>
                <w:szCs w:val="20"/>
              </w:rPr>
              <w:t>2</w:t>
            </w:r>
          </w:p>
        </w:tc>
        <w:tc>
          <w:tcPr>
            <w:tcW w:w="12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ascii="Times New Roman" w:hAnsi="Times New Roman" w:eastAsia="宋体" w:cs="Times New Roman"/>
                <w:kern w:val="0"/>
                <w:sz w:val="20"/>
                <w:szCs w:val="20"/>
              </w:rPr>
              <w:t> </w:t>
            </w:r>
          </w:p>
        </w:tc>
      </w:tr>
      <w:tr>
        <w:tblPrEx>
          <w:tblCellMar>
            <w:top w:w="15" w:type="dxa"/>
            <w:left w:w="15" w:type="dxa"/>
            <w:bottom w:w="15" w:type="dxa"/>
            <w:right w:w="15" w:type="dxa"/>
          </w:tblCellMar>
        </w:tblPrEx>
        <w:trPr>
          <w:trHeight w:val="102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1393"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宋体" w:hAnsi="宋体" w:eastAsia="宋体" w:cs="宋体"/>
                <w:kern w:val="0"/>
                <w:sz w:val="20"/>
                <w:szCs w:val="20"/>
              </w:rPr>
              <w:t>服务企业满意度</w:t>
            </w:r>
          </w:p>
        </w:tc>
        <w:tc>
          <w:tcPr>
            <w:tcW w:w="128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宋体" w:hAnsi="宋体" w:eastAsia="宋体" w:cs="宋体"/>
                <w:kern w:val="0"/>
                <w:sz w:val="20"/>
                <w:szCs w:val="20"/>
              </w:rPr>
              <w:t>≥</w:t>
            </w:r>
            <w:r>
              <w:rPr>
                <w:rFonts w:hint="eastAsia" w:ascii="Times New Roman" w:hAnsi="Times New Roman" w:eastAsia="宋体" w:cs="Times New Roman"/>
                <w:kern w:val="0"/>
                <w:sz w:val="20"/>
                <w:szCs w:val="20"/>
              </w:rPr>
              <w:t>90%</w:t>
            </w:r>
          </w:p>
        </w:tc>
        <w:tc>
          <w:tcPr>
            <w:tcW w:w="13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Times New Roman" w:hAnsi="Times New Roman" w:eastAsia="宋体" w:cs="Times New Roman"/>
                <w:kern w:val="0"/>
                <w:sz w:val="20"/>
                <w:szCs w:val="20"/>
              </w:rPr>
              <w:t>98%</w:t>
            </w:r>
          </w:p>
        </w:tc>
        <w:tc>
          <w:tcPr>
            <w:tcW w:w="7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Times New Roman" w:hAnsi="Times New Roman" w:eastAsia="宋体" w:cs="Times New Roman"/>
                <w:kern w:val="0"/>
                <w:sz w:val="20"/>
                <w:szCs w:val="20"/>
              </w:rPr>
              <w:t>3</w:t>
            </w:r>
          </w:p>
        </w:tc>
        <w:tc>
          <w:tcPr>
            <w:tcW w:w="10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Times New Roman" w:hAnsi="Times New Roman" w:eastAsia="宋体" w:cs="Times New Roman"/>
                <w:kern w:val="0"/>
                <w:sz w:val="20"/>
                <w:szCs w:val="20"/>
              </w:rPr>
              <w:t>3</w:t>
            </w:r>
          </w:p>
        </w:tc>
        <w:tc>
          <w:tcPr>
            <w:tcW w:w="12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ascii="Times New Roman" w:hAnsi="Times New Roman" w:eastAsia="宋体" w:cs="Times New Roman"/>
                <w:kern w:val="0"/>
                <w:sz w:val="20"/>
                <w:szCs w:val="20"/>
              </w:rPr>
              <w:t> </w:t>
            </w:r>
          </w:p>
        </w:tc>
      </w:tr>
      <w:tr>
        <w:tblPrEx>
          <w:tblCellMar>
            <w:top w:w="15" w:type="dxa"/>
            <w:left w:w="15" w:type="dxa"/>
            <w:bottom w:w="15" w:type="dxa"/>
            <w:right w:w="15" w:type="dxa"/>
          </w:tblCellMar>
        </w:tblPrEx>
        <w:trPr>
          <w:trHeight w:val="585" w:hRule="atLeast"/>
          <w:jc w:val="center"/>
        </w:trPr>
        <w:tc>
          <w:tcPr>
            <w:tcW w:w="6887"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ascii="宋体" w:hAnsi="宋体" w:eastAsia="宋体" w:cs="Times New Roman"/>
                <w:kern w:val="0"/>
                <w:sz w:val="20"/>
                <w:szCs w:val="20"/>
              </w:rPr>
              <w:t>总分</w:t>
            </w:r>
          </w:p>
        </w:tc>
        <w:tc>
          <w:tcPr>
            <w:tcW w:w="7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ascii="Times New Roman" w:hAnsi="Times New Roman" w:eastAsia="宋体" w:cs="Times New Roman"/>
                <w:kern w:val="0"/>
                <w:sz w:val="20"/>
                <w:szCs w:val="20"/>
              </w:rPr>
              <w:t>100</w:t>
            </w:r>
          </w:p>
        </w:tc>
        <w:tc>
          <w:tcPr>
            <w:tcW w:w="10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hint="eastAsia" w:ascii="Times New Roman" w:hAnsi="Times New Roman" w:eastAsia="宋体" w:cs="Times New Roman"/>
                <w:kern w:val="0"/>
                <w:sz w:val="20"/>
                <w:szCs w:val="20"/>
              </w:rPr>
              <w:t>99</w:t>
            </w:r>
          </w:p>
        </w:tc>
        <w:tc>
          <w:tcPr>
            <w:tcW w:w="12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宋体" w:hAnsi="宋体" w:eastAsia="宋体" w:cs="宋体"/>
                <w:kern w:val="0"/>
                <w:sz w:val="24"/>
                <w:szCs w:val="24"/>
              </w:rPr>
            </w:pPr>
            <w:r>
              <w:rPr>
                <w:rFonts w:ascii="Times New Roman" w:hAnsi="Times New Roman" w:eastAsia="宋体" w:cs="Times New Roman"/>
                <w:kern w:val="0"/>
                <w:sz w:val="20"/>
                <w:szCs w:val="20"/>
              </w:rPr>
              <w:t> </w:t>
            </w:r>
          </w:p>
        </w:tc>
      </w:tr>
    </w:tbl>
    <w:p>
      <w:pPr>
        <w:spacing w:line="600" w:lineRule="exact"/>
        <w:rPr>
          <w:rFonts w:hint="eastAsia" w:ascii="仿宋" w:hAnsi="仿宋" w:eastAsia="仿宋" w:cs="仿宋"/>
          <w:kern w:val="0"/>
          <w:sz w:val="32"/>
          <w:szCs w:val="32"/>
        </w:rPr>
      </w:pPr>
      <w:r>
        <w:rPr>
          <w:rFonts w:hint="eastAsia" w:ascii="仿宋" w:hAnsi="仿宋" w:eastAsia="仿宋" w:cs="仿宋"/>
          <w:kern w:val="0"/>
          <w:sz w:val="32"/>
          <w:szCs w:val="32"/>
        </w:rPr>
        <w:t>填表人：</w:t>
      </w:r>
      <w:r>
        <w:rPr>
          <w:rFonts w:hint="eastAsia" w:ascii="仿宋" w:hAnsi="仿宋" w:eastAsia="仿宋" w:cs="仿宋"/>
          <w:kern w:val="0"/>
          <w:sz w:val="32"/>
          <w:szCs w:val="32"/>
          <w:lang w:val="en-US" w:eastAsia="zh-CN"/>
        </w:rPr>
        <w:t>詹小芬</w:t>
      </w:r>
      <w:r>
        <w:rPr>
          <w:rFonts w:hint="eastAsia" w:ascii="仿宋" w:hAnsi="仿宋" w:eastAsia="仿宋" w:cs="仿宋"/>
          <w:kern w:val="0"/>
          <w:sz w:val="32"/>
          <w:szCs w:val="32"/>
        </w:rPr>
        <w:t xml:space="preserve">        填报日期：</w:t>
      </w:r>
      <w:r>
        <w:rPr>
          <w:rFonts w:hint="eastAsia" w:ascii="仿宋" w:hAnsi="仿宋" w:eastAsia="仿宋" w:cs="仿宋"/>
          <w:kern w:val="0"/>
          <w:sz w:val="32"/>
          <w:szCs w:val="32"/>
          <w:lang w:val="en-US" w:eastAsia="zh-CN"/>
        </w:rPr>
        <w:t>2023.4.24</w:t>
      </w:r>
      <w:r>
        <w:rPr>
          <w:rFonts w:hint="eastAsia" w:ascii="仿宋" w:hAnsi="仿宋" w:eastAsia="仿宋" w:cs="仿宋"/>
          <w:kern w:val="0"/>
          <w:sz w:val="32"/>
          <w:szCs w:val="32"/>
        </w:rPr>
        <w:t xml:space="preserve">          联系电话：</w:t>
      </w:r>
      <w:r>
        <w:rPr>
          <w:rFonts w:hint="eastAsia" w:ascii="仿宋" w:hAnsi="仿宋" w:eastAsia="仿宋" w:cs="仿宋"/>
          <w:kern w:val="0"/>
          <w:sz w:val="32"/>
          <w:szCs w:val="32"/>
          <w:lang w:val="en-US" w:eastAsia="zh-CN"/>
        </w:rPr>
        <w:t>13873707648</w:t>
      </w:r>
      <w:r>
        <w:rPr>
          <w:rFonts w:hint="eastAsia" w:ascii="仿宋" w:hAnsi="仿宋" w:eastAsia="仿宋" w:cs="仿宋"/>
          <w:kern w:val="0"/>
          <w:sz w:val="32"/>
          <w:szCs w:val="32"/>
        </w:rPr>
        <w:t xml:space="preserve">            单位负责人签字：</w:t>
      </w:r>
    </w:p>
    <w:p>
      <w:pPr>
        <w:spacing w:line="560" w:lineRule="exact"/>
        <w:jc w:val="center"/>
        <w:rPr>
          <w:rFonts w:hint="eastAsia" w:ascii="仿宋" w:hAnsi="仿宋" w:eastAsia="仿宋" w:cs="仿宋"/>
          <w:b/>
          <w:bCs/>
          <w:sz w:val="32"/>
          <w:szCs w:val="32"/>
        </w:rPr>
        <w:sectPr>
          <w:footerReference r:id="rId3" w:type="default"/>
          <w:footerReference r:id="rId4" w:type="even"/>
          <w:pgSz w:w="11907" w:h="16840"/>
          <w:pgMar w:top="2041" w:right="1531" w:bottom="1871" w:left="1531" w:header="851" w:footer="1304" w:gutter="0"/>
          <w:cols w:space="720" w:num="1"/>
          <w:docGrid w:type="linesAndChars" w:linePitch="587" w:charSpace="-842"/>
        </w:sectPr>
      </w:pPr>
    </w:p>
    <w:p>
      <w:pPr>
        <w:autoSpaceDE w:val="0"/>
        <w:ind w:firstLine="800" w:firstLineChars="250"/>
        <w:rPr>
          <w:rFonts w:hint="eastAsia" w:ascii="仿宋" w:hAnsi="仿宋" w:eastAsia="仿宋" w:cs="仿宋"/>
          <w:color w:val="000000"/>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right="335"/>
      <w:rPr>
        <w:rStyle w:val="10"/>
        <w:rFonts w:hint="eastAsia" w:ascii="宋体" w:hAnsi="宋体" w:eastAsia="宋体"/>
        <w:sz w:val="28"/>
      </w:rPr>
    </w:pPr>
    <w:r>
      <w:rPr>
        <w:rStyle w:val="10"/>
        <w:rFonts w:hint="eastAsia" w:ascii="宋体" w:hAnsi="宋体" w:eastAsia="宋体"/>
        <w:sz w:val="28"/>
      </w:rPr>
      <w:t>—</w:t>
    </w:r>
    <w:r>
      <w:rPr>
        <w:rFonts w:ascii="宋体" w:hAnsi="宋体" w:eastAsia="宋体"/>
        <w:sz w:val="28"/>
      </w:rPr>
      <w:fldChar w:fldCharType="begin"/>
    </w:r>
    <w:r>
      <w:rPr>
        <w:rStyle w:val="10"/>
        <w:rFonts w:ascii="宋体" w:hAnsi="宋体" w:eastAsia="宋体"/>
        <w:sz w:val="28"/>
      </w:rPr>
      <w:instrText xml:space="preserve">PAGE  </w:instrText>
    </w:r>
    <w:r>
      <w:rPr>
        <w:rFonts w:ascii="宋体" w:hAnsi="宋体" w:eastAsia="宋体"/>
        <w:sz w:val="28"/>
      </w:rPr>
      <w:fldChar w:fldCharType="separate"/>
    </w:r>
    <w:r>
      <w:rPr>
        <w:rStyle w:val="10"/>
        <w:rFonts w:ascii="宋体" w:hAnsi="宋体" w:eastAsia="宋体"/>
        <w:sz w:val="28"/>
      </w:rPr>
      <w:t>1</w:t>
    </w:r>
    <w:r>
      <w:rPr>
        <w:rFonts w:ascii="宋体" w:hAnsi="宋体" w:eastAsia="宋体"/>
        <w:sz w:val="28"/>
      </w:rPr>
      <w:fldChar w:fldCharType="end"/>
    </w:r>
    <w:r>
      <w:rPr>
        <w:rStyle w:val="10"/>
        <w:rFonts w:hint="eastAsia" w:ascii="宋体" w:hAnsi="宋体" w:eastAsia="宋体"/>
        <w:sz w:val="28"/>
      </w:rPr>
      <w:t>—</w:t>
    </w:r>
  </w:p>
  <w:p>
    <w:pPr>
      <w:pStyle w:val="5"/>
      <w:ind w:right="360" w:firstLine="360"/>
      <w:jc w:val="right"/>
      <w:rPr>
        <w:rFonts w:hint="eastAsia"/>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35"/>
      <w:rPr>
        <w:rStyle w:val="10"/>
        <w:rFonts w:hint="eastAsia" w:ascii="宋体" w:hAnsi="宋体" w:eastAsia="宋体"/>
        <w:sz w:val="28"/>
      </w:rPr>
    </w:pPr>
    <w:r>
      <w:rPr>
        <w:rStyle w:val="10"/>
        <w:rFonts w:hint="eastAsia" w:ascii="宋体" w:hAnsi="宋体" w:eastAsia="宋体"/>
        <w:sz w:val="28"/>
      </w:rPr>
      <w:t>—</w:t>
    </w:r>
    <w:r>
      <w:rPr>
        <w:rFonts w:ascii="宋体" w:hAnsi="宋体" w:eastAsia="宋体"/>
        <w:sz w:val="28"/>
      </w:rPr>
      <w:fldChar w:fldCharType="begin"/>
    </w:r>
    <w:r>
      <w:rPr>
        <w:rStyle w:val="10"/>
        <w:rFonts w:ascii="宋体" w:hAnsi="宋体" w:eastAsia="宋体"/>
        <w:sz w:val="28"/>
      </w:rPr>
      <w:instrText xml:space="preserve">PAGE  </w:instrText>
    </w:r>
    <w:r>
      <w:rPr>
        <w:rFonts w:ascii="宋体" w:hAnsi="宋体" w:eastAsia="宋体"/>
        <w:sz w:val="28"/>
      </w:rPr>
      <w:fldChar w:fldCharType="separate"/>
    </w:r>
    <w:r>
      <w:rPr>
        <w:rStyle w:val="10"/>
        <w:rFonts w:ascii="宋体" w:hAnsi="宋体" w:eastAsia="宋体"/>
        <w:sz w:val="28"/>
      </w:rPr>
      <w:t>12</w:t>
    </w:r>
    <w:r>
      <w:rPr>
        <w:rFonts w:ascii="宋体" w:hAnsi="宋体" w:eastAsia="宋体"/>
        <w:sz w:val="28"/>
      </w:rPr>
      <w:fldChar w:fldCharType="end"/>
    </w:r>
    <w:r>
      <w:rPr>
        <w:rStyle w:val="10"/>
        <w:rFonts w:hint="eastAsia" w:ascii="宋体" w:hAnsi="宋体" w:eastAsia="宋体"/>
        <w:sz w:val="28"/>
      </w:rPr>
      <w:t>—</w:t>
    </w:r>
  </w:p>
  <w:p>
    <w:pPr>
      <w:pStyle w:val="5"/>
      <w:ind w:left="300" w:right="360" w:firstLine="360"/>
      <w:rPr>
        <w:rFonts w:hint="eastAsia"/>
        <w:sz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1DB8E1"/>
    <w:multiLevelType w:val="singleLevel"/>
    <w:tmpl w:val="341DB8E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c0ZTAxZGRlMzY0ZDlkYjc3Mjg5ODQwYTcyYjBkZDMifQ=="/>
  </w:docVars>
  <w:rsids>
    <w:rsidRoot w:val="00475C80"/>
    <w:rsid w:val="002572C2"/>
    <w:rsid w:val="002815E6"/>
    <w:rsid w:val="00287E65"/>
    <w:rsid w:val="00347915"/>
    <w:rsid w:val="003746D0"/>
    <w:rsid w:val="003D6D8D"/>
    <w:rsid w:val="00432007"/>
    <w:rsid w:val="00456917"/>
    <w:rsid w:val="00475C80"/>
    <w:rsid w:val="004F2027"/>
    <w:rsid w:val="006470A6"/>
    <w:rsid w:val="00772BF5"/>
    <w:rsid w:val="00AD7D8D"/>
    <w:rsid w:val="00B21B55"/>
    <w:rsid w:val="00C5664C"/>
    <w:rsid w:val="00CC6FFC"/>
    <w:rsid w:val="00DA2B6B"/>
    <w:rsid w:val="00DB00DA"/>
    <w:rsid w:val="00E45F6D"/>
    <w:rsid w:val="00E6732A"/>
    <w:rsid w:val="15FD74A0"/>
    <w:rsid w:val="31D44429"/>
    <w:rsid w:val="53AA59B2"/>
    <w:rsid w:val="55BF8273"/>
    <w:rsid w:val="5D2EEDD1"/>
    <w:rsid w:val="5D951E49"/>
    <w:rsid w:val="6FDF2373"/>
    <w:rsid w:val="74FF306D"/>
    <w:rsid w:val="76047756"/>
    <w:rsid w:val="8FDB8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0"/>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Times New Roman" w:hAnsi="Times New Roman"/>
    </w:rPr>
  </w:style>
  <w:style w:type="paragraph" w:styleId="3">
    <w:name w:val="Body Text"/>
    <w:basedOn w:val="1"/>
    <w:link w:val="16"/>
    <w:semiHidden/>
    <w:unhideWhenUsed/>
    <w:uiPriority w:val="99"/>
    <w:pPr>
      <w:spacing w:after="120"/>
    </w:pPr>
  </w:style>
  <w:style w:type="paragraph" w:styleId="4">
    <w:name w:val="Plain Text"/>
    <w:basedOn w:val="1"/>
    <w:link w:val="18"/>
    <w:qFormat/>
    <w:uiPriority w:val="0"/>
    <w:rPr>
      <w:rFonts w:ascii="宋体" w:hAnsi="Courier New" w:eastAsia="宋体" w:cs="Courier New"/>
      <w:sz w:val="21"/>
      <w:szCs w:val="21"/>
    </w:rPr>
  </w:style>
  <w:style w:type="paragraph" w:styleId="5">
    <w:name w:val="footer"/>
    <w:basedOn w:val="1"/>
    <w:link w:val="15"/>
    <w:unhideWhenUsed/>
    <w:uiPriority w:val="0"/>
    <w:pPr>
      <w:tabs>
        <w:tab w:val="center" w:pos="4153"/>
        <w:tab w:val="right" w:pos="8306"/>
      </w:tabs>
      <w:snapToGrid w:val="0"/>
      <w:jc w:val="left"/>
    </w:pPr>
    <w:rPr>
      <w:sz w:val="18"/>
      <w:szCs w:val="18"/>
    </w:rPr>
  </w:style>
  <w:style w:type="paragraph" w:styleId="6">
    <w:name w:val="header"/>
    <w:basedOn w:val="1"/>
    <w:link w:val="14"/>
    <w:semiHidden/>
    <w:unhideWhenUsed/>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w:basedOn w:val="3"/>
    <w:link w:val="17"/>
    <w:qFormat/>
    <w:uiPriority w:val="0"/>
    <w:pPr>
      <w:spacing w:after="0"/>
      <w:ind w:firstLine="420" w:firstLineChars="100"/>
    </w:pPr>
    <w:rPr>
      <w:rFonts w:ascii="Times New Roman" w:hAnsi="Times New Roman" w:eastAsia="宋体"/>
      <w:sz w:val="21"/>
      <w:szCs w:val="22"/>
    </w:rPr>
  </w:style>
  <w:style w:type="character" w:styleId="10">
    <w:name w:val="page number"/>
    <w:basedOn w:val="9"/>
    <w:uiPriority w:val="0"/>
  </w:style>
  <w:style w:type="paragraph" w:styleId="11">
    <w:name w:val="List Paragraph"/>
    <w:basedOn w:val="1"/>
    <w:qFormat/>
    <w:uiPriority w:val="34"/>
    <w:pPr>
      <w:ind w:firstLine="420" w:firstLineChars="200"/>
    </w:pPr>
  </w:style>
  <w:style w:type="paragraph" w:customStyle="1" w:styleId="12">
    <w:name w:val="18"/>
    <w:basedOn w:val="1"/>
    <w:uiPriority w:val="0"/>
    <w:rPr>
      <w:rFonts w:ascii="等线" w:hAnsi="等线" w:eastAsia="宋体"/>
      <w:sz w:val="21"/>
      <w:szCs w:val="21"/>
    </w:rPr>
  </w:style>
  <w:style w:type="paragraph" w:customStyle="1" w:styleId="13">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14">
    <w:name w:val="页眉 Char"/>
    <w:basedOn w:val="9"/>
    <w:link w:val="6"/>
    <w:semiHidden/>
    <w:uiPriority w:val="99"/>
    <w:rPr>
      <w:rFonts w:ascii="Calibri" w:hAnsi="Calibri" w:eastAsia="仿宋_GB2312" w:cs="Times New Roman"/>
      <w:sz w:val="18"/>
      <w:szCs w:val="18"/>
    </w:rPr>
  </w:style>
  <w:style w:type="character" w:customStyle="1" w:styleId="15">
    <w:name w:val="页脚 Char"/>
    <w:basedOn w:val="9"/>
    <w:link w:val="5"/>
    <w:semiHidden/>
    <w:uiPriority w:val="99"/>
    <w:rPr>
      <w:rFonts w:ascii="Calibri" w:hAnsi="Calibri" w:eastAsia="仿宋_GB2312" w:cs="Times New Roman"/>
      <w:sz w:val="18"/>
      <w:szCs w:val="18"/>
    </w:rPr>
  </w:style>
  <w:style w:type="character" w:customStyle="1" w:styleId="16">
    <w:name w:val="正文文本 Char"/>
    <w:basedOn w:val="9"/>
    <w:link w:val="3"/>
    <w:semiHidden/>
    <w:uiPriority w:val="99"/>
    <w:rPr>
      <w:rFonts w:ascii="Calibri" w:hAnsi="Calibri" w:eastAsia="仿宋_GB2312" w:cs="Times New Roman"/>
      <w:sz w:val="32"/>
      <w:szCs w:val="20"/>
    </w:rPr>
  </w:style>
  <w:style w:type="character" w:customStyle="1" w:styleId="17">
    <w:name w:val="正文首行缩进 Char"/>
    <w:basedOn w:val="16"/>
    <w:link w:val="7"/>
    <w:uiPriority w:val="0"/>
    <w:rPr>
      <w:rFonts w:ascii="Times New Roman" w:hAnsi="Times New Roman" w:eastAsia="宋体"/>
    </w:rPr>
  </w:style>
  <w:style w:type="character" w:customStyle="1" w:styleId="18">
    <w:name w:val="纯文本 Char"/>
    <w:basedOn w:val="9"/>
    <w:link w:val="4"/>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5704</Words>
  <Characters>6306</Characters>
  <Lines>46</Lines>
  <Paragraphs>13</Paragraphs>
  <TotalTime>33</TotalTime>
  <ScaleCrop>false</ScaleCrop>
  <LinksUpToDate>false</LinksUpToDate>
  <CharactersWithSpaces>6501</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2023-04-23T12:13:00Z</dcterms:created>
  <dc:creator>Administrator</dc:creator>
  <cp:lastModifiedBy>lx</cp:lastModifiedBy>
  <dcterms:modified xsi:type="dcterms:W3CDTF">2025-09-05T18:25:14Z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BF295F6CFB244AB7BBF2B5B021C19FE4</vt:lpwstr>
  </property>
</Properties>
</file>