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66C8">
      <w:pPr>
        <w:overflowPunct w:val="0"/>
        <w:spacing w:line="600" w:lineRule="exact"/>
        <w:jc w:val="center"/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 w:bidi="en-US"/>
        </w:rPr>
      </w:pP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 w:bidi="en-US"/>
        </w:rPr>
        <w:t>二化螟性诱装置及智能喷雾装置安装与维护、保管协议</w:t>
      </w:r>
    </w:p>
    <w:p w14:paraId="067E3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甲方：资阳区农业农村局</w:t>
      </w:r>
    </w:p>
    <w:p w14:paraId="0264F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乙方：资阳区中正粮食种植病虫害统防统治专业合作社</w:t>
      </w:r>
    </w:p>
    <w:p w14:paraId="5FF66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了推动我区二化螟绿色防控，提高二化螟综合防控的示范效果，根据省植保植检站要求，结合本区实际情况，计划在2025年新增85000亩二化螟性诱面积和510亩智能喷雾、交配干扰防控面积（其中绿色防控统防统治示范区1500亩由农户自行安插）。经甲乙双方协商签订如下协议：</w:t>
      </w:r>
    </w:p>
    <w:p w14:paraId="368EB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乙方责任与利益</w:t>
      </w:r>
    </w:p>
    <w:p w14:paraId="3174C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在4月20日前完成早稻二化螟性诱装置2000亩，智能喷雾装置170套（计510亩）安装，8月5日前完成晚稻二化螟性诱装置5000亩安和智能喷雾装置170套（计510亩）安插。</w:t>
      </w:r>
    </w:p>
    <w:p w14:paraId="5880A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安插区域：早稻二化螟性诱装置沙头万亩示范片（富兴村），智能喷雾装置新桥河镇东新村；晚稻二化螟性诱装置，资北干线沙头镇“同张路口”起，往张家塞方向4000亩，长春经开区新祝傍山渠两侧1000亩，南北两边满格安插，往东延伸，插完为止。</w:t>
      </w:r>
    </w:p>
    <w:p w14:paraId="44278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质量要求：按要求组装好性诱装置与智能喷雾装置，确保每个装置内有性诱剂；每亩按插一个性诱装置；性诱钵离田面高度50厘米左右，横直有序，插稳插直，防止倒伏。强调不能仅以田垄为线安插。</w:t>
      </w:r>
    </w:p>
    <w:p w14:paraId="53206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2、安插后的60天内，要搞好示范区性诱装置的维护，防止倒伏和人畜损坏。</w:t>
      </w:r>
    </w:p>
    <w:p w14:paraId="7629D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3在插置60天后，尚能见到大部分性诱装置与智能喷雾装置并及时回收装置，确保回收率在90%以上，并安排专门场地和人员妥善保管，保障装置2026年重复使用率能在85%以上。</w:t>
      </w:r>
    </w:p>
    <w:p w14:paraId="740B5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4经甲方组织验收合格后，乙方可以获得性诱装置、智能喷雾装置安装、保管、维护人工费及场地费用等人民币55050元。</w:t>
      </w:r>
    </w:p>
    <w:p w14:paraId="0BC7C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甲方责任</w:t>
      </w:r>
    </w:p>
    <w:p w14:paraId="30E64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及时采购物资。确保政府采购物资在插置前3-5天内到位。</w:t>
      </w:r>
    </w:p>
    <w:p w14:paraId="326D2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技术服务。安装和插置期间安排植保站技术人员进行现场指导和督促，确保按质按量完成示范工作。</w:t>
      </w:r>
    </w:p>
    <w:p w14:paraId="62612C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组织验收。在2025年8月上旬组织验收组对示范区进行验收，10月下旬对性诱装置回收和保管情况进行验收。验收合格后于本年度内给予乙方补贴资金55050元。</w:t>
      </w:r>
    </w:p>
    <w:p w14:paraId="4E6FE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甲方、                                 乙方、</w:t>
      </w:r>
    </w:p>
    <w:p w14:paraId="2CF7E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法人、                                 法人、</w:t>
      </w:r>
    </w:p>
    <w:p w14:paraId="76B05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委托代理人、                           委托代理人、</w:t>
      </w:r>
    </w:p>
    <w:p w14:paraId="5F6EE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电话、                                 电话、</w:t>
      </w:r>
    </w:p>
    <w:p w14:paraId="3947E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签订日期     </w:t>
      </w:r>
    </w:p>
    <w:p w14:paraId="683E58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4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2025-07-31T08:46:18Z</dcterms:created>
  <dc:creator>Administrator</dc:creator>
  <cp:lastModifiedBy>11</cp:lastModifiedBy>
  <dcterms:modified xsi:type="dcterms:W3CDTF">2025-07-31T08:46:34Z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81868F0248544B96A00AA26ACE8EB0D6_12</vt:lpwstr>
  </property>
</Properties>
</file>