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湖南省益阳市资阳区长春镇人民</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政府履行职责事项清单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Pr="00C45044" w:rsidR="00AF196D" w:rsidP="00C45044" w:rsidRDefault="00AF196D">
          <w:pPr>
            <w:pStyle w:val="TOC"/>
            <w:jc w:val="center"/>
            <w:rPr>
              <w:rFonts w:hint="eastAsia"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C45044">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AF196D" w:rsidR="00AF196D" w:rsidRDefault="00AF196D">
          <w:pPr>
            <w:pStyle w:val="1"/>
            <w:tabs>
              <w:tab w:val="right" w:pos="13991"/>
            </w:tabs>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00F37E44">
              <w:rPr>
                <w:rFonts w:hint="eastAsia" w:eastAsia="方正公文小标宋" w:cs="Times New Roman"/>
                <w:b/>
                <w:lang w:eastAsia="zh-CN"/>
              </w:rPr>
              <w:t>履职事项</w:t>
            </w:r>
            <w:r w:rsidRPr="00AF196D">
              <w:rPr>
                <w:rStyle w:val="aa"/>
                <w:rFonts w:eastAsia="方正公文小标宋" w:cs="Times New Roman"/>
                <w:noProof/>
                <w:lang w:eastAsia="zh-CN"/>
              </w:rPr>
              <w:t>清单</w:t>
            </w:r>
          </w:hyperlink>
        </w:p>
        <w:p w:rsidRPr="00AF196D" w:rsidR="00AF196D" w:rsidRDefault="0042770C">
          <w:pPr>
            <w:pStyle w:val="1"/>
            <w:tabs>
              <w:tab w:val="right" w:pos="13991"/>
            </w:tabs>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00F37E44">
              <w:rPr>
                <w:rFonts w:hint="eastAsia" w:eastAsia="方正公文小标宋" w:cs="Times New Roman"/>
                <w:b/>
                <w:lang w:eastAsia="zh-CN"/>
              </w:rPr>
              <w:t>履职事项</w:t>
            </w:r>
            <w:r w:rsidRPr="00AF196D" w:rsidR="00AF196D">
              <w:rPr>
                <w:rStyle w:val="aa"/>
                <w:rFonts w:eastAsia="方正公文小标宋" w:cs="Times New Roman"/>
                <w:noProof/>
                <w:lang w:eastAsia="zh-CN"/>
              </w:rPr>
              <w:t>清单</w:t>
            </w:r>
          </w:hyperlink>
        </w:p>
        <w:p w:rsidRPr="00AF196D" w:rsidR="00AF196D" w:rsidP="005D0A45" w:rsidRDefault="0042770C">
          <w:pPr>
            <w:pStyle w:val="1"/>
            <w:rPr>
              <w:rFonts w:cs="Times New Roman"/>
              <w:b/>
              <w:bCs/>
              <w:lang w:val="zh-CN"/>
            </w:rPr>
          </w:pPr>
          <w:hyperlink w:history="true" w:anchor="_Toc172533654">
            <w:r w:rsidRPr="005D0A45" w:rsidR="005D0A45">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C45044" w:rsidR="00C45044" w:rsidP="00C45044" w:rsidRDefault="00C45044">
      <w:pPr>
        <w:jc w:val="center"/>
        <w:rPr>
          <w:rFonts w:hint="eastAsia" w:eastAsiaTheme="minorEastAsia"/>
          <w:lang w:eastAsia="zh-CN"/>
        </w:rPr>
        <w:sectPr w:rsidRPr="00C45044" w:rsidR="00C45044"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bookmarkStart w:name="_GoBack" w:id="0"/>
      <w:bookmarkEnd w:id="0"/>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7C3F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lang w:bidi="ar"/>
              </w:rPr>
              <w:t>序号</w:t>
            </w:r>
            <w:proofErr w:type="spellEnd"/>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B72EE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按照全面深化改革文件要求，推动落实改革任务，落实镇本级改革事项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落实镇党员代表大会代表任期制，做好镇党委换届和区、镇党代表选举工作，推动党代表履职尽责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坚持党管人才工作制度，做好人才培养、管理和服务工作，建设并运行好乡村振兴人才服务平台，服务产业经济发展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加强离退休干部思想建设和党组织建设，做好离退休干部教育引导、管理监督和关心帮助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组织人大换届选举，保障人大代表依法履行职责，组织人大代表开展调研、视察、检查，加强人大代表履职管理与代表联络平台建设，征集并组织办理人大代表建议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做好村账镇代理工作，做好代理服务协议签订、村级资金和账户管理、账务处理、村级财务公开公示等工作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规范村级“三资”管理，指导村级定期开展集体资产的清产核资，负责农村合作经济相关统计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督促指导村（社区）治安建设和基层综合服务平台建设，开展治安巡逻和定点巡防守护工作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五、乡村振兴（14项）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扶持农业新型经营主体发展，打造油茶、羊肚菌等特色农业品牌，助推“一村一品”产业发展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开展木槿产业帮扶、试点、人才培养、文旅开发推广工作，推动木槿等特色庭院经济发展壮大，连片打造木槿产业基地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推进移风易俗、建设文明乡风，做好文明行为促进工作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加强基层治理，支持保障依法开展自治活动，指导村（社区）制定（修订）村（居）民公约、规范村（居）务公开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负责组织村（居）民医保的参保登记、缴费续保、政策宣传、社会公示工作，提供参保缴费信息查询服务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开展被征地农民社会保障服务工作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推进美丽乡村建设工作，开展辖区内人居环境整治和生活垃圾源头分类减量工作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负责编制镇、村庄规划</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负责村镇建设管理平台、城乡建设统计信息管理系统、农村房屋安全隐患排查整治信息平台的信息统计录入、更新、维护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农村宅基地使用权审批（建设用地）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开展违规经营专项治理行动，规范整治集镇市场秩序，营造畅通、安全、卫生的市场环境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十四、文化和旅游（6项）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负责公共文化服务体系建设，星级民宿、省级旅游重点村等各类文旅荣誉称号的申报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负责文化阵地、文化设施的管理维护和农家书屋建设管理工作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统筹黄家湖国家湿地公园、云梦方舟度假区、紫薇美丽乡村、先锋桥和美乡村、银光运动小镇等文旅资源，打造乡村旅游重点镇</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做好黄家湖、甘溪港河端午龙舟竞渡组织筹备及安保工作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负责档案法律法规宣传和本级档案收集、整理、归档、移交等工作，指导和监督所属单位和村（社区）开展档案工作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EC1565">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序号</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事项名称</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对应上级部门</w:t>
            </w:r>
            <w:proofErr w:type="spellEnd"/>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上级部门职责</w:t>
            </w:r>
            <w:proofErr w:type="spellEnd"/>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CC0F16">
            <w:pPr>
              <w:jc w:val="center"/>
              <w:textAlignment w:val="center"/>
              <w:rPr>
                <w:rFonts w:ascii="Times New Roman" w:hAnsi="Times New Roman" w:eastAsia="方正公文黑体"/>
                <w:lang w:eastAsia="zh-CN"/>
              </w:rPr>
            </w:pPr>
            <w:proofErr w:type="gramStart"/>
            <w:r>
              <w:rPr>
                <w:rFonts w:hint="eastAsia" w:ascii="Times New Roman" w:hAnsi="Times New Roman" w:eastAsia="方正公文黑体"/>
                <w:color w:val="auto"/>
                <w:lang w:eastAsia="zh-CN" w:bidi="ar"/>
              </w:rPr>
              <w:t>镇</w:t>
            </w:r>
            <w:r w:rsidR="00624E87">
              <w:rPr>
                <w:rFonts w:ascii="Times New Roman" w:hAnsi="Times New Roman" w:eastAsia="方正公文黑体"/>
                <w:color w:val="auto"/>
                <w:lang w:eastAsia="zh-CN" w:bidi="ar"/>
              </w:rPr>
              <w:t>配合</w:t>
            </w:r>
            <w:proofErr w:type="gramEnd"/>
            <w:r w:rsidR="00624E87">
              <w:rPr>
                <w:rFonts w:ascii="Times New Roman" w:hAnsi="Times New Roman" w:eastAsia="方正公文黑体"/>
                <w:color w:val="auto"/>
                <w:lang w:eastAsia="zh-CN" w:bidi="ar"/>
              </w:rPr>
              <w:t>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1.推行完善区镇（乡）纪检监察工作片区协作机制、实施“室组地”联动监督和办案模式</w:t>
              <w:br/>
              <w:t>2.开展审查调查工作</w:t>
              <w:br/>
              <w:t>3.每年按一定标准保障经费，用于支持乡镇纪委履职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4.做好从村（社区）党组织书记中考核招聘乡镇事业编制人员的入职入编相关资料收集上报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1.对乡镇摸底上报人员进行资格审查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4.镇村组关系协调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负责对乡镇上报的道路安全隐患进行整治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3.拨付乡镇、村、社区专职委员补贴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4.督导村（社区）维护好残疾人康复服务示范站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3.督促村（社区）定期开展走访，了解情况</w:t>
              <w:br/>
              <w:t>4.统筹村（社区）参与刑满释放重点帮教人员必接必送工作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五、乡村振兴（20项）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3.收集上报后盾单位领导到村调研情况、单位帮扶资金拨付情况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开展退田还湖、复耕、复堤工作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1.按上级要求参与退田还湖、复耕、复堤等工作</w:t>
              <w:br/>
              <w:t>2.指导乡镇开展退田还湖、复耕工作，并提供技术支持</w:t>
              <w:br/>
              <w:t>3.指导、督促全区复堤工作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1.整理退田还湖、复耕、复堤台账资料</w:t>
              <w:br/>
              <w:t>2.开展退田还湖、复耕、复堤现场核查</w:t>
              <w:br/>
              <w:t>3.开展退田还湖、复耕、复堤问题整改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负责中小型灌区名录摸排并复核更新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1.发布中小型灌区名录更新要求</w:t>
              <w:br/>
              <w:t>2.审核中小型灌区填报数据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1.核实中小型灌区面积</w:t>
              <w:br/>
              <w:t>2.更新中小型灌区产权信息</w:t>
              <w:br/>
              <w:t>3.上报中小型灌区异动情况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负责蓄滞洪区图斑整改工作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1.制定蓄滞洪区图斑管理标准</w:t>
              <w:br/>
              <w:t>2.审核蓄滞洪区图斑销号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1.现场核查蓄滞洪区图斑情况</w:t>
              <w:br/>
              <w:t>2.开展蓄滞洪区图斑整改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2.指导督促乡镇做好水资源的保护、利用节约工作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1.收录各村（社区）拟入库乡村振兴衔接资金项目</w:t>
              <w:br/>
              <w:t>2.督促各村（社区）乡村振兴衔接资金项目实施</w:t>
              <w:br/>
              <w:t>3.协助上级部门对各村（社区）乡村振兴衔接项目验收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开展庭院经济项目审核及验收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1.对庭院经济奖补户信息进行审核</w:t>
              <w:br/>
              <w:t>2.负责庭院经济奖补审定及资金发放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1.负责宣传发展庭院经济和利益联结政策</w:t>
              <w:br/>
              <w:t>2.负责资料的审核上报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负责林业违法图斑整改工作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1.推送林业违法图斑</w:t>
              <w:br/>
              <w:t>2.对林业违法图斑进行整改销号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对林业违法图斑进行现场核实，确认是否违法</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开展地名管理工作，负责地名信息库的更新、管理，设置乡村地名标志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1.提供最新国土变更调查数据、规划地图，培训乡镇人员使用卫片系统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3.指导督促村对违法图斑进行整改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对围湖造地或者未经批准围垦河道的处罚</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1.组织对围湖造地或者未经批准围垦河道监督检查</w:t>
              <w:br/>
              <w:t>2.对围湖造地或者未经批准围垦河道的违法行为进行处罚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2.日常巡查，及时上报线索</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开展野生动植物保护工作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南洞庭湖自然保护区资阳区管理局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1.开展野生动植物保护宣传教育</w:t>
              <w:br/>
              <w:t>2.开展候鸟保护专项行动</w:t>
              <w:br/>
              <w:t>3.推动野生动物栖息地与迁徙通道协同管护</w:t>
              <w:br/>
              <w:t>4.对野生动植物保护的日常监管执法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2.开展日常巡查，发现违法行为及时制止并上报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br/>
              <w:t>2.负责组织领导和协调规划，做好经费保障、隐患排查及整改、基础设施建设和审核工作</w:t>
              <w:br/>
              <w:t>3.加强对农村住房建设施工质量和安全的监督管理，指导进行隐患销号</w:t>
              <w:b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2.协助上级相关部门开展审核工作，提供申请人在本乡镇的相关信息和证明材料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负责渡船油补工作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br/>
              <w:t>2.落实补助资金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负责资料收集并上报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负责公路新建与养护（含安防工程）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1.负责乡级以上公路的建设、亮化、清障扫杂、养护管理</w:t>
              <w:br/>
              <w:t>2.负责乡级以上公路损坏情况的查看、摸排、整改</w:t>
              <w:br/>
              <w:t>3.负责公路建设的质量安全监管</w:t>
              <w:br/>
              <w:t>4.负责公路建设计划申报、财评、招投标等流程</w:t>
              <w:br/>
              <w:t>5.负责公路安防工程的日常管理及维护</w:t>
              <w:br/>
              <w:t>区公路建设养护中心：</w:t>
              <w:br/>
              <w:t>1.组织实施县道日常养护、危桥改造、安防工程、水毁处置、应急抢险等工作</w:t>
              <w:br/>
              <w:t>2.负责农村公路建设、管理和养护</w:t>
              <w:br/>
              <w:t>3.负责农村公路建设项目工程设计、施工工作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1.负责农村公路建设规划申报</w:t>
              <w:br/>
              <w:t>2.负责乡村公路的亮化、清障扫杂、养护管理</w:t>
              <w:br/>
              <w:t>3.负责乡村公路损毁情况摸排、整改、修护</w:t>
              <w:br/>
              <w:t>4.负责安防工程问题线索摸排并上报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1.指导乡镇开展道路交通安全生产隐患排查</w:t>
              <w:br/>
              <w:t>2.督促区公路建设养护中心为乡镇提供交通基础设施建设与维护支持，推动农村交通事业发展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负责预防、控制和消灭血吸虫病，开展封洲禁牧工作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br/>
              <w:t>1.划定血防区域，制定本地区血防中长期规划及年度工作要点，指导开展血防工作</w:t>
              <w:br/>
              <w:t>2.组织钉螺调查、药物灭螺及环境整治，开展人群病情筛查和晚期病人救治‌</w:t>
              <w:br/>
              <w:t>3.实施疫情预警监测、传播风险评估，制定并执行疫情防控方案</w:t>
              <w:br/>
              <w:t>4.建立跨区域协作机制，统筹落实防治任务‌</w:t>
              <w:br/>
              <w:t>区农业农村局：</w:t>
              <w:br/>
              <w:t>划定封洲禁牧区域，指导开展工作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1.负责血防政策宣传及药物推广</w:t>
              <w:br/>
              <w:t>2.开展封洲禁牧区域日常巡查及劝导工作</w:t>
              <w:br/>
              <w:t>3.协调各村开展联防联控和群防群控工作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3.农村部分计划生育家庭奖励扶助对象、计划生育家庭特别扶助对象和计划生育手术并发症扶助对象的审核、上报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受理村（居）民申请，收集相关资料，做好初审、上报、公示工作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2.负责村（社区）防控工作，做好流调、处置工作，必要时开展人员摸排、管控工作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2.组织镇和村（社区）抢险救援队伍，开展防汛演练，清点现有及上级下发各项物资并登记造册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2.按照乡综合应急预案，开展消防演练，做好消防物资和车辆的维护工作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5D0A45" w:rsidR="005D0A45">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开展造林验收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工作方式：由区林业局开展验收工作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工作方式：区财政局、区税务局不再向乡镇下达年度税收任务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开展辖区内灌区、人饮工程的用水统计、水量核定、饮水安全核定、用水总结和计划等专业性工作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工作方式：不再对乡镇进行通报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对擅自开发利用河道、湖泊、湖荡、海堤和沿海港河管理范围的处罚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对国有土地建设项目、驻乡镇单位和企业建筑项目及现有建筑的安全监管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开展县道以上公路水路联防工作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公交招呼站、停靠站的管理维护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w:t>
              <w:br/>
              <w:t>工作方式：由区交通运输局管理维护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工作方式：不再强制要求乡镇进行道路安全巡查并拍照上传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工作方式：负责组织下乡筛查，不再对乡镇派发任务指标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0C" w:rsidRDefault="0042770C">
      <w:r>
        <w:separator/>
      </w:r>
    </w:p>
  </w:endnote>
  <w:endnote w:type="continuationSeparator" w:id="0">
    <w:p w:rsidR="0042770C" w:rsidRDefault="0042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42770C">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42770C">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C45044" w:rsidRPr="00C45044">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0C" w:rsidRDefault="0042770C">
      <w:r>
        <w:separator/>
      </w:r>
    </w:p>
  </w:footnote>
  <w:footnote w:type="continuationSeparator" w:id="0">
    <w:p w:rsidR="0042770C" w:rsidRDefault="00427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51B0E"/>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3DF48-7483-4CD5-BB24-97072889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2024-08-14T07:31:00Z</dcterms:modified>
</cp:coreProperties>
</file>