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161119">
      <w:pPr>
        <w:spacing w:line="326" w:lineRule="auto"/>
        <w:rPr>
          <w:rFonts w:ascii="Arial"/>
          <w:sz w:val="21"/>
        </w:rPr>
      </w:pPr>
    </w:p>
    <w:p w14:paraId="5D1C6775">
      <w:pPr>
        <w:spacing w:line="327" w:lineRule="auto"/>
        <w:rPr>
          <w:rFonts w:ascii="Arial"/>
          <w:sz w:val="21"/>
        </w:rPr>
      </w:pPr>
    </w:p>
    <w:p w14:paraId="360E4F18">
      <w:pPr>
        <w:spacing w:before="113" w:line="184" w:lineRule="auto"/>
        <w:ind w:left="4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-10"/>
          <w:sz w:val="35"/>
          <w:szCs w:val="35"/>
        </w:rPr>
        <w:t>ZYDR-2023-10003</w:t>
      </w:r>
    </w:p>
    <w:p w14:paraId="7D49D256">
      <w:pPr>
        <w:rPr>
          <w:rFonts w:ascii="Arial"/>
          <w:sz w:val="21"/>
        </w:rPr>
      </w:pPr>
    </w:p>
    <w:p w14:paraId="78437DC9">
      <w:pPr>
        <w:rPr>
          <w:rFonts w:ascii="Arial"/>
          <w:sz w:val="21"/>
        </w:rPr>
      </w:pPr>
    </w:p>
    <w:p w14:paraId="5800E0BD">
      <w:pPr>
        <w:rPr>
          <w:rFonts w:ascii="Arial"/>
          <w:sz w:val="21"/>
        </w:rPr>
      </w:pPr>
    </w:p>
    <w:p w14:paraId="508D15EE">
      <w:pPr>
        <w:rPr>
          <w:rFonts w:ascii="Arial"/>
          <w:sz w:val="21"/>
        </w:rPr>
      </w:pPr>
    </w:p>
    <w:p w14:paraId="08F828E2">
      <w:pPr>
        <w:rPr>
          <w:rFonts w:ascii="Arial"/>
          <w:sz w:val="21"/>
        </w:rPr>
      </w:pPr>
    </w:p>
    <w:p w14:paraId="55CDCEA7">
      <w:pPr>
        <w:rPr>
          <w:rFonts w:ascii="Arial"/>
          <w:sz w:val="21"/>
        </w:rPr>
      </w:pPr>
    </w:p>
    <w:p w14:paraId="146F4467">
      <w:pPr>
        <w:rPr>
          <w:rFonts w:ascii="Arial"/>
          <w:sz w:val="21"/>
        </w:rPr>
      </w:pPr>
    </w:p>
    <w:p w14:paraId="4693747B">
      <w:pPr>
        <w:rPr>
          <w:rFonts w:ascii="Arial"/>
          <w:sz w:val="21"/>
        </w:rPr>
      </w:pPr>
    </w:p>
    <w:p w14:paraId="085DC8E9">
      <w:pPr>
        <w:spacing w:before="110" w:line="223" w:lineRule="auto"/>
        <w:ind w:left="287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3"/>
          <w:sz w:val="34"/>
          <w:szCs w:val="34"/>
        </w:rPr>
        <w:t>益资财综〔2023〕3号</w:t>
      </w:r>
    </w:p>
    <w:p w14:paraId="5BEED360">
      <w:pPr>
        <w:spacing w:before="67" w:line="60" w:lineRule="exact"/>
      </w:pPr>
    </w:p>
    <w:p w14:paraId="004721FA">
      <w:pPr>
        <w:spacing w:line="279" w:lineRule="auto"/>
        <w:rPr>
          <w:rFonts w:ascii="Arial"/>
          <w:sz w:val="21"/>
        </w:rPr>
      </w:pPr>
    </w:p>
    <w:p w14:paraId="06BA9D6D">
      <w:pPr>
        <w:spacing w:line="279" w:lineRule="auto"/>
        <w:rPr>
          <w:rFonts w:ascii="Arial"/>
          <w:sz w:val="21"/>
        </w:rPr>
      </w:pPr>
    </w:p>
    <w:p w14:paraId="6F8DD74C">
      <w:pPr>
        <w:spacing w:line="279" w:lineRule="auto"/>
        <w:rPr>
          <w:rFonts w:ascii="Arial"/>
          <w:sz w:val="21"/>
        </w:rPr>
      </w:pPr>
    </w:p>
    <w:p w14:paraId="76863B0D">
      <w:pPr>
        <w:spacing w:before="149" w:line="680" w:lineRule="exact"/>
        <w:ind w:left="2446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b/>
          <w:bCs/>
          <w:spacing w:val="-24"/>
          <w:position w:val="15"/>
          <w:sz w:val="46"/>
          <w:szCs w:val="46"/>
        </w:rPr>
        <w:t>益阳市资阳区财政局</w:t>
      </w:r>
    </w:p>
    <w:p w14:paraId="6A5647DC">
      <w:pPr>
        <w:spacing w:before="1" w:line="219" w:lineRule="auto"/>
        <w:ind w:left="2446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b/>
          <w:bCs/>
          <w:spacing w:val="-24"/>
          <w:sz w:val="46"/>
          <w:szCs w:val="46"/>
        </w:rPr>
        <w:t>益阳市资阳区民政局</w:t>
      </w:r>
    </w:p>
    <w:p w14:paraId="5FFCE975">
      <w:pPr>
        <w:spacing w:before="164" w:line="700" w:lineRule="exact"/>
        <w:ind w:left="446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b/>
          <w:bCs/>
          <w:spacing w:val="-24"/>
          <w:position w:val="16"/>
          <w:sz w:val="46"/>
          <w:szCs w:val="46"/>
        </w:rPr>
        <w:t>关于印发《益阳市资阳区福彩公益金支持</w:t>
      </w:r>
    </w:p>
    <w:p w14:paraId="34B92AC6">
      <w:pPr>
        <w:spacing w:line="219" w:lineRule="auto"/>
        <w:ind w:left="926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b/>
          <w:bCs/>
          <w:spacing w:val="-26"/>
          <w:sz w:val="46"/>
          <w:szCs w:val="46"/>
        </w:rPr>
        <w:t>福利事业专项资金管理办法》的通知</w:t>
      </w:r>
    </w:p>
    <w:p w14:paraId="2D32A438">
      <w:pPr>
        <w:spacing w:line="324" w:lineRule="auto"/>
        <w:rPr>
          <w:rFonts w:ascii="Arial"/>
          <w:sz w:val="21"/>
        </w:rPr>
      </w:pPr>
    </w:p>
    <w:p w14:paraId="178DBF99">
      <w:pPr>
        <w:spacing w:line="325" w:lineRule="auto"/>
        <w:rPr>
          <w:rFonts w:ascii="Arial"/>
          <w:sz w:val="21"/>
        </w:rPr>
      </w:pPr>
    </w:p>
    <w:p w14:paraId="6ABAF8F9">
      <w:pPr>
        <w:spacing w:before="118" w:line="670" w:lineRule="exact"/>
        <w:ind w:left="39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pacing w:val="-22"/>
          <w:position w:val="22"/>
          <w:sz w:val="36"/>
          <w:szCs w:val="36"/>
        </w:rPr>
        <w:t>各乡镇(街道、长春经济开发区)财政所、民政所、区直有关</w:t>
      </w:r>
    </w:p>
    <w:p w14:paraId="3A6DC5E9">
      <w:pPr>
        <w:spacing w:before="2" w:line="220" w:lineRule="auto"/>
        <w:ind w:left="39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pacing w:val="-49"/>
          <w:sz w:val="36"/>
          <w:szCs w:val="36"/>
        </w:rPr>
        <w:t>单位：</w:t>
      </w:r>
    </w:p>
    <w:p w14:paraId="45EB0E04">
      <w:pPr>
        <w:spacing w:before="180" w:line="333" w:lineRule="auto"/>
        <w:ind w:left="39" w:firstLine="670"/>
        <w:jc w:val="both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pacing w:val="-44"/>
          <w:sz w:val="36"/>
          <w:szCs w:val="36"/>
        </w:rPr>
        <w:t>为进一步规范和加强福彩公益金管理</w:t>
      </w:r>
      <w:r>
        <w:rPr>
          <w:rFonts w:hint="eastAsia" w:ascii="仿宋" w:hAnsi="仿宋" w:eastAsia="仿宋" w:cs="仿宋"/>
          <w:spacing w:val="-44"/>
          <w:sz w:val="36"/>
          <w:szCs w:val="36"/>
          <w:lang w:eastAsia="zh-CN"/>
        </w:rPr>
        <w:t>，</w:t>
      </w:r>
      <w:r>
        <w:rPr>
          <w:rFonts w:ascii="仿宋" w:hAnsi="仿宋" w:eastAsia="仿宋" w:cs="仿宋"/>
          <w:spacing w:val="-44"/>
          <w:sz w:val="36"/>
          <w:szCs w:val="36"/>
        </w:rPr>
        <w:t>提高资金使用效益</w:t>
      </w:r>
      <w:r>
        <w:rPr>
          <w:rFonts w:hint="eastAsia" w:ascii="仿宋" w:hAnsi="仿宋" w:eastAsia="仿宋" w:cs="仿宋"/>
          <w:spacing w:val="-44"/>
          <w:sz w:val="36"/>
          <w:szCs w:val="36"/>
          <w:lang w:eastAsia="zh-CN"/>
        </w:rPr>
        <w:t>，</w:t>
      </w:r>
      <w:r>
        <w:rPr>
          <w:rFonts w:ascii="仿宋" w:hAnsi="仿宋" w:eastAsia="仿宋" w:cs="仿宋"/>
          <w:spacing w:val="12"/>
          <w:sz w:val="36"/>
          <w:szCs w:val="36"/>
        </w:rPr>
        <w:t xml:space="preserve"> </w:t>
      </w:r>
      <w:r>
        <w:rPr>
          <w:rFonts w:ascii="仿宋" w:hAnsi="仿宋" w:eastAsia="仿宋" w:cs="仿宋"/>
          <w:spacing w:val="-36"/>
          <w:sz w:val="36"/>
          <w:szCs w:val="36"/>
        </w:rPr>
        <w:t>根据财政预算管理和彩票公益金相关要求，区财政</w:t>
      </w:r>
      <w:r>
        <w:rPr>
          <w:rFonts w:ascii="仿宋" w:hAnsi="仿宋" w:eastAsia="仿宋" w:cs="仿宋"/>
          <w:spacing w:val="-37"/>
          <w:sz w:val="36"/>
          <w:szCs w:val="36"/>
        </w:rPr>
        <w:t>局、区民政</w:t>
      </w:r>
      <w:r>
        <w:rPr>
          <w:rFonts w:ascii="仿宋" w:hAnsi="仿宋" w:eastAsia="仿宋" w:cs="仿宋"/>
          <w:sz w:val="36"/>
          <w:szCs w:val="36"/>
        </w:rPr>
        <w:t xml:space="preserve"> </w:t>
      </w:r>
      <w:r>
        <w:rPr>
          <w:rFonts w:ascii="仿宋" w:hAnsi="仿宋" w:eastAsia="仿宋" w:cs="仿宋"/>
          <w:spacing w:val="-35"/>
          <w:sz w:val="36"/>
          <w:szCs w:val="36"/>
        </w:rPr>
        <w:t>局修订了《益阳市资阳区福彩公益金支持福利事业专项资金管</w:t>
      </w:r>
    </w:p>
    <w:p w14:paraId="64B9CA02">
      <w:pPr>
        <w:spacing w:line="220" w:lineRule="auto"/>
        <w:ind w:left="39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pacing w:val="-40"/>
          <w:sz w:val="36"/>
          <w:szCs w:val="36"/>
        </w:rPr>
        <w:t>理办法》</w:t>
      </w:r>
      <w:r>
        <w:rPr>
          <w:rFonts w:hint="eastAsia" w:ascii="仿宋" w:hAnsi="仿宋" w:eastAsia="仿宋" w:cs="仿宋"/>
          <w:spacing w:val="-40"/>
          <w:sz w:val="36"/>
          <w:szCs w:val="36"/>
          <w:lang w:eastAsia="zh-CN"/>
        </w:rPr>
        <w:t>，</w:t>
      </w:r>
      <w:r>
        <w:rPr>
          <w:rFonts w:ascii="仿宋" w:hAnsi="仿宋" w:eastAsia="仿宋" w:cs="仿宋"/>
          <w:spacing w:val="-40"/>
          <w:sz w:val="36"/>
          <w:szCs w:val="36"/>
        </w:rPr>
        <w:t>现印发给你们，请遵照执行。</w:t>
      </w:r>
    </w:p>
    <w:p w14:paraId="54A3F676">
      <w:pPr>
        <w:spacing w:line="220" w:lineRule="auto"/>
        <w:rPr>
          <w:rFonts w:ascii="仿宋" w:hAnsi="仿宋" w:eastAsia="仿宋" w:cs="仿宋"/>
          <w:sz w:val="36"/>
          <w:szCs w:val="36"/>
        </w:rPr>
        <w:sectPr>
          <w:footerReference r:id="rId5" w:type="default"/>
          <w:pgSz w:w="11900" w:h="16820"/>
          <w:pgMar w:top="1429" w:right="1399" w:bottom="1575" w:left="1559" w:header="0" w:footer="1257" w:gutter="0"/>
          <w:cols w:space="720" w:num="1"/>
        </w:sectPr>
      </w:pPr>
    </w:p>
    <w:p w14:paraId="68E0752A">
      <w:pPr>
        <w:spacing w:line="345" w:lineRule="auto"/>
        <w:rPr>
          <w:rFonts w:ascii="Arial"/>
          <w:sz w:val="21"/>
        </w:rPr>
      </w:pPr>
    </w:p>
    <w:p w14:paraId="150C2540">
      <w:pPr>
        <w:spacing w:line="346" w:lineRule="auto"/>
        <w:rPr>
          <w:rFonts w:ascii="Arial"/>
          <w:sz w:val="21"/>
        </w:rPr>
      </w:pPr>
    </w:p>
    <w:p w14:paraId="3B248DB6">
      <w:pPr>
        <w:pStyle w:val="2"/>
        <w:spacing w:before="94" w:line="612" w:lineRule="exact"/>
        <w:jc w:val="right"/>
      </w:pPr>
      <w:r>
        <w:rPr>
          <w:spacing w:val="33"/>
          <w:position w:val="24"/>
        </w:rPr>
        <w:t>附件：益阳市资阳区福彩公益金支持福利事业专项资金管</w:t>
      </w:r>
    </w:p>
    <w:p w14:paraId="72589E44">
      <w:pPr>
        <w:spacing w:line="219" w:lineRule="auto"/>
        <w:ind w:left="1485"/>
        <w:rPr>
          <w:rFonts w:ascii="仿宋" w:hAnsi="仿宋" w:eastAsia="仿宋" w:cs="仿宋"/>
          <w:snapToGrid w:val="0"/>
          <w:color w:val="000000"/>
          <w:spacing w:val="33"/>
          <w:kern w:val="0"/>
          <w:position w:val="24"/>
          <w:sz w:val="29"/>
          <w:szCs w:val="29"/>
          <w:lang w:val="en-US" w:eastAsia="en-US" w:bidi="ar-SA"/>
        </w:rPr>
      </w:pPr>
      <w:r>
        <w:rPr>
          <w:rFonts w:ascii="仿宋" w:hAnsi="仿宋" w:eastAsia="仿宋" w:cs="仿宋"/>
          <w:snapToGrid w:val="0"/>
          <w:color w:val="000000"/>
          <w:spacing w:val="33"/>
          <w:kern w:val="0"/>
          <w:position w:val="24"/>
          <w:sz w:val="29"/>
          <w:szCs w:val="29"/>
          <w:lang w:val="en-US" w:eastAsia="en-US" w:bidi="ar-SA"/>
        </w:rPr>
        <w:t>理办法</w:t>
      </w:r>
    </w:p>
    <w:p w14:paraId="3C4A9C81">
      <w:pPr>
        <w:spacing w:line="265" w:lineRule="auto"/>
        <w:rPr>
          <w:rFonts w:ascii="Arial"/>
          <w:sz w:val="21"/>
        </w:rPr>
      </w:pPr>
    </w:p>
    <w:p w14:paraId="2DB859D1">
      <w:pPr>
        <w:spacing w:line="265" w:lineRule="auto"/>
        <w:rPr>
          <w:rFonts w:ascii="Arial"/>
          <w:sz w:val="21"/>
        </w:rPr>
      </w:pPr>
    </w:p>
    <w:p w14:paraId="6B3E97B1">
      <w:pPr>
        <w:spacing w:line="266" w:lineRule="auto"/>
        <w:rPr>
          <w:rFonts w:ascii="Arial"/>
          <w:sz w:val="21"/>
        </w:rPr>
      </w:pPr>
    </w:p>
    <w:p w14:paraId="27CFDCD8">
      <w:pPr>
        <w:spacing w:line="266" w:lineRule="auto"/>
        <w:rPr>
          <w:rFonts w:ascii="Arial"/>
          <w:sz w:val="21"/>
        </w:rPr>
      </w:pPr>
    </w:p>
    <w:p w14:paraId="673FA620">
      <w:pPr>
        <w:spacing w:line="266" w:lineRule="auto"/>
        <w:rPr>
          <w:rFonts w:ascii="Arial"/>
          <w:sz w:val="21"/>
        </w:rPr>
      </w:pPr>
    </w:p>
    <w:p w14:paraId="0BA780D5">
      <w:pPr>
        <w:spacing w:line="266" w:lineRule="auto"/>
        <w:rPr>
          <w:rFonts w:ascii="Arial"/>
          <w:sz w:val="21"/>
        </w:rPr>
      </w:pPr>
    </w:p>
    <w:p w14:paraId="555022C6">
      <w:pPr>
        <w:spacing w:line="266" w:lineRule="auto"/>
        <w:rPr>
          <w:rFonts w:ascii="Arial"/>
          <w:sz w:val="21"/>
        </w:rPr>
      </w:pPr>
    </w:p>
    <w:p w14:paraId="1194A3D5">
      <w:pPr>
        <w:spacing w:line="266" w:lineRule="auto"/>
        <w:rPr>
          <w:rFonts w:ascii="Arial"/>
          <w:sz w:val="21"/>
        </w:rPr>
      </w:pPr>
    </w:p>
    <w:p w14:paraId="3DE42FB0">
      <w:pPr>
        <w:pStyle w:val="2"/>
        <w:spacing w:before="94" w:line="222" w:lineRule="auto"/>
        <w:ind w:left="5194"/>
      </w:pPr>
      <w:r>
        <w:pict>
          <v:shape id="_x0000_s1026" o:spid="_x0000_s1026" o:spt="202" type="#_x0000_t202" style="position:absolute;left:0pt;margin-left:27.25pt;margin-top:3.7pt;height:19.5pt;width:142.9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BE59699">
                  <w:pPr>
                    <w:pStyle w:val="2"/>
                    <w:spacing w:before="20" w:line="222" w:lineRule="auto"/>
                    <w:ind w:left="20"/>
                  </w:pPr>
                  <w:r>
                    <w:rPr>
                      <w:spacing w:val="23"/>
                    </w:rPr>
                    <w:t>益阳市资阳区财政局</w:t>
                  </w:r>
                </w:p>
              </w:txbxContent>
            </v:textbox>
          </v:shape>
        </w:pict>
      </w:r>
      <w:r>
        <w:rPr>
          <w:spacing w:val="23"/>
        </w:rPr>
        <w:t>益阳市资阳区民政局</w:t>
      </w:r>
    </w:p>
    <w:p w14:paraId="4690825E">
      <w:pPr>
        <w:spacing w:line="277" w:lineRule="auto"/>
        <w:rPr>
          <w:rFonts w:ascii="Arial"/>
          <w:sz w:val="21"/>
        </w:rPr>
      </w:pPr>
    </w:p>
    <w:p w14:paraId="5DBEF7AF">
      <w:pPr>
        <w:spacing w:line="277" w:lineRule="auto"/>
        <w:rPr>
          <w:rFonts w:ascii="Arial"/>
          <w:sz w:val="21"/>
        </w:rPr>
      </w:pPr>
    </w:p>
    <w:p w14:paraId="16A2BE0D">
      <w:pPr>
        <w:spacing w:line="277" w:lineRule="auto"/>
        <w:rPr>
          <w:rFonts w:ascii="Arial"/>
          <w:sz w:val="21"/>
        </w:rPr>
      </w:pPr>
    </w:p>
    <w:p w14:paraId="23263BB4">
      <w:pPr>
        <w:pStyle w:val="2"/>
        <w:spacing w:before="95" w:line="222" w:lineRule="auto"/>
        <w:ind w:left="5345"/>
      </w:pPr>
      <w:r>
        <w:rPr>
          <w:spacing w:val="-17"/>
        </w:rPr>
        <w:t>2</w:t>
      </w:r>
      <w:r>
        <w:rPr>
          <w:spacing w:val="-50"/>
        </w:rPr>
        <w:t xml:space="preserve"> </w:t>
      </w:r>
      <w:r>
        <w:rPr>
          <w:spacing w:val="-17"/>
        </w:rPr>
        <w:t>0</w:t>
      </w:r>
      <w:r>
        <w:rPr>
          <w:spacing w:val="-56"/>
        </w:rPr>
        <w:t xml:space="preserve"> </w:t>
      </w:r>
      <w:r>
        <w:rPr>
          <w:spacing w:val="-17"/>
        </w:rPr>
        <w:t>2</w:t>
      </w:r>
      <w:r>
        <w:rPr>
          <w:spacing w:val="-55"/>
        </w:rPr>
        <w:t xml:space="preserve"> </w:t>
      </w:r>
      <w:r>
        <w:rPr>
          <w:spacing w:val="-17"/>
        </w:rPr>
        <w:t>3</w:t>
      </w:r>
      <w:r>
        <w:rPr>
          <w:spacing w:val="-45"/>
        </w:rPr>
        <w:t xml:space="preserve"> </w:t>
      </w:r>
      <w:r>
        <w:rPr>
          <w:spacing w:val="-17"/>
        </w:rPr>
        <w:t>年</w:t>
      </w:r>
      <w:r>
        <w:rPr>
          <w:spacing w:val="-55"/>
        </w:rPr>
        <w:t xml:space="preserve"> </w:t>
      </w:r>
      <w:r>
        <w:rPr>
          <w:spacing w:val="-17"/>
        </w:rPr>
        <w:t>3</w:t>
      </w:r>
      <w:r>
        <w:rPr>
          <w:spacing w:val="-37"/>
        </w:rPr>
        <w:t xml:space="preserve"> </w:t>
      </w:r>
      <w:r>
        <w:rPr>
          <w:spacing w:val="-17"/>
        </w:rPr>
        <w:t>月</w:t>
      </w:r>
      <w:r>
        <w:rPr>
          <w:spacing w:val="-57"/>
        </w:rPr>
        <w:t xml:space="preserve"> </w:t>
      </w:r>
      <w:r>
        <w:rPr>
          <w:spacing w:val="-17"/>
        </w:rPr>
        <w:t>2</w:t>
      </w:r>
      <w:r>
        <w:rPr>
          <w:spacing w:val="-53"/>
        </w:rPr>
        <w:t xml:space="preserve"> </w:t>
      </w:r>
      <w:r>
        <w:rPr>
          <w:spacing w:val="-17"/>
        </w:rPr>
        <w:t>7</w:t>
      </w:r>
      <w:r>
        <w:rPr>
          <w:spacing w:val="7"/>
        </w:rPr>
        <w:t xml:space="preserve"> </w:t>
      </w:r>
      <w:r>
        <w:rPr>
          <w:spacing w:val="-17"/>
        </w:rPr>
        <w:t>日</w:t>
      </w:r>
    </w:p>
    <w:p w14:paraId="4B66888C">
      <w:pPr>
        <w:spacing w:line="222" w:lineRule="auto"/>
        <w:sectPr>
          <w:footerReference r:id="rId6" w:type="default"/>
          <w:pgSz w:w="11900" w:h="16820"/>
          <w:pgMar w:top="1429" w:right="1468" w:bottom="1563" w:left="1785" w:header="0" w:footer="1275" w:gutter="0"/>
          <w:cols w:space="720" w:num="1"/>
        </w:sectPr>
      </w:pPr>
    </w:p>
    <w:p w14:paraId="082D35AE">
      <w:pPr>
        <w:spacing w:line="294" w:lineRule="auto"/>
        <w:rPr>
          <w:rFonts w:ascii="Arial"/>
          <w:sz w:val="21"/>
        </w:rPr>
      </w:pPr>
    </w:p>
    <w:p w14:paraId="4F27F696">
      <w:pPr>
        <w:spacing w:line="294" w:lineRule="auto"/>
        <w:rPr>
          <w:rFonts w:ascii="Arial"/>
          <w:sz w:val="21"/>
        </w:rPr>
      </w:pPr>
    </w:p>
    <w:p w14:paraId="29D7C9C8">
      <w:pPr>
        <w:spacing w:before="101" w:line="224" w:lineRule="auto"/>
        <w:ind w:left="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4"/>
          <w:sz w:val="31"/>
          <w:szCs w:val="31"/>
        </w:rPr>
        <w:t>附件</w:t>
      </w:r>
    </w:p>
    <w:p w14:paraId="742145AC">
      <w:pPr>
        <w:spacing w:line="329" w:lineRule="auto"/>
        <w:rPr>
          <w:rFonts w:ascii="Arial"/>
          <w:sz w:val="21"/>
        </w:rPr>
      </w:pPr>
    </w:p>
    <w:p w14:paraId="72AAA8B2">
      <w:pPr>
        <w:spacing w:line="329" w:lineRule="auto"/>
        <w:rPr>
          <w:rFonts w:ascii="Arial"/>
          <w:sz w:val="21"/>
        </w:rPr>
      </w:pPr>
    </w:p>
    <w:p w14:paraId="0135E7F2">
      <w:pPr>
        <w:spacing w:before="140" w:line="660" w:lineRule="exact"/>
        <w:ind w:left="66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position w:val="16"/>
          <w:sz w:val="43"/>
          <w:szCs w:val="43"/>
        </w:rPr>
        <w:t>益阳市资阳区福彩公益金支持福利事业</w:t>
      </w:r>
    </w:p>
    <w:p w14:paraId="7A4D302A">
      <w:pPr>
        <w:spacing w:line="219" w:lineRule="auto"/>
        <w:ind w:left="265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专项资金管理办法</w:t>
      </w:r>
    </w:p>
    <w:p w14:paraId="1101AC89">
      <w:pPr>
        <w:spacing w:line="359" w:lineRule="auto"/>
        <w:rPr>
          <w:rFonts w:ascii="Arial"/>
          <w:sz w:val="21"/>
        </w:rPr>
      </w:pPr>
    </w:p>
    <w:p w14:paraId="45920F50">
      <w:pPr>
        <w:spacing w:line="360" w:lineRule="auto"/>
        <w:rPr>
          <w:rFonts w:ascii="Arial"/>
          <w:sz w:val="21"/>
        </w:rPr>
      </w:pPr>
    </w:p>
    <w:p w14:paraId="446103C1">
      <w:pPr>
        <w:spacing w:before="101" w:line="222" w:lineRule="auto"/>
        <w:ind w:left="337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0"/>
          <w:sz w:val="31"/>
          <w:szCs w:val="31"/>
        </w:rPr>
        <w:t>第一章</w:t>
      </w:r>
      <w:r>
        <w:rPr>
          <w:rFonts w:ascii="黑体" w:hAnsi="黑体" w:eastAsia="黑体" w:cs="黑体"/>
          <w:spacing w:val="17"/>
          <w:sz w:val="31"/>
          <w:szCs w:val="31"/>
        </w:rPr>
        <w:t xml:space="preserve">  </w:t>
      </w:r>
      <w:r>
        <w:rPr>
          <w:rFonts w:ascii="黑体" w:hAnsi="黑体" w:eastAsia="黑体" w:cs="黑体"/>
          <w:b/>
          <w:bCs/>
          <w:spacing w:val="-10"/>
          <w:sz w:val="31"/>
          <w:szCs w:val="31"/>
        </w:rPr>
        <w:t>总</w:t>
      </w:r>
      <w:r>
        <w:rPr>
          <w:rFonts w:ascii="黑体" w:hAnsi="黑体" w:eastAsia="黑体" w:cs="黑体"/>
          <w:spacing w:val="56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0"/>
          <w:sz w:val="31"/>
          <w:szCs w:val="31"/>
        </w:rPr>
        <w:t>则</w:t>
      </w:r>
    </w:p>
    <w:p w14:paraId="35AE6A72">
      <w:pPr>
        <w:spacing w:line="261" w:lineRule="auto"/>
        <w:rPr>
          <w:rFonts w:ascii="Arial"/>
          <w:sz w:val="21"/>
        </w:rPr>
      </w:pPr>
    </w:p>
    <w:p w14:paraId="3240B20E">
      <w:pPr>
        <w:pStyle w:val="2"/>
        <w:spacing w:before="101" w:line="334" w:lineRule="auto"/>
        <w:ind w:firstLine="664"/>
        <w:rPr>
          <w:sz w:val="31"/>
          <w:szCs w:val="31"/>
        </w:rPr>
      </w:pPr>
      <w:r>
        <w:rPr>
          <w:rFonts w:ascii="楷体" w:hAnsi="楷体" w:eastAsia="楷体" w:cs="楷体"/>
          <w:b/>
          <w:bCs/>
          <w:spacing w:val="9"/>
          <w:sz w:val="31"/>
          <w:szCs w:val="31"/>
        </w:rPr>
        <w:t>第一条</w:t>
      </w:r>
      <w:r>
        <w:rPr>
          <w:rFonts w:ascii="楷体" w:hAnsi="楷体" w:eastAsia="楷体" w:cs="楷体"/>
          <w:spacing w:val="2"/>
          <w:sz w:val="31"/>
          <w:szCs w:val="31"/>
        </w:rPr>
        <w:t xml:space="preserve">  </w:t>
      </w:r>
      <w:r>
        <w:rPr>
          <w:spacing w:val="9"/>
          <w:sz w:val="31"/>
          <w:szCs w:val="31"/>
        </w:rPr>
        <w:t>为进一步规范和加强福彩公益金支持社会福利事</w:t>
      </w:r>
      <w:r>
        <w:rPr>
          <w:sz w:val="31"/>
          <w:szCs w:val="31"/>
        </w:rPr>
        <w:t xml:space="preserve">   </w:t>
      </w:r>
      <w:r>
        <w:rPr>
          <w:spacing w:val="17"/>
          <w:sz w:val="31"/>
          <w:szCs w:val="31"/>
        </w:rPr>
        <w:t>业专项资金(以下简称福彩公益金)管理，提高资金使用</w:t>
      </w:r>
      <w:r>
        <w:rPr>
          <w:spacing w:val="16"/>
          <w:sz w:val="31"/>
          <w:szCs w:val="31"/>
        </w:rPr>
        <w:t>效益，</w:t>
      </w:r>
      <w:r>
        <w:rPr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根据《彩票管理条例》(国务院令第554号)、</w:t>
      </w:r>
      <w:r>
        <w:rPr>
          <w:spacing w:val="8"/>
          <w:sz w:val="31"/>
          <w:szCs w:val="31"/>
        </w:rPr>
        <w:t>《彩票管理条例实</w:t>
      </w:r>
      <w:r>
        <w:rPr>
          <w:sz w:val="31"/>
          <w:szCs w:val="31"/>
        </w:rPr>
        <w:t xml:space="preserve">  </w:t>
      </w:r>
      <w:r>
        <w:rPr>
          <w:spacing w:val="8"/>
          <w:sz w:val="31"/>
          <w:szCs w:val="31"/>
        </w:rPr>
        <w:t>施细则》(财政部民政部国家体育总局令第96号)、《财政部关</w:t>
      </w:r>
      <w:r>
        <w:rPr>
          <w:spacing w:val="3"/>
          <w:sz w:val="31"/>
          <w:szCs w:val="31"/>
        </w:rPr>
        <w:t xml:space="preserve">   </w:t>
      </w:r>
      <w:r>
        <w:rPr>
          <w:spacing w:val="12"/>
          <w:sz w:val="31"/>
          <w:szCs w:val="31"/>
        </w:rPr>
        <w:t>于印发〈彩票公益金管理办法〉的通知》(财综〔2021〕18号)</w:t>
      </w:r>
      <w:r>
        <w:rPr>
          <w:spacing w:val="8"/>
          <w:sz w:val="31"/>
          <w:szCs w:val="31"/>
        </w:rPr>
        <w:t xml:space="preserve">  </w:t>
      </w:r>
      <w:r>
        <w:rPr>
          <w:spacing w:val="15"/>
          <w:sz w:val="31"/>
          <w:szCs w:val="31"/>
        </w:rPr>
        <w:t>和《湖南省财政厅湖南省民政厅关于印发〈湖南省省级福彩公</w:t>
      </w:r>
      <w:r>
        <w:rPr>
          <w:spacing w:val="2"/>
          <w:sz w:val="31"/>
          <w:szCs w:val="31"/>
        </w:rPr>
        <w:t xml:space="preserve">  </w:t>
      </w:r>
      <w:r>
        <w:rPr>
          <w:spacing w:val="9"/>
          <w:sz w:val="31"/>
          <w:szCs w:val="31"/>
        </w:rPr>
        <w:t>益金支持福利事业专项资金管理办法&gt;的通知》(湘财综</w:t>
      </w:r>
      <w:r>
        <w:rPr>
          <w:spacing w:val="8"/>
          <w:sz w:val="31"/>
          <w:szCs w:val="31"/>
        </w:rPr>
        <w:t>〔2023〕</w:t>
      </w:r>
    </w:p>
    <w:p w14:paraId="3A5B5C18">
      <w:pPr>
        <w:pStyle w:val="2"/>
        <w:spacing w:before="1" w:line="221" w:lineRule="auto"/>
        <w:rPr>
          <w:sz w:val="31"/>
          <w:szCs w:val="31"/>
        </w:rPr>
      </w:pPr>
      <w:r>
        <w:rPr>
          <w:spacing w:val="19"/>
          <w:sz w:val="31"/>
          <w:szCs w:val="31"/>
        </w:rPr>
        <w:t>3号)等有关规定，制定本办法。</w:t>
      </w:r>
    </w:p>
    <w:p w14:paraId="185DC625">
      <w:pPr>
        <w:pStyle w:val="2"/>
        <w:spacing w:before="202" w:line="341" w:lineRule="auto"/>
        <w:ind w:right="172" w:firstLine="664"/>
        <w:rPr>
          <w:sz w:val="31"/>
          <w:szCs w:val="31"/>
        </w:rPr>
      </w:pPr>
      <w:r>
        <w:rPr>
          <w:rFonts w:ascii="楷体" w:hAnsi="楷体" w:eastAsia="楷体" w:cs="楷体"/>
          <w:b/>
          <w:bCs/>
          <w:spacing w:val="14"/>
          <w:sz w:val="31"/>
          <w:szCs w:val="31"/>
        </w:rPr>
        <w:t>第二条</w:t>
      </w:r>
      <w:r>
        <w:rPr>
          <w:rFonts w:ascii="楷体" w:hAnsi="楷体" w:eastAsia="楷体" w:cs="楷体"/>
          <w:spacing w:val="10"/>
          <w:sz w:val="31"/>
          <w:szCs w:val="31"/>
        </w:rPr>
        <w:t xml:space="preserve">  </w:t>
      </w:r>
      <w:r>
        <w:rPr>
          <w:spacing w:val="14"/>
          <w:sz w:val="31"/>
          <w:szCs w:val="31"/>
        </w:rPr>
        <w:t>本办法所称福彩公益金，是指根据国家彩票公益</w:t>
      </w:r>
      <w:r>
        <w:rPr>
          <w:sz w:val="31"/>
          <w:szCs w:val="31"/>
        </w:rPr>
        <w:t xml:space="preserve"> </w:t>
      </w:r>
      <w:r>
        <w:rPr>
          <w:spacing w:val="15"/>
          <w:sz w:val="31"/>
          <w:szCs w:val="31"/>
        </w:rPr>
        <w:t>金分配政策，从彩票发行收入中按规定比例分配至我区，专项</w:t>
      </w:r>
    </w:p>
    <w:p w14:paraId="20BA10B1">
      <w:pPr>
        <w:pStyle w:val="2"/>
        <w:spacing w:before="1" w:line="221" w:lineRule="auto"/>
        <w:rPr>
          <w:sz w:val="31"/>
          <w:szCs w:val="31"/>
        </w:rPr>
      </w:pPr>
      <w:r>
        <w:rPr>
          <w:spacing w:val="6"/>
          <w:sz w:val="31"/>
          <w:szCs w:val="31"/>
        </w:rPr>
        <w:t>用于社会福利和相关公益事业发展的资金。</w:t>
      </w:r>
    </w:p>
    <w:p w14:paraId="3FF9C1E2">
      <w:pPr>
        <w:pStyle w:val="2"/>
        <w:spacing w:before="182" w:line="584" w:lineRule="exact"/>
        <w:ind w:left="664"/>
        <w:rPr>
          <w:sz w:val="31"/>
          <w:szCs w:val="31"/>
        </w:rPr>
      </w:pPr>
      <w:r>
        <w:rPr>
          <w:rFonts w:ascii="楷体" w:hAnsi="楷体" w:eastAsia="楷体" w:cs="楷体"/>
          <w:b/>
          <w:bCs/>
          <w:spacing w:val="12"/>
          <w:position w:val="20"/>
          <w:sz w:val="31"/>
          <w:szCs w:val="31"/>
        </w:rPr>
        <w:t>第三条</w:t>
      </w:r>
      <w:r>
        <w:rPr>
          <w:rFonts w:ascii="楷体" w:hAnsi="楷体" w:eastAsia="楷体" w:cs="楷体"/>
          <w:spacing w:val="12"/>
          <w:position w:val="20"/>
          <w:sz w:val="31"/>
          <w:szCs w:val="31"/>
        </w:rPr>
        <w:t xml:space="preserve">  </w:t>
      </w:r>
      <w:r>
        <w:rPr>
          <w:spacing w:val="12"/>
          <w:position w:val="20"/>
          <w:sz w:val="31"/>
          <w:szCs w:val="31"/>
        </w:rPr>
        <w:t>福彩公益金纳入政府性基金预算管理，由财政、</w:t>
      </w:r>
    </w:p>
    <w:p w14:paraId="66D0C3AE">
      <w:pPr>
        <w:pStyle w:val="2"/>
        <w:spacing w:before="2" w:line="220" w:lineRule="auto"/>
        <w:rPr>
          <w:sz w:val="31"/>
          <w:szCs w:val="31"/>
        </w:rPr>
      </w:pPr>
      <w:r>
        <w:rPr>
          <w:sz w:val="31"/>
          <w:szCs w:val="31"/>
        </w:rPr>
        <w:t>民政部门分别按职责进行管理。</w:t>
      </w:r>
    </w:p>
    <w:p w14:paraId="5D632D50">
      <w:pPr>
        <w:pStyle w:val="2"/>
        <w:spacing w:before="153" w:line="336" w:lineRule="auto"/>
        <w:ind w:right="156" w:firstLine="664"/>
        <w:rPr>
          <w:sz w:val="31"/>
          <w:szCs w:val="31"/>
        </w:rPr>
      </w:pPr>
      <w:r>
        <w:rPr>
          <w:rFonts w:ascii="楷体" w:hAnsi="楷体" w:eastAsia="楷体" w:cs="楷体"/>
          <w:b/>
          <w:bCs/>
          <w:spacing w:val="15"/>
          <w:sz w:val="31"/>
          <w:szCs w:val="31"/>
        </w:rPr>
        <w:t>第四条</w:t>
      </w:r>
      <w:r>
        <w:rPr>
          <w:rFonts w:ascii="楷体" w:hAnsi="楷体" w:eastAsia="楷体" w:cs="楷体"/>
          <w:spacing w:val="6"/>
          <w:sz w:val="31"/>
          <w:szCs w:val="31"/>
        </w:rPr>
        <w:t xml:space="preserve">  </w:t>
      </w:r>
      <w:r>
        <w:rPr>
          <w:spacing w:val="15"/>
          <w:sz w:val="31"/>
          <w:szCs w:val="31"/>
        </w:rPr>
        <w:t>福彩公益金的管理、分配和使用应当严格执行国</w:t>
      </w:r>
      <w:r>
        <w:rPr>
          <w:spacing w:val="1"/>
          <w:sz w:val="31"/>
          <w:szCs w:val="31"/>
        </w:rPr>
        <w:t xml:space="preserve"> </w:t>
      </w:r>
      <w:r>
        <w:rPr>
          <w:spacing w:val="15"/>
          <w:sz w:val="31"/>
          <w:szCs w:val="31"/>
        </w:rPr>
        <w:t>家法律法规和财务规章制度。坚持科学规范、厉行节约，依法</w:t>
      </w:r>
    </w:p>
    <w:p w14:paraId="45F80A6E">
      <w:pPr>
        <w:pStyle w:val="2"/>
        <w:spacing w:before="1" w:line="222" w:lineRule="auto"/>
        <w:rPr>
          <w:sz w:val="31"/>
          <w:szCs w:val="31"/>
        </w:rPr>
      </w:pPr>
      <w:r>
        <w:rPr>
          <w:spacing w:val="15"/>
          <w:sz w:val="31"/>
          <w:szCs w:val="31"/>
        </w:rPr>
        <w:t>依规。坚持公开透明、强化监管，主动接受财政、审计、民政</w:t>
      </w:r>
    </w:p>
    <w:p w14:paraId="1657E631">
      <w:pPr>
        <w:spacing w:line="222" w:lineRule="auto"/>
        <w:rPr>
          <w:sz w:val="31"/>
          <w:szCs w:val="31"/>
        </w:rPr>
        <w:sectPr>
          <w:footerReference r:id="rId7" w:type="default"/>
          <w:pgSz w:w="11900" w:h="16820"/>
          <w:pgMar w:top="1429" w:right="1515" w:bottom="1567" w:left="1430" w:header="0" w:footer="1259" w:gutter="0"/>
          <w:cols w:space="720" w:num="1"/>
        </w:sectPr>
      </w:pPr>
    </w:p>
    <w:p w14:paraId="6E1BAA32">
      <w:pPr>
        <w:spacing w:line="315" w:lineRule="auto"/>
        <w:rPr>
          <w:rFonts w:ascii="Arial"/>
          <w:sz w:val="21"/>
        </w:rPr>
      </w:pPr>
    </w:p>
    <w:p w14:paraId="6A611CD7">
      <w:pPr>
        <w:spacing w:line="315" w:lineRule="auto"/>
        <w:rPr>
          <w:rFonts w:ascii="Arial"/>
          <w:sz w:val="21"/>
        </w:rPr>
      </w:pPr>
    </w:p>
    <w:p w14:paraId="3FAA1C36">
      <w:pPr>
        <w:pStyle w:val="2"/>
        <w:spacing w:before="104" w:line="548" w:lineRule="exact"/>
        <w:rPr>
          <w:sz w:val="32"/>
          <w:szCs w:val="32"/>
        </w:rPr>
      </w:pPr>
      <w:r>
        <w:rPr>
          <w:spacing w:val="3"/>
          <w:position w:val="16"/>
          <w:sz w:val="32"/>
          <w:szCs w:val="32"/>
        </w:rPr>
        <w:t>部门和社会监督。坚持统筹谋划、讲求绩效，发挥资金使用效</w:t>
      </w:r>
    </w:p>
    <w:p w14:paraId="2666B81A">
      <w:pPr>
        <w:pStyle w:val="2"/>
        <w:spacing w:before="1" w:line="231" w:lineRule="auto"/>
        <w:rPr>
          <w:sz w:val="32"/>
          <w:szCs w:val="32"/>
        </w:rPr>
      </w:pPr>
      <w:r>
        <w:rPr>
          <w:spacing w:val="-17"/>
          <w:sz w:val="32"/>
          <w:szCs w:val="32"/>
        </w:rPr>
        <w:t>益。</w:t>
      </w:r>
    </w:p>
    <w:p w14:paraId="5C0A5A50">
      <w:pPr>
        <w:spacing w:before="288" w:line="222" w:lineRule="auto"/>
        <w:ind w:left="284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7"/>
          <w:sz w:val="32"/>
          <w:szCs w:val="32"/>
        </w:rPr>
        <w:t>第二章</w:t>
      </w:r>
      <w:r>
        <w:rPr>
          <w:rFonts w:ascii="黑体" w:hAnsi="黑体" w:eastAsia="黑体" w:cs="黑体"/>
          <w:spacing w:val="-7"/>
          <w:sz w:val="32"/>
          <w:szCs w:val="32"/>
        </w:rPr>
        <w:t xml:space="preserve">  </w:t>
      </w:r>
      <w:r>
        <w:rPr>
          <w:rFonts w:ascii="黑体" w:hAnsi="黑体" w:eastAsia="黑体" w:cs="黑体"/>
          <w:b/>
          <w:bCs/>
          <w:spacing w:val="-7"/>
          <w:sz w:val="32"/>
          <w:szCs w:val="32"/>
        </w:rPr>
        <w:t>资金支持范围</w:t>
      </w:r>
    </w:p>
    <w:p w14:paraId="64BD713D">
      <w:pPr>
        <w:pStyle w:val="2"/>
        <w:spacing w:before="283" w:line="295" w:lineRule="auto"/>
        <w:ind w:firstLine="664"/>
        <w:rPr>
          <w:sz w:val="32"/>
          <w:szCs w:val="32"/>
        </w:rPr>
      </w:pPr>
      <w:r>
        <w:rPr>
          <w:rFonts w:ascii="楷体" w:hAnsi="楷体" w:eastAsia="楷体" w:cs="楷体"/>
          <w:b/>
          <w:bCs/>
          <w:spacing w:val="-1"/>
          <w:sz w:val="32"/>
          <w:szCs w:val="32"/>
        </w:rPr>
        <w:t>第五条</w:t>
      </w:r>
      <w:r>
        <w:rPr>
          <w:rFonts w:ascii="楷体" w:hAnsi="楷体" w:eastAsia="楷体" w:cs="楷体"/>
          <w:spacing w:val="-1"/>
          <w:sz w:val="32"/>
          <w:szCs w:val="32"/>
        </w:rPr>
        <w:t xml:space="preserve">  </w:t>
      </w:r>
      <w:r>
        <w:rPr>
          <w:spacing w:val="-1"/>
          <w:sz w:val="32"/>
          <w:szCs w:val="32"/>
        </w:rPr>
        <w:t xml:space="preserve">福彩公益金使用应秉承福利彩票“扶老、助残、 </w:t>
      </w:r>
      <w:r>
        <w:rPr>
          <w:spacing w:val="2"/>
          <w:sz w:val="32"/>
          <w:szCs w:val="32"/>
        </w:rPr>
        <w:t>救孤、济困”的发行宗旨。主要用于资助为老年人、残疾人、</w:t>
      </w:r>
      <w:r>
        <w:rPr>
          <w:spacing w:val="14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儿童等特殊群体提供服务的社会福利项目，以</w:t>
      </w:r>
      <w:r>
        <w:rPr>
          <w:spacing w:val="3"/>
          <w:sz w:val="32"/>
          <w:szCs w:val="32"/>
        </w:rPr>
        <w:t>及符合宗旨的其</w:t>
      </w:r>
      <w:r>
        <w:rPr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他社会公益项目。其中老年人福利类项目预算总</w:t>
      </w:r>
      <w:r>
        <w:rPr>
          <w:spacing w:val="3"/>
          <w:sz w:val="32"/>
          <w:szCs w:val="32"/>
        </w:rPr>
        <w:t>额不得低于项</w:t>
      </w:r>
      <w:r>
        <w:rPr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目资金总额的55%</w:t>
      </w:r>
      <w:r>
        <w:rPr>
          <w:rFonts w:hint="eastAsia"/>
          <w:spacing w:val="5"/>
          <w:sz w:val="32"/>
          <w:szCs w:val="32"/>
          <w:lang w:eastAsia="zh-CN"/>
        </w:rPr>
        <w:t>，</w:t>
      </w:r>
      <w:r>
        <w:rPr>
          <w:spacing w:val="5"/>
          <w:sz w:val="32"/>
          <w:szCs w:val="32"/>
        </w:rPr>
        <w:t>并随老年人口的增加，逐步提高资金投入比</w:t>
      </w:r>
    </w:p>
    <w:p w14:paraId="53F9FF4B">
      <w:pPr>
        <w:pStyle w:val="2"/>
        <w:spacing w:line="223" w:lineRule="auto"/>
        <w:rPr>
          <w:sz w:val="32"/>
          <w:szCs w:val="32"/>
        </w:rPr>
      </w:pPr>
      <w:r>
        <w:rPr>
          <w:spacing w:val="-16"/>
          <w:sz w:val="32"/>
          <w:szCs w:val="32"/>
        </w:rPr>
        <w:t>例。</w:t>
      </w:r>
    </w:p>
    <w:p w14:paraId="53BFD438">
      <w:pPr>
        <w:pStyle w:val="2"/>
        <w:spacing w:before="193" w:line="222" w:lineRule="auto"/>
        <w:ind w:left="659"/>
        <w:rPr>
          <w:sz w:val="32"/>
          <w:szCs w:val="32"/>
        </w:rPr>
      </w:pPr>
      <w:r>
        <w:rPr>
          <w:spacing w:val="-14"/>
          <w:sz w:val="32"/>
          <w:szCs w:val="32"/>
        </w:rPr>
        <w:t>具体支持范围包括：</w:t>
      </w:r>
    </w:p>
    <w:p w14:paraId="562D4B81">
      <w:pPr>
        <w:pStyle w:val="2"/>
        <w:spacing w:before="134" w:line="518" w:lineRule="exact"/>
        <w:ind w:left="770"/>
        <w:rPr>
          <w:sz w:val="32"/>
          <w:szCs w:val="32"/>
        </w:rPr>
      </w:pPr>
      <w:r>
        <w:rPr>
          <w:spacing w:val="13"/>
          <w:position w:val="14"/>
          <w:sz w:val="32"/>
          <w:szCs w:val="32"/>
        </w:rPr>
        <w:t>(一)老年人福利项目：包括老年人社会福利设施建设</w:t>
      </w:r>
    </w:p>
    <w:p w14:paraId="6CC74E30">
      <w:pPr>
        <w:pStyle w:val="2"/>
        <w:spacing w:before="1" w:line="220" w:lineRule="auto"/>
        <w:rPr>
          <w:sz w:val="32"/>
          <w:szCs w:val="32"/>
        </w:rPr>
      </w:pPr>
      <w:r>
        <w:rPr>
          <w:spacing w:val="-13"/>
          <w:sz w:val="32"/>
          <w:szCs w:val="32"/>
        </w:rPr>
        <w:t>养老服务等；</w:t>
      </w:r>
    </w:p>
    <w:p w14:paraId="647056DE">
      <w:pPr>
        <w:pStyle w:val="2"/>
        <w:spacing w:before="140" w:line="530" w:lineRule="exact"/>
        <w:ind w:right="25"/>
        <w:jc w:val="right"/>
        <w:rPr>
          <w:sz w:val="32"/>
          <w:szCs w:val="32"/>
        </w:rPr>
      </w:pPr>
      <w:r>
        <w:rPr>
          <w:spacing w:val="12"/>
          <w:position w:val="15"/>
          <w:sz w:val="32"/>
          <w:szCs w:val="32"/>
        </w:rPr>
        <w:t>(二)残疾人福利项目：残疾人康复服务，精神卫生福利</w:t>
      </w:r>
    </w:p>
    <w:p w14:paraId="030CFACD">
      <w:pPr>
        <w:pStyle w:val="2"/>
        <w:spacing w:line="222" w:lineRule="auto"/>
        <w:rPr>
          <w:sz w:val="32"/>
          <w:szCs w:val="32"/>
        </w:rPr>
      </w:pPr>
      <w:r>
        <w:rPr>
          <w:spacing w:val="-13"/>
          <w:sz w:val="32"/>
          <w:szCs w:val="32"/>
        </w:rPr>
        <w:t>设施建设等；</w:t>
      </w:r>
    </w:p>
    <w:p w14:paraId="79D18E3D">
      <w:pPr>
        <w:pStyle w:val="2"/>
        <w:spacing w:before="133" w:line="512" w:lineRule="exact"/>
        <w:ind w:right="36"/>
        <w:jc w:val="right"/>
        <w:rPr>
          <w:sz w:val="32"/>
          <w:szCs w:val="32"/>
        </w:rPr>
      </w:pPr>
      <w:r>
        <w:rPr>
          <w:spacing w:val="12"/>
          <w:position w:val="13"/>
          <w:sz w:val="32"/>
          <w:szCs w:val="32"/>
        </w:rPr>
        <w:t>(三)儿童福利项目：包括儿童福利设施和未成年人保护</w:t>
      </w:r>
    </w:p>
    <w:p w14:paraId="739A3F77">
      <w:pPr>
        <w:pStyle w:val="2"/>
        <w:spacing w:before="1" w:line="222" w:lineRule="auto"/>
        <w:rPr>
          <w:sz w:val="32"/>
          <w:szCs w:val="32"/>
        </w:rPr>
      </w:pPr>
      <w:r>
        <w:rPr>
          <w:spacing w:val="-6"/>
          <w:sz w:val="32"/>
          <w:szCs w:val="32"/>
        </w:rPr>
        <w:t>设施建设，孤残儿童康复服务等；</w:t>
      </w:r>
    </w:p>
    <w:p w14:paraId="2616F656">
      <w:pPr>
        <w:pStyle w:val="2"/>
        <w:spacing w:before="133" w:line="535" w:lineRule="exact"/>
        <w:ind w:left="770"/>
        <w:rPr>
          <w:sz w:val="32"/>
          <w:szCs w:val="32"/>
        </w:rPr>
      </w:pPr>
      <w:r>
        <w:rPr>
          <w:spacing w:val="13"/>
          <w:position w:val="15"/>
          <w:sz w:val="32"/>
          <w:szCs w:val="32"/>
        </w:rPr>
        <w:t>(四)其他社会公益项目：包括流浪乞讨人员救助设施</w:t>
      </w:r>
    </w:p>
    <w:p w14:paraId="63BD3DE2">
      <w:pPr>
        <w:pStyle w:val="2"/>
        <w:spacing w:before="1" w:line="218" w:lineRule="auto"/>
        <w:rPr>
          <w:sz w:val="32"/>
          <w:szCs w:val="32"/>
        </w:rPr>
      </w:pPr>
      <w:r>
        <w:rPr>
          <w:spacing w:val="-4"/>
          <w:sz w:val="32"/>
          <w:szCs w:val="32"/>
        </w:rPr>
        <w:t>殡葬服务设施建设以及其他符合彩票公益金资助范围的项目。</w:t>
      </w:r>
    </w:p>
    <w:p w14:paraId="4DDBBB37">
      <w:pPr>
        <w:pStyle w:val="2"/>
        <w:spacing w:before="131" w:line="224" w:lineRule="auto"/>
        <w:ind w:left="664"/>
        <w:rPr>
          <w:sz w:val="32"/>
          <w:szCs w:val="32"/>
        </w:rPr>
      </w:pPr>
      <w:r>
        <w:rPr>
          <w:rFonts w:ascii="楷体" w:hAnsi="楷体" w:eastAsia="楷体" w:cs="楷体"/>
          <w:b/>
          <w:bCs/>
          <w:spacing w:val="-8"/>
          <w:sz w:val="32"/>
          <w:szCs w:val="32"/>
        </w:rPr>
        <w:t>第六条</w:t>
      </w:r>
      <w:r>
        <w:rPr>
          <w:rFonts w:ascii="楷体" w:hAnsi="楷体" w:eastAsia="楷体" w:cs="楷体"/>
          <w:spacing w:val="-8"/>
          <w:sz w:val="32"/>
          <w:szCs w:val="32"/>
        </w:rPr>
        <w:t xml:space="preserve">  </w:t>
      </w:r>
      <w:r>
        <w:rPr>
          <w:spacing w:val="-8"/>
          <w:sz w:val="32"/>
          <w:szCs w:val="32"/>
        </w:rPr>
        <w:t>福彩公益金不得用于：</w:t>
      </w:r>
    </w:p>
    <w:p w14:paraId="2040BCA4">
      <w:pPr>
        <w:pStyle w:val="2"/>
        <w:spacing w:before="146" w:line="512" w:lineRule="exact"/>
        <w:ind w:right="3"/>
        <w:jc w:val="right"/>
        <w:rPr>
          <w:sz w:val="32"/>
          <w:szCs w:val="32"/>
        </w:rPr>
      </w:pPr>
      <w:r>
        <w:rPr>
          <w:spacing w:val="13"/>
          <w:position w:val="13"/>
          <w:sz w:val="32"/>
          <w:szCs w:val="32"/>
        </w:rPr>
        <w:t>(一)行政事业单位的基本支出，如基本工资、津贴、补</w:t>
      </w:r>
    </w:p>
    <w:p w14:paraId="5E2422AA">
      <w:pPr>
        <w:pStyle w:val="2"/>
        <w:spacing w:before="1" w:line="222" w:lineRule="auto"/>
        <w:rPr>
          <w:sz w:val="32"/>
          <w:szCs w:val="32"/>
        </w:rPr>
      </w:pPr>
      <w:r>
        <w:rPr>
          <w:spacing w:val="-5"/>
          <w:sz w:val="32"/>
          <w:szCs w:val="32"/>
        </w:rPr>
        <w:t>贴、奖金、绩效工资等人员支出及水电费等日常公用支出；</w:t>
      </w:r>
    </w:p>
    <w:p w14:paraId="4A2692EE">
      <w:pPr>
        <w:pStyle w:val="2"/>
        <w:spacing w:before="119" w:line="515" w:lineRule="exact"/>
        <w:ind w:right="39"/>
        <w:jc w:val="right"/>
        <w:rPr>
          <w:sz w:val="32"/>
          <w:szCs w:val="32"/>
        </w:rPr>
      </w:pPr>
      <w:r>
        <w:rPr>
          <w:spacing w:val="11"/>
          <w:position w:val="14"/>
          <w:sz w:val="32"/>
          <w:szCs w:val="32"/>
        </w:rPr>
        <w:t>(二)因公出国(境)、公务接待、公务用车购置及运行等</w:t>
      </w:r>
    </w:p>
    <w:p w14:paraId="3BD0E2E5">
      <w:pPr>
        <w:pStyle w:val="2"/>
        <w:spacing w:before="1" w:line="222" w:lineRule="auto"/>
        <w:rPr>
          <w:sz w:val="32"/>
          <w:szCs w:val="32"/>
        </w:rPr>
      </w:pPr>
      <w:r>
        <w:rPr>
          <w:spacing w:val="-16"/>
          <w:sz w:val="32"/>
          <w:szCs w:val="32"/>
        </w:rPr>
        <w:t>支出；</w:t>
      </w:r>
    </w:p>
    <w:p w14:paraId="5927364C">
      <w:pPr>
        <w:pStyle w:val="2"/>
        <w:spacing w:before="123" w:line="222" w:lineRule="auto"/>
        <w:ind w:left="770"/>
        <w:rPr>
          <w:sz w:val="32"/>
          <w:szCs w:val="32"/>
        </w:rPr>
      </w:pPr>
      <w:r>
        <w:rPr>
          <w:spacing w:val="1"/>
          <w:sz w:val="32"/>
          <w:szCs w:val="32"/>
        </w:rPr>
        <w:t>(三)对外投资和以营利为目的的相关支出；</w:t>
      </w:r>
    </w:p>
    <w:p w14:paraId="7189BDC5">
      <w:pPr>
        <w:spacing w:line="222" w:lineRule="auto"/>
        <w:rPr>
          <w:sz w:val="32"/>
          <w:szCs w:val="32"/>
        </w:rPr>
        <w:sectPr>
          <w:footerReference r:id="rId8" w:type="default"/>
          <w:pgSz w:w="11900" w:h="16820"/>
          <w:pgMar w:top="1429" w:right="1540" w:bottom="1564" w:left="1569" w:header="0" w:footer="1247" w:gutter="0"/>
          <w:cols w:space="720" w:num="1"/>
        </w:sectPr>
      </w:pPr>
    </w:p>
    <w:p w14:paraId="68A74E88">
      <w:pPr>
        <w:spacing w:line="257" w:lineRule="auto"/>
        <w:rPr>
          <w:rFonts w:ascii="Arial"/>
          <w:sz w:val="21"/>
        </w:rPr>
      </w:pPr>
    </w:p>
    <w:p w14:paraId="0F5371A1">
      <w:pPr>
        <w:spacing w:line="257" w:lineRule="auto"/>
        <w:rPr>
          <w:rFonts w:ascii="Arial"/>
          <w:sz w:val="21"/>
        </w:rPr>
      </w:pPr>
    </w:p>
    <w:p w14:paraId="38393E53">
      <w:pPr>
        <w:pStyle w:val="2"/>
        <w:spacing w:before="101" w:line="222" w:lineRule="auto"/>
        <w:ind w:left="779"/>
        <w:rPr>
          <w:sz w:val="31"/>
          <w:szCs w:val="31"/>
        </w:rPr>
      </w:pPr>
      <w:r>
        <w:rPr>
          <w:spacing w:val="13"/>
          <w:sz w:val="31"/>
          <w:szCs w:val="31"/>
        </w:rPr>
        <w:t>(四)建设楼堂馆所及职工住宅；</w:t>
      </w:r>
    </w:p>
    <w:p w14:paraId="09373266">
      <w:pPr>
        <w:pStyle w:val="2"/>
        <w:spacing w:before="138" w:line="543" w:lineRule="exact"/>
        <w:ind w:right="64"/>
        <w:jc w:val="right"/>
        <w:rPr>
          <w:sz w:val="31"/>
          <w:szCs w:val="31"/>
        </w:rPr>
      </w:pPr>
      <w:r>
        <w:rPr>
          <w:spacing w:val="22"/>
          <w:position w:val="17"/>
          <w:sz w:val="31"/>
          <w:szCs w:val="31"/>
        </w:rPr>
        <w:t>(五)与社会公益事业无关的支出，以及其他国家规定禁</w:t>
      </w:r>
    </w:p>
    <w:p w14:paraId="010FFC31">
      <w:pPr>
        <w:pStyle w:val="2"/>
        <w:spacing w:before="1" w:line="223" w:lineRule="auto"/>
        <w:rPr>
          <w:sz w:val="31"/>
          <w:szCs w:val="31"/>
        </w:rPr>
      </w:pPr>
      <w:r>
        <w:rPr>
          <w:spacing w:val="-4"/>
          <w:sz w:val="31"/>
          <w:szCs w:val="31"/>
        </w:rPr>
        <w:t>止列支的支出。</w:t>
      </w:r>
    </w:p>
    <w:p w14:paraId="2497ED4A">
      <w:pPr>
        <w:spacing w:before="278" w:line="222" w:lineRule="auto"/>
        <w:ind w:left="312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2"/>
          <w:sz w:val="31"/>
          <w:szCs w:val="31"/>
        </w:rPr>
        <w:t>第三章</w:t>
      </w:r>
      <w:r>
        <w:rPr>
          <w:rFonts w:ascii="黑体" w:hAnsi="黑体" w:eastAsia="黑体" w:cs="黑体"/>
          <w:spacing w:val="16"/>
          <w:sz w:val="31"/>
          <w:szCs w:val="31"/>
        </w:rPr>
        <w:t xml:space="preserve">  </w:t>
      </w:r>
      <w:r>
        <w:rPr>
          <w:rFonts w:ascii="黑体" w:hAnsi="黑体" w:eastAsia="黑体" w:cs="黑体"/>
          <w:b/>
          <w:bCs/>
          <w:spacing w:val="-2"/>
          <w:sz w:val="31"/>
          <w:szCs w:val="31"/>
        </w:rPr>
        <w:t>资金管理</w:t>
      </w:r>
    </w:p>
    <w:p w14:paraId="38F619EB">
      <w:pPr>
        <w:pStyle w:val="2"/>
        <w:spacing w:before="295" w:line="316" w:lineRule="auto"/>
        <w:ind w:right="63" w:firstLine="664"/>
        <w:rPr>
          <w:sz w:val="31"/>
          <w:szCs w:val="31"/>
        </w:rPr>
      </w:pPr>
      <w:r>
        <w:rPr>
          <w:rFonts w:ascii="楷体" w:hAnsi="楷体" w:eastAsia="楷体" w:cs="楷体"/>
          <w:b/>
          <w:bCs/>
          <w:spacing w:val="8"/>
          <w:sz w:val="31"/>
          <w:szCs w:val="31"/>
        </w:rPr>
        <w:t>第七条</w:t>
      </w:r>
      <w:r>
        <w:rPr>
          <w:rFonts w:ascii="楷体" w:hAnsi="楷体" w:eastAsia="楷体" w:cs="楷体"/>
          <w:spacing w:val="156"/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福彩公益金分配坚持“量入为出”,根据福彩公益</w:t>
      </w:r>
      <w:r>
        <w:rPr>
          <w:sz w:val="31"/>
          <w:szCs w:val="31"/>
        </w:rPr>
        <w:t xml:space="preserve"> </w:t>
      </w:r>
      <w:r>
        <w:rPr>
          <w:spacing w:val="15"/>
          <w:sz w:val="31"/>
          <w:szCs w:val="31"/>
        </w:rPr>
        <w:t>金上级下达资金规模，结合当年实际，根据各相关单位各地人</w:t>
      </w:r>
      <w:r>
        <w:rPr>
          <w:spacing w:val="3"/>
          <w:sz w:val="31"/>
          <w:szCs w:val="31"/>
        </w:rPr>
        <w:t xml:space="preserve"> </w:t>
      </w:r>
      <w:r>
        <w:rPr>
          <w:spacing w:val="12"/>
          <w:sz w:val="31"/>
          <w:szCs w:val="31"/>
        </w:rPr>
        <w:t>口总量、救助和服务对象数量、地方财力、地方彩票公益金贡</w:t>
      </w:r>
    </w:p>
    <w:p w14:paraId="534E6F6E">
      <w:pPr>
        <w:pStyle w:val="2"/>
        <w:spacing w:line="220" w:lineRule="auto"/>
        <w:rPr>
          <w:sz w:val="31"/>
          <w:szCs w:val="31"/>
        </w:rPr>
      </w:pPr>
      <w:r>
        <w:rPr>
          <w:spacing w:val="7"/>
          <w:sz w:val="31"/>
          <w:szCs w:val="31"/>
        </w:rPr>
        <w:t>献情况、机构基数、区域特征、工作绩效等情况进行分配。</w:t>
      </w:r>
    </w:p>
    <w:p w14:paraId="3E21F659">
      <w:pPr>
        <w:pStyle w:val="2"/>
        <w:spacing w:before="125" w:line="311" w:lineRule="auto"/>
        <w:ind w:right="58" w:firstLine="664"/>
        <w:rPr>
          <w:sz w:val="31"/>
          <w:szCs w:val="31"/>
        </w:rPr>
      </w:pPr>
      <w:r>
        <w:rPr>
          <w:rFonts w:ascii="楷体" w:hAnsi="楷体" w:eastAsia="楷体" w:cs="楷体"/>
          <w:b/>
          <w:bCs/>
          <w:spacing w:val="14"/>
          <w:sz w:val="31"/>
          <w:szCs w:val="31"/>
        </w:rPr>
        <w:t>第八条</w:t>
      </w:r>
      <w:r>
        <w:rPr>
          <w:rFonts w:ascii="楷体" w:hAnsi="楷体" w:eastAsia="楷体" w:cs="楷体"/>
          <w:spacing w:val="10"/>
          <w:sz w:val="31"/>
          <w:szCs w:val="31"/>
        </w:rPr>
        <w:t xml:space="preserve">  </w:t>
      </w:r>
      <w:r>
        <w:rPr>
          <w:spacing w:val="14"/>
          <w:sz w:val="31"/>
          <w:szCs w:val="31"/>
        </w:rPr>
        <w:t>福彩公益金的分配，由民政局提出意见，经财政</w:t>
      </w:r>
      <w:r>
        <w:rPr>
          <w:spacing w:val="1"/>
          <w:sz w:val="31"/>
          <w:szCs w:val="31"/>
        </w:rPr>
        <w:t xml:space="preserve"> </w:t>
      </w:r>
      <w:r>
        <w:rPr>
          <w:spacing w:val="28"/>
          <w:sz w:val="31"/>
          <w:szCs w:val="31"/>
        </w:rPr>
        <w:t>局审核下达；单个项目额度在20万-100万元之间(含100万</w:t>
      </w:r>
      <w:r>
        <w:rPr>
          <w:spacing w:val="7"/>
          <w:sz w:val="31"/>
          <w:szCs w:val="31"/>
        </w:rPr>
        <w:t xml:space="preserve"> </w:t>
      </w:r>
      <w:r>
        <w:rPr>
          <w:spacing w:val="21"/>
          <w:sz w:val="31"/>
          <w:szCs w:val="31"/>
        </w:rPr>
        <w:t>元)的，由民政局提出意见，经财政局审核，报分管民政工作</w:t>
      </w:r>
      <w:r>
        <w:rPr>
          <w:spacing w:val="3"/>
          <w:sz w:val="31"/>
          <w:szCs w:val="31"/>
        </w:rPr>
        <w:t xml:space="preserve"> </w:t>
      </w:r>
      <w:r>
        <w:rPr>
          <w:spacing w:val="12"/>
          <w:sz w:val="31"/>
          <w:szCs w:val="31"/>
        </w:rPr>
        <w:t>副区长审定后下达；单个项目额度超过100万元的，由民政局</w:t>
      </w:r>
    </w:p>
    <w:p w14:paraId="19D3ED99">
      <w:pPr>
        <w:pStyle w:val="2"/>
        <w:spacing w:line="222" w:lineRule="auto"/>
        <w:rPr>
          <w:sz w:val="31"/>
          <w:szCs w:val="31"/>
        </w:rPr>
      </w:pPr>
      <w:r>
        <w:rPr>
          <w:spacing w:val="6"/>
          <w:sz w:val="31"/>
          <w:szCs w:val="31"/>
        </w:rPr>
        <w:t>提出意见，经财政局审核，按规定报区政府审定后下达。</w:t>
      </w:r>
    </w:p>
    <w:p w14:paraId="64AF6040">
      <w:pPr>
        <w:pStyle w:val="2"/>
        <w:spacing w:before="141" w:line="316" w:lineRule="auto"/>
        <w:ind w:right="48" w:firstLine="664"/>
        <w:rPr>
          <w:sz w:val="31"/>
          <w:szCs w:val="31"/>
        </w:rPr>
      </w:pPr>
      <w:r>
        <w:rPr>
          <w:rFonts w:ascii="楷体" w:hAnsi="楷体" w:eastAsia="楷体" w:cs="楷体"/>
          <w:b/>
          <w:bCs/>
          <w:spacing w:val="15"/>
          <w:sz w:val="31"/>
          <w:szCs w:val="31"/>
        </w:rPr>
        <w:t>第九条</w:t>
      </w:r>
      <w:r>
        <w:rPr>
          <w:rFonts w:ascii="楷体" w:hAnsi="楷体" w:eastAsia="楷体" w:cs="楷体"/>
          <w:spacing w:val="6"/>
          <w:sz w:val="31"/>
          <w:szCs w:val="31"/>
        </w:rPr>
        <w:t xml:space="preserve">  </w:t>
      </w:r>
      <w:r>
        <w:rPr>
          <w:spacing w:val="15"/>
          <w:sz w:val="31"/>
          <w:szCs w:val="31"/>
        </w:rPr>
        <w:t>福彩公益金在下达前，应按照有关规定，提</w:t>
      </w:r>
      <w:r>
        <w:rPr>
          <w:spacing w:val="14"/>
          <w:sz w:val="31"/>
          <w:szCs w:val="31"/>
        </w:rPr>
        <w:t>前启</w:t>
      </w:r>
      <w:r>
        <w:rPr>
          <w:spacing w:val="1"/>
          <w:sz w:val="31"/>
          <w:szCs w:val="31"/>
        </w:rPr>
        <w:t xml:space="preserve"> </w:t>
      </w:r>
      <w:r>
        <w:rPr>
          <w:spacing w:val="14"/>
          <w:sz w:val="31"/>
          <w:szCs w:val="31"/>
        </w:rPr>
        <w:t>动资金研究分配工作。财政局、民政局根据各相关单位上报项</w:t>
      </w:r>
      <w:r>
        <w:rPr>
          <w:spacing w:val="13"/>
          <w:sz w:val="31"/>
          <w:szCs w:val="31"/>
        </w:rPr>
        <w:t xml:space="preserve"> </w:t>
      </w:r>
      <w:r>
        <w:rPr>
          <w:sz w:val="31"/>
          <w:szCs w:val="31"/>
        </w:rPr>
        <w:t>目情况，  根据资金指标规模，联合下达资金指标文件。民政部</w:t>
      </w:r>
    </w:p>
    <w:p w14:paraId="28213ADF">
      <w:pPr>
        <w:pStyle w:val="2"/>
        <w:spacing w:before="1" w:line="220" w:lineRule="auto"/>
        <w:rPr>
          <w:sz w:val="31"/>
          <w:szCs w:val="31"/>
        </w:rPr>
      </w:pPr>
      <w:r>
        <w:rPr>
          <w:spacing w:val="6"/>
          <w:sz w:val="31"/>
          <w:szCs w:val="31"/>
        </w:rPr>
        <w:t>门负责做好项目的组织实施、管理监督等工</w:t>
      </w:r>
      <w:r>
        <w:rPr>
          <w:spacing w:val="5"/>
          <w:sz w:val="31"/>
          <w:szCs w:val="31"/>
        </w:rPr>
        <w:t>作。</w:t>
      </w:r>
    </w:p>
    <w:p w14:paraId="0DFC6660">
      <w:pPr>
        <w:pStyle w:val="2"/>
        <w:spacing w:before="147" w:line="530" w:lineRule="exact"/>
        <w:ind w:right="43"/>
        <w:jc w:val="right"/>
        <w:rPr>
          <w:sz w:val="31"/>
          <w:szCs w:val="31"/>
        </w:rPr>
      </w:pPr>
      <w:r>
        <w:rPr>
          <w:rFonts w:ascii="楷体" w:hAnsi="楷体" w:eastAsia="楷体" w:cs="楷体"/>
          <w:b/>
          <w:bCs/>
          <w:spacing w:val="15"/>
          <w:position w:val="15"/>
          <w:sz w:val="31"/>
          <w:szCs w:val="31"/>
        </w:rPr>
        <w:t>第十条</w:t>
      </w:r>
      <w:r>
        <w:rPr>
          <w:rFonts w:ascii="楷体" w:hAnsi="楷体" w:eastAsia="楷体" w:cs="楷体"/>
          <w:spacing w:val="8"/>
          <w:position w:val="15"/>
          <w:sz w:val="31"/>
          <w:szCs w:val="31"/>
        </w:rPr>
        <w:t xml:space="preserve">  </w:t>
      </w:r>
      <w:r>
        <w:rPr>
          <w:spacing w:val="15"/>
          <w:position w:val="15"/>
          <w:sz w:val="31"/>
          <w:szCs w:val="31"/>
        </w:rPr>
        <w:t>福彩公益金管理不得按照部门内设机构切块分配</w:t>
      </w:r>
    </w:p>
    <w:p w14:paraId="29F64A48">
      <w:pPr>
        <w:pStyle w:val="2"/>
        <w:spacing w:before="2" w:line="218" w:lineRule="auto"/>
        <w:rPr>
          <w:sz w:val="31"/>
          <w:szCs w:val="31"/>
        </w:rPr>
      </w:pPr>
      <w:r>
        <w:rPr>
          <w:spacing w:val="6"/>
          <w:sz w:val="31"/>
          <w:szCs w:val="31"/>
        </w:rPr>
        <w:t>资金，不得由财政以外的其他部门和单位转拨资金。</w:t>
      </w:r>
    </w:p>
    <w:p w14:paraId="27A40BB6">
      <w:pPr>
        <w:pStyle w:val="2"/>
        <w:spacing w:before="140" w:line="311" w:lineRule="auto"/>
        <w:ind w:firstLine="664"/>
        <w:rPr>
          <w:sz w:val="31"/>
          <w:szCs w:val="31"/>
        </w:rPr>
      </w:pPr>
      <w:r>
        <w:rPr>
          <w:rFonts w:ascii="楷体" w:hAnsi="楷体" w:eastAsia="楷体" w:cs="楷体"/>
          <w:b/>
          <w:bCs/>
          <w:spacing w:val="27"/>
          <w:sz w:val="31"/>
          <w:szCs w:val="31"/>
        </w:rPr>
        <w:t>第十一条</w:t>
      </w:r>
      <w:r>
        <w:rPr>
          <w:rFonts w:ascii="楷体" w:hAnsi="楷体" w:eastAsia="楷体" w:cs="楷体"/>
          <w:spacing w:val="27"/>
          <w:sz w:val="31"/>
          <w:szCs w:val="31"/>
        </w:rPr>
        <w:t xml:space="preserve">  </w:t>
      </w:r>
      <w:r>
        <w:rPr>
          <w:spacing w:val="27"/>
          <w:sz w:val="31"/>
          <w:szCs w:val="31"/>
        </w:rPr>
        <w:t>福彩公益金支持的项目应全部纳入项目库管</w:t>
      </w:r>
      <w:r>
        <w:rPr>
          <w:sz w:val="31"/>
          <w:szCs w:val="31"/>
        </w:rPr>
        <w:t xml:space="preserve"> </w:t>
      </w:r>
      <w:r>
        <w:rPr>
          <w:spacing w:val="15"/>
          <w:sz w:val="31"/>
          <w:szCs w:val="31"/>
        </w:rPr>
        <w:t>理，对没有进入项目库的项目原则上不予安排资金。各级主管</w:t>
      </w:r>
      <w:r>
        <w:rPr>
          <w:spacing w:val="17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部门应规划好拟支持项目范围、数量、规模等，突出支</w:t>
      </w:r>
      <w:r>
        <w:rPr>
          <w:spacing w:val="5"/>
          <w:sz w:val="31"/>
          <w:szCs w:val="31"/>
        </w:rPr>
        <w:t>持重点，</w:t>
      </w:r>
      <w:r>
        <w:rPr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防止“撒胡椒面”,杜绝“小、散、乱”。分期投入的重点项目</w:t>
      </w:r>
    </w:p>
    <w:p w14:paraId="0A40D041">
      <w:pPr>
        <w:pStyle w:val="2"/>
        <w:spacing w:line="222" w:lineRule="auto"/>
        <w:rPr>
          <w:sz w:val="31"/>
          <w:szCs w:val="31"/>
        </w:rPr>
      </w:pPr>
      <w:r>
        <w:rPr>
          <w:spacing w:val="6"/>
          <w:sz w:val="31"/>
          <w:szCs w:val="31"/>
        </w:rPr>
        <w:t>应做好资金整体投入计划，有序推进，严禁资金化整为零。</w:t>
      </w:r>
    </w:p>
    <w:p w14:paraId="5369D9F9">
      <w:pPr>
        <w:spacing w:line="222" w:lineRule="auto"/>
        <w:rPr>
          <w:sz w:val="31"/>
          <w:szCs w:val="31"/>
        </w:rPr>
        <w:sectPr>
          <w:footerReference r:id="rId9" w:type="default"/>
          <w:pgSz w:w="11900" w:h="16820"/>
          <w:pgMar w:top="1429" w:right="1644" w:bottom="1562" w:left="1410" w:header="0" w:footer="1262" w:gutter="0"/>
          <w:cols w:space="720" w:num="1"/>
        </w:sectPr>
      </w:pPr>
    </w:p>
    <w:p w14:paraId="03570400">
      <w:pPr>
        <w:spacing w:line="308" w:lineRule="auto"/>
        <w:rPr>
          <w:rFonts w:ascii="Arial"/>
          <w:sz w:val="21"/>
        </w:rPr>
      </w:pPr>
    </w:p>
    <w:p w14:paraId="6B8BBC0F">
      <w:pPr>
        <w:spacing w:line="308" w:lineRule="auto"/>
        <w:rPr>
          <w:rFonts w:ascii="Arial"/>
          <w:sz w:val="21"/>
        </w:rPr>
      </w:pPr>
    </w:p>
    <w:p w14:paraId="490C2821">
      <w:pPr>
        <w:pStyle w:val="2"/>
        <w:spacing w:before="104" w:line="296" w:lineRule="auto"/>
        <w:ind w:right="76" w:firstLine="664"/>
        <w:jc w:val="both"/>
        <w:rPr>
          <w:sz w:val="32"/>
          <w:szCs w:val="32"/>
        </w:rPr>
      </w:pPr>
      <w:r>
        <w:rPr>
          <w:rFonts w:ascii="楷体" w:hAnsi="楷体" w:eastAsia="楷体" w:cs="楷体"/>
          <w:b/>
          <w:bCs/>
          <w:spacing w:val="4"/>
          <w:sz w:val="32"/>
          <w:szCs w:val="32"/>
        </w:rPr>
        <w:t>第十二条</w:t>
      </w:r>
      <w:r>
        <w:rPr>
          <w:rFonts w:ascii="楷体" w:hAnsi="楷体" w:eastAsia="楷体" w:cs="楷体"/>
          <w:spacing w:val="158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财政、民政部门在安排福彩公益金项目时，应</w:t>
      </w:r>
      <w:r>
        <w:rPr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积极探索政府购买服务方式，对符合政府购买服务条件的，应</w:t>
      </w:r>
    </w:p>
    <w:p w14:paraId="716767B3">
      <w:pPr>
        <w:pStyle w:val="2"/>
        <w:spacing w:line="222" w:lineRule="auto"/>
        <w:rPr>
          <w:sz w:val="32"/>
          <w:szCs w:val="32"/>
        </w:rPr>
      </w:pPr>
      <w:r>
        <w:rPr>
          <w:spacing w:val="-8"/>
          <w:sz w:val="32"/>
          <w:szCs w:val="32"/>
        </w:rPr>
        <w:t>采取政府购买服务方式实施。</w:t>
      </w:r>
    </w:p>
    <w:p w14:paraId="62BF283F">
      <w:pPr>
        <w:pStyle w:val="2"/>
        <w:spacing w:before="128" w:line="296" w:lineRule="auto"/>
        <w:ind w:right="63" w:firstLine="664"/>
        <w:jc w:val="both"/>
        <w:rPr>
          <w:sz w:val="32"/>
          <w:szCs w:val="32"/>
        </w:rPr>
      </w:pPr>
      <w:r>
        <w:rPr>
          <w:rFonts w:ascii="楷体" w:hAnsi="楷体" w:eastAsia="楷体" w:cs="楷体"/>
          <w:b/>
          <w:bCs/>
          <w:spacing w:val="4"/>
          <w:sz w:val="32"/>
          <w:szCs w:val="32"/>
        </w:rPr>
        <w:t>第十三条</w:t>
      </w:r>
      <w:r>
        <w:rPr>
          <w:rFonts w:ascii="楷体" w:hAnsi="楷体" w:eastAsia="楷体" w:cs="楷体"/>
          <w:spacing w:val="171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财政、民政部门应当严格按照资金支持范围执</w:t>
      </w:r>
      <w:r>
        <w:rPr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行，在执行过程中发生项目变更、终止，确需调剂的，应当按</w:t>
      </w:r>
    </w:p>
    <w:p w14:paraId="4280D1A6">
      <w:pPr>
        <w:pStyle w:val="2"/>
        <w:spacing w:line="222" w:lineRule="auto"/>
        <w:rPr>
          <w:sz w:val="32"/>
          <w:szCs w:val="32"/>
        </w:rPr>
      </w:pPr>
      <w:r>
        <w:rPr>
          <w:spacing w:val="-11"/>
          <w:sz w:val="32"/>
          <w:szCs w:val="32"/>
        </w:rPr>
        <w:t>程序报批。</w:t>
      </w:r>
    </w:p>
    <w:p w14:paraId="52E69D1A">
      <w:pPr>
        <w:pStyle w:val="2"/>
        <w:spacing w:before="149" w:line="295" w:lineRule="auto"/>
        <w:ind w:firstLine="664"/>
        <w:jc w:val="both"/>
        <w:rPr>
          <w:sz w:val="32"/>
          <w:szCs w:val="32"/>
        </w:rPr>
      </w:pPr>
      <w:r>
        <w:rPr>
          <w:rFonts w:ascii="楷体" w:hAnsi="楷体" w:eastAsia="楷体" w:cs="楷体"/>
          <w:b/>
          <w:bCs/>
          <w:spacing w:val="2"/>
          <w:sz w:val="32"/>
          <w:szCs w:val="32"/>
        </w:rPr>
        <w:t>第十四条</w:t>
      </w:r>
      <w:r>
        <w:rPr>
          <w:rFonts w:ascii="楷体" w:hAnsi="楷体" w:eastAsia="楷体" w:cs="楷体"/>
          <w:spacing w:val="2"/>
          <w:sz w:val="32"/>
          <w:szCs w:val="32"/>
        </w:rPr>
        <w:t xml:space="preserve">  </w:t>
      </w:r>
      <w:r>
        <w:rPr>
          <w:spacing w:val="2"/>
          <w:sz w:val="32"/>
          <w:szCs w:val="32"/>
        </w:rPr>
        <w:t>福彩公益金支付按照财政国库管理制度有关规</w:t>
      </w:r>
      <w:r>
        <w:rPr>
          <w:spacing w:val="12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定执行。福彩公益金使用过程中涉及政府采购的，按照政府采</w:t>
      </w:r>
      <w:r>
        <w:rPr>
          <w:spacing w:val="18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购有关规定执行；福彩公益金用于项目建设且达到限额以上的，</w:t>
      </w:r>
    </w:p>
    <w:p w14:paraId="5382DCC0">
      <w:pPr>
        <w:pStyle w:val="2"/>
        <w:spacing w:before="2" w:line="221" w:lineRule="auto"/>
        <w:rPr>
          <w:sz w:val="32"/>
          <w:szCs w:val="32"/>
        </w:rPr>
      </w:pPr>
      <w:r>
        <w:rPr>
          <w:spacing w:val="-5"/>
          <w:sz w:val="32"/>
          <w:szCs w:val="32"/>
        </w:rPr>
        <w:t>按照财政评审相关要求实施。</w:t>
      </w:r>
    </w:p>
    <w:p w14:paraId="504467AB">
      <w:pPr>
        <w:pStyle w:val="2"/>
        <w:spacing w:before="160" w:line="530" w:lineRule="exact"/>
        <w:jc w:val="right"/>
        <w:rPr>
          <w:sz w:val="32"/>
          <w:szCs w:val="32"/>
        </w:rPr>
      </w:pPr>
      <w:r>
        <w:rPr>
          <w:rFonts w:ascii="楷体" w:hAnsi="楷体" w:eastAsia="楷体" w:cs="楷体"/>
          <w:b/>
          <w:bCs/>
          <w:spacing w:val="-6"/>
          <w:position w:val="14"/>
          <w:sz w:val="32"/>
          <w:szCs w:val="32"/>
        </w:rPr>
        <w:t>第十五条</w:t>
      </w:r>
      <w:r>
        <w:rPr>
          <w:rFonts w:ascii="楷体" w:hAnsi="楷体" w:eastAsia="楷体" w:cs="楷体"/>
          <w:spacing w:val="159"/>
          <w:position w:val="14"/>
          <w:sz w:val="32"/>
          <w:szCs w:val="32"/>
        </w:rPr>
        <w:t xml:space="preserve"> </w:t>
      </w:r>
      <w:r>
        <w:rPr>
          <w:spacing w:val="-6"/>
          <w:position w:val="14"/>
          <w:sz w:val="32"/>
          <w:szCs w:val="32"/>
        </w:rPr>
        <w:t>财政部门、民政部门应当加强福彩公益金管理，</w:t>
      </w:r>
    </w:p>
    <w:p w14:paraId="2A36C847">
      <w:pPr>
        <w:pStyle w:val="2"/>
        <w:spacing w:before="2" w:line="218" w:lineRule="auto"/>
        <w:rPr>
          <w:sz w:val="32"/>
          <w:szCs w:val="32"/>
        </w:rPr>
      </w:pPr>
      <w:r>
        <w:rPr>
          <w:spacing w:val="-3"/>
          <w:sz w:val="32"/>
          <w:szCs w:val="32"/>
        </w:rPr>
        <w:t>加快执行进度，结余结转资金处理按预算管理</w:t>
      </w:r>
      <w:r>
        <w:rPr>
          <w:spacing w:val="-4"/>
          <w:sz w:val="32"/>
          <w:szCs w:val="32"/>
        </w:rPr>
        <w:t>有关规定执行。</w:t>
      </w:r>
    </w:p>
    <w:p w14:paraId="15C628BA">
      <w:pPr>
        <w:spacing w:before="292" w:line="221" w:lineRule="auto"/>
        <w:ind w:left="315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第四章</w:t>
      </w:r>
      <w:r>
        <w:rPr>
          <w:rFonts w:ascii="黑体" w:hAnsi="黑体" w:eastAsia="黑体" w:cs="黑体"/>
          <w:spacing w:val="-5"/>
          <w:sz w:val="32"/>
          <w:szCs w:val="32"/>
        </w:rPr>
        <w:t xml:space="preserve">  </w:t>
      </w: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绩效管理</w:t>
      </w:r>
    </w:p>
    <w:p w14:paraId="063B66B3">
      <w:pPr>
        <w:pStyle w:val="2"/>
        <w:spacing w:before="287" w:line="301" w:lineRule="auto"/>
        <w:ind w:right="74" w:firstLine="664"/>
        <w:rPr>
          <w:sz w:val="32"/>
          <w:szCs w:val="32"/>
        </w:rPr>
      </w:pPr>
      <w:r>
        <w:rPr>
          <w:rFonts w:ascii="楷体" w:hAnsi="楷体" w:eastAsia="楷体" w:cs="楷体"/>
          <w:b/>
          <w:bCs/>
          <w:spacing w:val="4"/>
          <w:sz w:val="32"/>
          <w:szCs w:val="32"/>
        </w:rPr>
        <w:t>第十六条</w:t>
      </w:r>
      <w:r>
        <w:rPr>
          <w:rFonts w:ascii="楷体" w:hAnsi="楷体" w:eastAsia="楷体" w:cs="楷体"/>
          <w:spacing w:val="160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财政、民政部门应当按照全面实施预算绩效管</w:t>
      </w:r>
      <w:r>
        <w:rPr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理有关规定，加强福彩公益金绩效管理，严格审</w:t>
      </w:r>
      <w:r>
        <w:rPr>
          <w:spacing w:val="1"/>
          <w:sz w:val="32"/>
          <w:szCs w:val="32"/>
        </w:rPr>
        <w:t>核绩效目标，</w:t>
      </w:r>
      <w:r>
        <w:rPr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做好绩效评价，并强化绩效评价结果应用，定期总结资金管理</w:t>
      </w:r>
    </w:p>
    <w:p w14:paraId="5D6585DB">
      <w:pPr>
        <w:pStyle w:val="2"/>
        <w:spacing w:line="222" w:lineRule="auto"/>
        <w:rPr>
          <w:sz w:val="32"/>
          <w:szCs w:val="32"/>
        </w:rPr>
      </w:pPr>
      <w:r>
        <w:rPr>
          <w:spacing w:val="-5"/>
          <w:sz w:val="32"/>
          <w:szCs w:val="32"/>
        </w:rPr>
        <w:t>使用情况和成效，提高资金使用效益。</w:t>
      </w:r>
    </w:p>
    <w:p w14:paraId="47B5216C">
      <w:pPr>
        <w:pStyle w:val="2"/>
        <w:spacing w:before="148" w:line="295" w:lineRule="auto"/>
        <w:ind w:right="67" w:firstLine="664"/>
        <w:rPr>
          <w:sz w:val="32"/>
          <w:szCs w:val="32"/>
        </w:rPr>
      </w:pPr>
      <w:r>
        <w:rPr>
          <w:rFonts w:ascii="楷体" w:hAnsi="楷体" w:eastAsia="楷体" w:cs="楷体"/>
          <w:b/>
          <w:bCs/>
          <w:spacing w:val="3"/>
          <w:sz w:val="32"/>
          <w:szCs w:val="32"/>
        </w:rPr>
        <w:t>第十七条</w:t>
      </w:r>
      <w:r>
        <w:rPr>
          <w:rFonts w:ascii="楷体" w:hAnsi="楷体" w:eastAsia="楷体" w:cs="楷体"/>
          <w:spacing w:val="170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财政局负责福彩公益金绩效管理的组织指导工</w:t>
      </w:r>
      <w:r>
        <w:rPr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作，民政局负责福彩公益金绩效管理工作。各项目单位按规定</w:t>
      </w:r>
    </w:p>
    <w:p w14:paraId="02604622">
      <w:pPr>
        <w:pStyle w:val="2"/>
        <w:spacing w:before="1" w:line="220" w:lineRule="auto"/>
        <w:rPr>
          <w:sz w:val="32"/>
          <w:szCs w:val="32"/>
        </w:rPr>
      </w:pPr>
      <w:r>
        <w:rPr>
          <w:spacing w:val="-4"/>
          <w:sz w:val="32"/>
          <w:szCs w:val="32"/>
        </w:rPr>
        <w:t>开展绩效评价并报送上年度绩效评价报告。</w:t>
      </w:r>
    </w:p>
    <w:p w14:paraId="099158A5">
      <w:pPr>
        <w:pStyle w:val="2"/>
        <w:spacing w:before="146" w:line="295" w:lineRule="auto"/>
        <w:ind w:right="86" w:firstLine="664"/>
        <w:rPr>
          <w:sz w:val="32"/>
          <w:szCs w:val="32"/>
        </w:rPr>
      </w:pPr>
      <w:r>
        <w:rPr>
          <w:rFonts w:ascii="楷体" w:hAnsi="楷体" w:eastAsia="楷体" w:cs="楷体"/>
          <w:b/>
          <w:bCs/>
          <w:spacing w:val="4"/>
          <w:sz w:val="32"/>
          <w:szCs w:val="32"/>
        </w:rPr>
        <w:t>第十八条</w:t>
      </w:r>
      <w:r>
        <w:rPr>
          <w:rFonts w:ascii="楷体" w:hAnsi="楷体" w:eastAsia="楷体" w:cs="楷体"/>
          <w:spacing w:val="153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财政、民政部门应将绩效评价结果</w:t>
      </w:r>
      <w:r>
        <w:rPr>
          <w:spacing w:val="3"/>
          <w:sz w:val="32"/>
          <w:szCs w:val="32"/>
        </w:rPr>
        <w:t>及有关问题</w:t>
      </w:r>
      <w:r>
        <w:rPr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整改情况作为完善政策、安排资金和改进管理的重要依据。对</w:t>
      </w:r>
      <w:r>
        <w:rPr>
          <w:spacing w:val="13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评价结果较差的项目，限期整改，并视情况在来年项目资金分</w:t>
      </w:r>
    </w:p>
    <w:p w14:paraId="53A36A70">
      <w:pPr>
        <w:pStyle w:val="2"/>
        <w:spacing w:before="1" w:line="221" w:lineRule="auto"/>
        <w:rPr>
          <w:sz w:val="32"/>
          <w:szCs w:val="32"/>
        </w:rPr>
      </w:pPr>
      <w:r>
        <w:rPr>
          <w:spacing w:val="-9"/>
          <w:sz w:val="32"/>
          <w:szCs w:val="32"/>
        </w:rPr>
        <w:t>配中予以调减直至取消。</w:t>
      </w:r>
    </w:p>
    <w:p w14:paraId="74F95AE4">
      <w:pPr>
        <w:spacing w:line="221" w:lineRule="auto"/>
        <w:rPr>
          <w:sz w:val="32"/>
          <w:szCs w:val="32"/>
        </w:rPr>
        <w:sectPr>
          <w:footerReference r:id="rId10" w:type="default"/>
          <w:pgSz w:w="11900" w:h="16820"/>
          <w:pgMar w:top="1429" w:right="1480" w:bottom="1544" w:left="1569" w:header="0" w:footer="1227" w:gutter="0"/>
          <w:cols w:space="720" w:num="1"/>
        </w:sectPr>
      </w:pPr>
    </w:p>
    <w:p w14:paraId="761438D1">
      <w:pPr>
        <w:spacing w:line="266" w:lineRule="auto"/>
        <w:rPr>
          <w:rFonts w:ascii="Arial"/>
          <w:sz w:val="21"/>
        </w:rPr>
      </w:pPr>
    </w:p>
    <w:p w14:paraId="07D2710C">
      <w:pPr>
        <w:spacing w:line="266" w:lineRule="auto"/>
        <w:rPr>
          <w:rFonts w:ascii="Arial"/>
          <w:sz w:val="21"/>
        </w:rPr>
      </w:pPr>
    </w:p>
    <w:p w14:paraId="02CCF7FD">
      <w:pPr>
        <w:spacing w:before="101" w:line="222" w:lineRule="auto"/>
        <w:ind w:left="313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1"/>
          <w:sz w:val="31"/>
          <w:szCs w:val="31"/>
        </w:rPr>
        <w:t>第五章</w:t>
      </w:r>
      <w:r>
        <w:rPr>
          <w:rFonts w:ascii="黑体" w:hAnsi="黑体" w:eastAsia="黑体" w:cs="黑体"/>
          <w:spacing w:val="1"/>
          <w:sz w:val="31"/>
          <w:szCs w:val="31"/>
        </w:rPr>
        <w:t xml:space="preserve">  </w:t>
      </w:r>
      <w:r>
        <w:rPr>
          <w:rFonts w:ascii="黑体" w:hAnsi="黑体" w:eastAsia="黑体" w:cs="黑体"/>
          <w:b/>
          <w:bCs/>
          <w:spacing w:val="1"/>
          <w:sz w:val="31"/>
          <w:szCs w:val="31"/>
        </w:rPr>
        <w:t>宣传公告</w:t>
      </w:r>
    </w:p>
    <w:p w14:paraId="6D01C3CC">
      <w:pPr>
        <w:pStyle w:val="2"/>
        <w:spacing w:before="283" w:line="318" w:lineRule="auto"/>
        <w:ind w:right="148" w:firstLine="654"/>
        <w:jc w:val="both"/>
        <w:rPr>
          <w:sz w:val="31"/>
          <w:szCs w:val="31"/>
        </w:rPr>
      </w:pPr>
      <w:r>
        <w:rPr>
          <w:rFonts w:ascii="楷体" w:hAnsi="楷体" w:eastAsia="楷体" w:cs="楷体"/>
          <w:b/>
          <w:bCs/>
          <w:spacing w:val="15"/>
          <w:sz w:val="31"/>
          <w:szCs w:val="31"/>
        </w:rPr>
        <w:t>第十九条</w:t>
      </w:r>
      <w:r>
        <w:rPr>
          <w:rFonts w:ascii="楷体" w:hAnsi="楷体" w:eastAsia="楷体" w:cs="楷体"/>
          <w:spacing w:val="7"/>
          <w:sz w:val="31"/>
          <w:szCs w:val="31"/>
        </w:rPr>
        <w:t xml:space="preserve">  </w:t>
      </w:r>
      <w:r>
        <w:rPr>
          <w:spacing w:val="15"/>
          <w:sz w:val="31"/>
          <w:szCs w:val="31"/>
        </w:rPr>
        <w:t>福彩公益金资助的基本建设设施、设备或者社</w:t>
      </w:r>
      <w:r>
        <w:rPr>
          <w:sz w:val="31"/>
          <w:szCs w:val="31"/>
        </w:rPr>
        <w:t xml:space="preserve"> </w:t>
      </w:r>
      <w:r>
        <w:rPr>
          <w:spacing w:val="21"/>
          <w:sz w:val="31"/>
          <w:szCs w:val="31"/>
        </w:rPr>
        <w:t>会公益活动，应当以显著方式标明“彩票公益金资助-中国福</w:t>
      </w:r>
    </w:p>
    <w:p w14:paraId="4A22143D">
      <w:pPr>
        <w:pStyle w:val="2"/>
        <w:spacing w:line="222" w:lineRule="auto"/>
        <w:rPr>
          <w:sz w:val="31"/>
          <w:szCs w:val="31"/>
        </w:rPr>
      </w:pPr>
      <w:r>
        <w:rPr>
          <w:spacing w:val="-30"/>
          <w:sz w:val="31"/>
          <w:szCs w:val="31"/>
        </w:rPr>
        <w:t>利彩票”。</w:t>
      </w:r>
    </w:p>
    <w:p w14:paraId="1984B24E">
      <w:pPr>
        <w:pStyle w:val="2"/>
        <w:spacing w:before="97" w:line="317" w:lineRule="auto"/>
        <w:ind w:right="154" w:firstLine="654"/>
        <w:jc w:val="both"/>
        <w:rPr>
          <w:sz w:val="31"/>
          <w:szCs w:val="31"/>
        </w:rPr>
      </w:pPr>
      <w:r>
        <w:rPr>
          <w:rFonts w:ascii="楷体" w:hAnsi="楷体" w:eastAsia="楷体" w:cs="楷体"/>
          <w:b/>
          <w:bCs/>
          <w:spacing w:val="15"/>
          <w:sz w:val="31"/>
          <w:szCs w:val="31"/>
        </w:rPr>
        <w:t>第二十条</w:t>
      </w:r>
      <w:r>
        <w:rPr>
          <w:rFonts w:ascii="楷体" w:hAnsi="楷体" w:eastAsia="楷体" w:cs="楷体"/>
          <w:spacing w:val="15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5"/>
          <w:sz w:val="31"/>
          <w:szCs w:val="31"/>
        </w:rPr>
        <w:t xml:space="preserve">本级财政和民政部门应当在每年3 </w:t>
      </w:r>
      <w:r>
        <w:rPr>
          <w:spacing w:val="15"/>
          <w:sz w:val="31"/>
          <w:szCs w:val="31"/>
        </w:rPr>
        <w:t>月底前，将</w:t>
      </w:r>
      <w:r>
        <w:rPr>
          <w:sz w:val="31"/>
          <w:szCs w:val="31"/>
        </w:rPr>
        <w:t xml:space="preserve"> </w:t>
      </w:r>
      <w:r>
        <w:rPr>
          <w:spacing w:val="13"/>
          <w:sz w:val="31"/>
          <w:szCs w:val="31"/>
        </w:rPr>
        <w:t>上一年度福彩公益金使用情况报省财政厅和省民政厅，包括项</w:t>
      </w:r>
      <w:r>
        <w:rPr>
          <w:spacing w:val="1"/>
          <w:sz w:val="31"/>
          <w:szCs w:val="31"/>
        </w:rPr>
        <w:t xml:space="preserve"> </w:t>
      </w:r>
      <w:r>
        <w:rPr>
          <w:spacing w:val="13"/>
          <w:sz w:val="31"/>
          <w:szCs w:val="31"/>
        </w:rPr>
        <w:t>目组织实施情况、项目资金使用和结余情况，以及项目</w:t>
      </w:r>
      <w:r>
        <w:rPr>
          <w:spacing w:val="12"/>
          <w:sz w:val="31"/>
          <w:szCs w:val="31"/>
        </w:rPr>
        <w:t>社会效</w:t>
      </w:r>
    </w:p>
    <w:p w14:paraId="0EB65E4F">
      <w:pPr>
        <w:pStyle w:val="2"/>
        <w:spacing w:before="1" w:line="220" w:lineRule="auto"/>
        <w:rPr>
          <w:sz w:val="31"/>
          <w:szCs w:val="31"/>
        </w:rPr>
      </w:pPr>
      <w:r>
        <w:rPr>
          <w:spacing w:val="-4"/>
          <w:sz w:val="31"/>
          <w:szCs w:val="31"/>
        </w:rPr>
        <w:t>益和经济效益等。</w:t>
      </w:r>
    </w:p>
    <w:p w14:paraId="3C07ECE4">
      <w:pPr>
        <w:pStyle w:val="2"/>
        <w:spacing w:before="124" w:line="555" w:lineRule="exact"/>
        <w:ind w:left="754"/>
        <w:rPr>
          <w:sz w:val="31"/>
          <w:szCs w:val="31"/>
        </w:rPr>
      </w:pPr>
      <w:r>
        <w:rPr>
          <w:rFonts w:ascii="楷体" w:hAnsi="楷体" w:eastAsia="楷体" w:cs="楷体"/>
          <w:b/>
          <w:bCs/>
          <w:spacing w:val="11"/>
          <w:position w:val="17"/>
          <w:sz w:val="31"/>
          <w:szCs w:val="31"/>
        </w:rPr>
        <w:t>第二十一条</w:t>
      </w:r>
      <w:r>
        <w:rPr>
          <w:rFonts w:ascii="楷体" w:hAnsi="楷体" w:eastAsia="楷体" w:cs="楷体"/>
          <w:spacing w:val="67"/>
          <w:position w:val="17"/>
          <w:sz w:val="31"/>
          <w:szCs w:val="31"/>
        </w:rPr>
        <w:t xml:space="preserve"> </w:t>
      </w:r>
      <w:r>
        <w:rPr>
          <w:spacing w:val="11"/>
          <w:position w:val="17"/>
          <w:sz w:val="31"/>
          <w:szCs w:val="31"/>
        </w:rPr>
        <w:t>民政局于每年6月底以前</w:t>
      </w:r>
      <w:r>
        <w:rPr>
          <w:rFonts w:ascii="宋体" w:hAnsi="宋体" w:eastAsia="宋体" w:cs="宋体"/>
          <w:spacing w:val="11"/>
          <w:position w:val="17"/>
          <w:sz w:val="31"/>
          <w:szCs w:val="31"/>
        </w:rPr>
        <w:t>，</w:t>
      </w:r>
      <w:r>
        <w:rPr>
          <w:spacing w:val="11"/>
          <w:position w:val="17"/>
          <w:sz w:val="31"/>
          <w:szCs w:val="31"/>
        </w:rPr>
        <w:t>向社会公告上一</w:t>
      </w:r>
    </w:p>
    <w:p w14:paraId="62F32B89">
      <w:pPr>
        <w:pStyle w:val="2"/>
        <w:spacing w:before="1" w:line="220" w:lineRule="auto"/>
        <w:rPr>
          <w:sz w:val="31"/>
          <w:szCs w:val="31"/>
        </w:rPr>
      </w:pPr>
      <w:r>
        <w:rPr>
          <w:spacing w:val="7"/>
          <w:sz w:val="31"/>
          <w:szCs w:val="31"/>
        </w:rPr>
        <w:t>年度福彩公益金使用规模、资助项目、执行情况和实际效果</w:t>
      </w:r>
      <w:r>
        <w:rPr>
          <w:spacing w:val="6"/>
          <w:sz w:val="31"/>
          <w:szCs w:val="31"/>
        </w:rPr>
        <w:t>等。</w:t>
      </w:r>
    </w:p>
    <w:p w14:paraId="4CB16C83">
      <w:pPr>
        <w:spacing w:line="274" w:lineRule="auto"/>
        <w:rPr>
          <w:rFonts w:ascii="Arial"/>
          <w:sz w:val="21"/>
        </w:rPr>
      </w:pPr>
    </w:p>
    <w:p w14:paraId="67086EE9">
      <w:pPr>
        <w:spacing w:before="101" w:line="221" w:lineRule="auto"/>
        <w:ind w:left="316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"/>
          <w:sz w:val="31"/>
          <w:szCs w:val="31"/>
        </w:rPr>
        <w:t>第六章</w:t>
      </w:r>
      <w:r>
        <w:rPr>
          <w:rFonts w:ascii="黑体" w:hAnsi="黑体" w:eastAsia="黑体" w:cs="黑体"/>
          <w:spacing w:val="2"/>
          <w:sz w:val="31"/>
          <w:szCs w:val="31"/>
        </w:rPr>
        <w:t xml:space="preserve">  </w:t>
      </w:r>
      <w:r>
        <w:rPr>
          <w:rFonts w:ascii="黑体" w:hAnsi="黑体" w:eastAsia="黑体" w:cs="黑体"/>
          <w:b/>
          <w:bCs/>
          <w:spacing w:val="2"/>
          <w:sz w:val="31"/>
          <w:szCs w:val="31"/>
        </w:rPr>
        <w:t>监督检查</w:t>
      </w:r>
    </w:p>
    <w:p w14:paraId="3B838817">
      <w:pPr>
        <w:spacing w:line="283" w:lineRule="auto"/>
        <w:rPr>
          <w:rFonts w:ascii="Arial"/>
          <w:sz w:val="21"/>
        </w:rPr>
      </w:pPr>
    </w:p>
    <w:p w14:paraId="40B4CE36">
      <w:pPr>
        <w:pStyle w:val="2"/>
        <w:spacing w:before="101" w:line="318" w:lineRule="auto"/>
        <w:ind w:right="145" w:firstLine="654"/>
        <w:rPr>
          <w:sz w:val="31"/>
          <w:szCs w:val="31"/>
        </w:rPr>
      </w:pPr>
      <w:r>
        <w:rPr>
          <w:rFonts w:ascii="楷体" w:hAnsi="楷体" w:eastAsia="楷体" w:cs="楷体"/>
          <w:b/>
          <w:bCs/>
          <w:spacing w:val="8"/>
          <w:sz w:val="31"/>
          <w:szCs w:val="31"/>
        </w:rPr>
        <w:t>第二十二条</w:t>
      </w:r>
      <w:r>
        <w:rPr>
          <w:rFonts w:ascii="楷体" w:hAnsi="楷体" w:eastAsia="楷体" w:cs="楷体"/>
          <w:spacing w:val="8"/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福彩公益金使用单位和部门按照“谁使用，谁</w:t>
      </w:r>
      <w:r>
        <w:rPr>
          <w:spacing w:val="5"/>
          <w:sz w:val="31"/>
          <w:szCs w:val="31"/>
        </w:rPr>
        <w:t xml:space="preserve"> </w:t>
      </w:r>
      <w:r>
        <w:rPr>
          <w:spacing w:val="16"/>
          <w:sz w:val="31"/>
          <w:szCs w:val="31"/>
        </w:rPr>
        <w:t>受益，谁负责”的原则加强福彩公益金使用管理，充分发挥资</w:t>
      </w:r>
    </w:p>
    <w:p w14:paraId="51037245">
      <w:pPr>
        <w:pStyle w:val="2"/>
        <w:spacing w:before="1" w:line="222" w:lineRule="auto"/>
        <w:rPr>
          <w:sz w:val="31"/>
          <w:szCs w:val="31"/>
        </w:rPr>
      </w:pPr>
      <w:r>
        <w:rPr>
          <w:spacing w:val="-5"/>
          <w:sz w:val="31"/>
          <w:szCs w:val="31"/>
        </w:rPr>
        <w:t>金使用效益。</w:t>
      </w:r>
    </w:p>
    <w:p w14:paraId="40B4124E">
      <w:pPr>
        <w:pStyle w:val="2"/>
        <w:spacing w:before="130" w:line="316" w:lineRule="auto"/>
        <w:ind w:right="154" w:firstLine="654"/>
        <w:rPr>
          <w:sz w:val="31"/>
          <w:szCs w:val="31"/>
        </w:rPr>
      </w:pPr>
      <w:r>
        <w:rPr>
          <w:rFonts w:ascii="楷体" w:hAnsi="楷体" w:eastAsia="楷体" w:cs="楷体"/>
          <w:b/>
          <w:bCs/>
          <w:spacing w:val="13"/>
          <w:sz w:val="31"/>
          <w:szCs w:val="31"/>
        </w:rPr>
        <w:t>第二十三条</w:t>
      </w:r>
      <w:r>
        <w:rPr>
          <w:rFonts w:ascii="楷体" w:hAnsi="楷体" w:eastAsia="楷体" w:cs="楷体"/>
          <w:spacing w:val="11"/>
          <w:sz w:val="31"/>
          <w:szCs w:val="31"/>
        </w:rPr>
        <w:t xml:space="preserve">  </w:t>
      </w:r>
      <w:r>
        <w:rPr>
          <w:spacing w:val="13"/>
          <w:sz w:val="31"/>
          <w:szCs w:val="31"/>
        </w:rPr>
        <w:t>财政部门应当加强福彩公益金监督。民政部</w:t>
      </w:r>
      <w:r>
        <w:rPr>
          <w:spacing w:val="1"/>
          <w:sz w:val="31"/>
          <w:szCs w:val="31"/>
        </w:rPr>
        <w:t xml:space="preserve"> </w:t>
      </w:r>
      <w:r>
        <w:rPr>
          <w:spacing w:val="13"/>
          <w:sz w:val="31"/>
          <w:szCs w:val="31"/>
        </w:rPr>
        <w:t>门应当加强项目建设监督和管理，推动项目全生命周期跟踪监</w:t>
      </w:r>
      <w:r>
        <w:rPr>
          <w:spacing w:val="18"/>
          <w:sz w:val="31"/>
          <w:szCs w:val="31"/>
        </w:rPr>
        <w:t xml:space="preserve"> </w:t>
      </w:r>
      <w:r>
        <w:rPr>
          <w:spacing w:val="15"/>
          <w:sz w:val="31"/>
          <w:szCs w:val="31"/>
        </w:rPr>
        <w:t>管。分配、管理、使用福彩公益金的部门、单位和</w:t>
      </w:r>
      <w:r>
        <w:rPr>
          <w:spacing w:val="14"/>
          <w:sz w:val="31"/>
          <w:szCs w:val="31"/>
        </w:rPr>
        <w:t>个人，应当</w:t>
      </w:r>
      <w:r>
        <w:rPr>
          <w:sz w:val="31"/>
          <w:szCs w:val="31"/>
        </w:rPr>
        <w:t xml:space="preserve"> </w:t>
      </w:r>
      <w:r>
        <w:rPr>
          <w:spacing w:val="15"/>
          <w:sz w:val="31"/>
          <w:szCs w:val="31"/>
        </w:rPr>
        <w:t>依法接受审计、纪检监察等部门的监督，对发现的问题，应及</w:t>
      </w:r>
    </w:p>
    <w:p w14:paraId="57EF3231">
      <w:pPr>
        <w:pStyle w:val="2"/>
        <w:spacing w:line="220" w:lineRule="auto"/>
        <w:rPr>
          <w:sz w:val="31"/>
          <w:szCs w:val="31"/>
        </w:rPr>
      </w:pPr>
      <w:r>
        <w:rPr>
          <w:spacing w:val="-2"/>
          <w:sz w:val="31"/>
          <w:szCs w:val="31"/>
        </w:rPr>
        <w:t>时制定整改措施并落实。</w:t>
      </w:r>
    </w:p>
    <w:p w14:paraId="62AC11E7">
      <w:pPr>
        <w:pStyle w:val="2"/>
        <w:spacing w:before="129" w:line="316" w:lineRule="auto"/>
        <w:ind w:firstLine="654"/>
        <w:rPr>
          <w:sz w:val="31"/>
          <w:szCs w:val="31"/>
        </w:rPr>
      </w:pPr>
      <w:r>
        <w:rPr>
          <w:rFonts w:ascii="楷体" w:hAnsi="楷体" w:eastAsia="楷体" w:cs="楷体"/>
          <w:b/>
          <w:bCs/>
          <w:spacing w:val="12"/>
          <w:sz w:val="31"/>
          <w:szCs w:val="31"/>
        </w:rPr>
        <w:t>第二十四条</w:t>
      </w:r>
      <w:r>
        <w:rPr>
          <w:rFonts w:ascii="楷体" w:hAnsi="楷体" w:eastAsia="楷体" w:cs="楷体"/>
          <w:spacing w:val="12"/>
          <w:sz w:val="31"/>
          <w:szCs w:val="31"/>
        </w:rPr>
        <w:t xml:space="preserve">  </w:t>
      </w:r>
      <w:r>
        <w:rPr>
          <w:spacing w:val="12"/>
          <w:sz w:val="31"/>
          <w:szCs w:val="31"/>
        </w:rPr>
        <w:t>财政和民政部门及其工作人员在资金分配、</w:t>
      </w:r>
      <w:r>
        <w:rPr>
          <w:sz w:val="31"/>
          <w:szCs w:val="31"/>
        </w:rPr>
        <w:t xml:space="preserve">  </w:t>
      </w:r>
      <w:r>
        <w:rPr>
          <w:spacing w:val="15"/>
          <w:sz w:val="31"/>
          <w:szCs w:val="31"/>
        </w:rPr>
        <w:t>管理工作中存在违反规定分配资金以及其他滥用职权、玩忽职</w:t>
      </w:r>
      <w:r>
        <w:rPr>
          <w:spacing w:val="6"/>
          <w:sz w:val="31"/>
          <w:szCs w:val="31"/>
        </w:rPr>
        <w:t xml:space="preserve">  </w:t>
      </w:r>
      <w:r>
        <w:rPr>
          <w:spacing w:val="15"/>
          <w:sz w:val="31"/>
          <w:szCs w:val="31"/>
        </w:rPr>
        <w:t>守、徇私舞弊等违法违纪行为的，按照《中华人民共和国预算</w:t>
      </w:r>
      <w:r>
        <w:rPr>
          <w:spacing w:val="9"/>
          <w:sz w:val="31"/>
          <w:szCs w:val="31"/>
        </w:rPr>
        <w:t xml:space="preserve">  </w:t>
      </w:r>
      <w:r>
        <w:rPr>
          <w:spacing w:val="-2"/>
          <w:sz w:val="31"/>
          <w:szCs w:val="31"/>
        </w:rPr>
        <w:t>法》《中华人民共和国公务员法》《中华人民共和国行政监察法》</w:t>
      </w:r>
    </w:p>
    <w:p w14:paraId="13747638">
      <w:pPr>
        <w:pStyle w:val="2"/>
        <w:spacing w:before="2" w:line="220" w:lineRule="auto"/>
        <w:ind w:left="74"/>
        <w:rPr>
          <w:sz w:val="31"/>
          <w:szCs w:val="31"/>
        </w:rPr>
      </w:pPr>
      <w:r>
        <w:rPr>
          <w:spacing w:val="6"/>
          <w:sz w:val="31"/>
          <w:szCs w:val="31"/>
        </w:rPr>
        <w:t>《财政违法行为处罚处分条例》等国家有关规定追究相应责任，</w:t>
      </w:r>
    </w:p>
    <w:p w14:paraId="6ECEC73D">
      <w:pPr>
        <w:spacing w:line="220" w:lineRule="auto"/>
        <w:rPr>
          <w:sz w:val="31"/>
          <w:szCs w:val="31"/>
        </w:rPr>
        <w:sectPr>
          <w:footerReference r:id="rId11" w:type="default"/>
          <w:pgSz w:w="11900" w:h="16820"/>
          <w:pgMar w:top="1429" w:right="1552" w:bottom="1552" w:left="1400" w:header="0" w:footer="1252" w:gutter="0"/>
          <w:cols w:space="720" w:num="1"/>
        </w:sectPr>
      </w:pPr>
    </w:p>
    <w:p w14:paraId="34FE7BE2">
      <w:pPr>
        <w:spacing w:line="336" w:lineRule="auto"/>
        <w:rPr>
          <w:rFonts w:ascii="Arial"/>
          <w:sz w:val="21"/>
        </w:rPr>
      </w:pP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1035050</wp:posOffset>
            </wp:positionH>
            <wp:positionV relativeFrom="page">
              <wp:posOffset>9137015</wp:posOffset>
            </wp:positionV>
            <wp:extent cx="5638800" cy="12700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38803" cy="126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1041400</wp:posOffset>
            </wp:positionH>
            <wp:positionV relativeFrom="page">
              <wp:posOffset>9498965</wp:posOffset>
            </wp:positionV>
            <wp:extent cx="5632450" cy="12700"/>
            <wp:effectExtent l="0" t="0" r="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32452" cy="126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EBBE40">
      <w:pPr>
        <w:spacing w:line="337" w:lineRule="auto"/>
        <w:rPr>
          <w:rFonts w:ascii="Arial"/>
          <w:sz w:val="21"/>
        </w:rPr>
      </w:pPr>
    </w:p>
    <w:p w14:paraId="3D802F7F">
      <w:pPr>
        <w:pStyle w:val="2"/>
        <w:spacing w:before="98" w:line="321" w:lineRule="auto"/>
        <w:ind w:left="40" w:right="69"/>
        <w:jc w:val="both"/>
        <w:rPr>
          <w:sz w:val="30"/>
          <w:szCs w:val="30"/>
        </w:rPr>
      </w:pPr>
      <w:r>
        <w:rPr>
          <w:spacing w:val="25"/>
          <w:sz w:val="30"/>
          <w:szCs w:val="30"/>
        </w:rPr>
        <w:t>涉嫌犯罪的，移送司法机关处理。资金使用单位</w:t>
      </w:r>
      <w:r>
        <w:rPr>
          <w:spacing w:val="24"/>
          <w:sz w:val="30"/>
          <w:szCs w:val="30"/>
        </w:rPr>
        <w:t>和个人在资金</w:t>
      </w:r>
      <w:r>
        <w:rPr>
          <w:sz w:val="30"/>
          <w:szCs w:val="30"/>
        </w:rPr>
        <w:t xml:space="preserve"> </w:t>
      </w:r>
      <w:r>
        <w:rPr>
          <w:spacing w:val="11"/>
          <w:sz w:val="30"/>
          <w:szCs w:val="30"/>
        </w:rPr>
        <w:t>申报、使用过程中存在虚报、冒领等违法违规行为的，按照</w:t>
      </w:r>
      <w:r>
        <w:rPr>
          <w:spacing w:val="10"/>
          <w:sz w:val="30"/>
          <w:szCs w:val="30"/>
        </w:rPr>
        <w:t>《中</w:t>
      </w:r>
      <w:r>
        <w:rPr>
          <w:spacing w:val="12"/>
          <w:sz w:val="30"/>
          <w:szCs w:val="30"/>
        </w:rPr>
        <w:t>华人民共和国预算法》《财政违法行为处罚处分条例》等国家有</w:t>
      </w:r>
      <w:r>
        <w:rPr>
          <w:spacing w:val="6"/>
          <w:sz w:val="30"/>
          <w:szCs w:val="30"/>
        </w:rPr>
        <w:t>关规定追究相应责任。</w:t>
      </w:r>
    </w:p>
    <w:p w14:paraId="5EE872D9">
      <w:pPr>
        <w:pStyle w:val="2"/>
        <w:spacing w:before="163" w:line="224" w:lineRule="auto"/>
        <w:ind w:left="684"/>
        <w:rPr>
          <w:sz w:val="30"/>
          <w:szCs w:val="30"/>
        </w:rPr>
      </w:pPr>
      <w:r>
        <w:rPr>
          <w:rFonts w:ascii="楷体" w:hAnsi="楷体" w:eastAsia="楷体" w:cs="楷体"/>
          <w:b/>
          <w:bCs/>
          <w:spacing w:val="16"/>
          <w:sz w:val="30"/>
          <w:szCs w:val="30"/>
        </w:rPr>
        <w:t>第二十五条</w:t>
      </w:r>
      <w:r>
        <w:rPr>
          <w:rFonts w:ascii="楷体" w:hAnsi="楷体" w:eastAsia="楷体" w:cs="楷体"/>
          <w:spacing w:val="150"/>
          <w:sz w:val="30"/>
          <w:szCs w:val="30"/>
        </w:rPr>
        <w:t xml:space="preserve"> </w:t>
      </w:r>
      <w:r>
        <w:rPr>
          <w:spacing w:val="16"/>
          <w:sz w:val="30"/>
          <w:szCs w:val="30"/>
        </w:rPr>
        <w:t>本办法自发布之日起施行，有效期五年。</w:t>
      </w:r>
    </w:p>
    <w:p w14:paraId="0C57FE9A">
      <w:pPr>
        <w:spacing w:line="242" w:lineRule="auto"/>
        <w:rPr>
          <w:rFonts w:ascii="Arial"/>
          <w:sz w:val="21"/>
        </w:rPr>
      </w:pPr>
    </w:p>
    <w:p w14:paraId="6B4AA21F">
      <w:pPr>
        <w:spacing w:line="242" w:lineRule="auto"/>
        <w:rPr>
          <w:rFonts w:ascii="Arial"/>
          <w:sz w:val="21"/>
        </w:rPr>
      </w:pPr>
    </w:p>
    <w:p w14:paraId="3D8C56CC">
      <w:pPr>
        <w:spacing w:line="242" w:lineRule="auto"/>
        <w:rPr>
          <w:rFonts w:ascii="Arial"/>
          <w:sz w:val="21"/>
        </w:rPr>
      </w:pPr>
    </w:p>
    <w:p w14:paraId="7B6B257A">
      <w:pPr>
        <w:spacing w:line="242" w:lineRule="auto"/>
        <w:rPr>
          <w:rFonts w:ascii="Arial"/>
          <w:sz w:val="21"/>
        </w:rPr>
      </w:pPr>
    </w:p>
    <w:p w14:paraId="59D22F1F">
      <w:pPr>
        <w:spacing w:line="242" w:lineRule="auto"/>
        <w:rPr>
          <w:rFonts w:ascii="Arial"/>
          <w:sz w:val="21"/>
        </w:rPr>
      </w:pPr>
    </w:p>
    <w:p w14:paraId="180AEF8A">
      <w:pPr>
        <w:spacing w:line="243" w:lineRule="auto"/>
        <w:rPr>
          <w:rFonts w:ascii="Arial"/>
          <w:sz w:val="21"/>
        </w:rPr>
      </w:pPr>
    </w:p>
    <w:p w14:paraId="197ED46D">
      <w:pPr>
        <w:spacing w:line="243" w:lineRule="auto"/>
        <w:rPr>
          <w:rFonts w:ascii="Arial"/>
          <w:sz w:val="21"/>
        </w:rPr>
      </w:pPr>
    </w:p>
    <w:p w14:paraId="724BFD4F">
      <w:pPr>
        <w:spacing w:line="243" w:lineRule="auto"/>
        <w:rPr>
          <w:rFonts w:ascii="Arial"/>
          <w:sz w:val="21"/>
        </w:rPr>
      </w:pPr>
    </w:p>
    <w:p w14:paraId="5148A472">
      <w:pPr>
        <w:spacing w:line="243" w:lineRule="auto"/>
        <w:rPr>
          <w:rFonts w:ascii="Arial"/>
          <w:sz w:val="21"/>
        </w:rPr>
      </w:pPr>
    </w:p>
    <w:p w14:paraId="598021F9">
      <w:pPr>
        <w:spacing w:line="243" w:lineRule="auto"/>
        <w:rPr>
          <w:rFonts w:ascii="Arial"/>
          <w:sz w:val="21"/>
        </w:rPr>
      </w:pPr>
    </w:p>
    <w:p w14:paraId="728DD1F9">
      <w:pPr>
        <w:spacing w:line="243" w:lineRule="auto"/>
        <w:rPr>
          <w:rFonts w:ascii="Arial"/>
          <w:sz w:val="21"/>
        </w:rPr>
      </w:pPr>
    </w:p>
    <w:p w14:paraId="346A2BE5">
      <w:pPr>
        <w:spacing w:line="243" w:lineRule="auto"/>
        <w:rPr>
          <w:rFonts w:ascii="Arial"/>
          <w:sz w:val="21"/>
        </w:rPr>
      </w:pPr>
    </w:p>
    <w:p w14:paraId="342863B5">
      <w:pPr>
        <w:spacing w:line="243" w:lineRule="auto"/>
        <w:rPr>
          <w:rFonts w:ascii="Arial"/>
          <w:sz w:val="21"/>
        </w:rPr>
      </w:pPr>
    </w:p>
    <w:p w14:paraId="65812568">
      <w:pPr>
        <w:spacing w:line="243" w:lineRule="auto"/>
        <w:rPr>
          <w:rFonts w:ascii="Arial"/>
          <w:sz w:val="21"/>
        </w:rPr>
      </w:pPr>
    </w:p>
    <w:p w14:paraId="32CCD759">
      <w:pPr>
        <w:spacing w:line="243" w:lineRule="auto"/>
        <w:rPr>
          <w:rFonts w:ascii="Arial"/>
          <w:sz w:val="21"/>
        </w:rPr>
      </w:pPr>
    </w:p>
    <w:p w14:paraId="452C4ACB">
      <w:pPr>
        <w:spacing w:line="243" w:lineRule="auto"/>
        <w:rPr>
          <w:rFonts w:ascii="Arial"/>
          <w:sz w:val="21"/>
        </w:rPr>
      </w:pPr>
    </w:p>
    <w:p w14:paraId="5EDC3200">
      <w:pPr>
        <w:spacing w:line="243" w:lineRule="auto"/>
        <w:rPr>
          <w:rFonts w:ascii="Arial"/>
          <w:sz w:val="21"/>
        </w:rPr>
      </w:pPr>
    </w:p>
    <w:p w14:paraId="79B42311">
      <w:pPr>
        <w:spacing w:line="243" w:lineRule="auto"/>
        <w:rPr>
          <w:rFonts w:ascii="Arial"/>
          <w:sz w:val="21"/>
        </w:rPr>
      </w:pPr>
    </w:p>
    <w:p w14:paraId="69869FC6">
      <w:pPr>
        <w:spacing w:line="243" w:lineRule="auto"/>
        <w:rPr>
          <w:rFonts w:ascii="Arial"/>
          <w:sz w:val="21"/>
        </w:rPr>
      </w:pPr>
    </w:p>
    <w:p w14:paraId="78D4328B">
      <w:pPr>
        <w:spacing w:line="243" w:lineRule="auto"/>
        <w:rPr>
          <w:rFonts w:ascii="Arial"/>
          <w:sz w:val="21"/>
        </w:rPr>
      </w:pPr>
    </w:p>
    <w:p w14:paraId="57961B1A">
      <w:pPr>
        <w:spacing w:line="243" w:lineRule="auto"/>
        <w:rPr>
          <w:rFonts w:ascii="Arial"/>
          <w:sz w:val="21"/>
        </w:rPr>
      </w:pPr>
    </w:p>
    <w:p w14:paraId="45FBC2FC">
      <w:pPr>
        <w:spacing w:line="243" w:lineRule="auto"/>
        <w:rPr>
          <w:rFonts w:ascii="Arial"/>
          <w:sz w:val="21"/>
        </w:rPr>
      </w:pPr>
    </w:p>
    <w:p w14:paraId="4C1D5CA9">
      <w:pPr>
        <w:spacing w:line="243" w:lineRule="auto"/>
        <w:rPr>
          <w:rFonts w:ascii="Arial"/>
          <w:sz w:val="21"/>
        </w:rPr>
      </w:pPr>
    </w:p>
    <w:p w14:paraId="4A698186">
      <w:pPr>
        <w:spacing w:line="243" w:lineRule="auto"/>
        <w:rPr>
          <w:rFonts w:ascii="Arial"/>
          <w:sz w:val="21"/>
        </w:rPr>
      </w:pPr>
    </w:p>
    <w:p w14:paraId="2FB8F777">
      <w:pPr>
        <w:spacing w:line="243" w:lineRule="auto"/>
        <w:rPr>
          <w:rFonts w:ascii="Arial"/>
          <w:sz w:val="21"/>
        </w:rPr>
      </w:pPr>
    </w:p>
    <w:p w14:paraId="14611C8F">
      <w:pPr>
        <w:spacing w:line="243" w:lineRule="auto"/>
        <w:rPr>
          <w:rFonts w:ascii="Arial"/>
          <w:sz w:val="21"/>
        </w:rPr>
      </w:pPr>
      <w:bookmarkStart w:id="0" w:name="_GoBack"/>
      <w:bookmarkEnd w:id="0"/>
    </w:p>
    <w:p w14:paraId="7F0D9762">
      <w:pPr>
        <w:spacing w:line="243" w:lineRule="auto"/>
        <w:rPr>
          <w:rFonts w:ascii="Arial"/>
          <w:sz w:val="21"/>
        </w:rPr>
      </w:pPr>
    </w:p>
    <w:p w14:paraId="74AAD8F6">
      <w:pPr>
        <w:spacing w:line="243" w:lineRule="auto"/>
        <w:rPr>
          <w:rFonts w:ascii="Arial"/>
          <w:sz w:val="21"/>
        </w:rPr>
      </w:pPr>
    </w:p>
    <w:p w14:paraId="2DACB901">
      <w:pPr>
        <w:spacing w:line="243" w:lineRule="auto"/>
        <w:rPr>
          <w:rFonts w:ascii="Arial"/>
          <w:sz w:val="21"/>
        </w:rPr>
      </w:pPr>
    </w:p>
    <w:p w14:paraId="59FDED5B">
      <w:pPr>
        <w:spacing w:line="243" w:lineRule="auto"/>
        <w:rPr>
          <w:rFonts w:ascii="Arial"/>
          <w:sz w:val="21"/>
        </w:rPr>
      </w:pPr>
    </w:p>
    <w:p w14:paraId="7ED58EAA">
      <w:pPr>
        <w:spacing w:line="243" w:lineRule="auto"/>
        <w:rPr>
          <w:rFonts w:ascii="Arial"/>
          <w:sz w:val="21"/>
        </w:rPr>
      </w:pPr>
    </w:p>
    <w:p w14:paraId="563E2076">
      <w:pPr>
        <w:spacing w:line="243" w:lineRule="auto"/>
        <w:rPr>
          <w:rFonts w:ascii="Arial"/>
          <w:sz w:val="21"/>
        </w:rPr>
      </w:pPr>
    </w:p>
    <w:p w14:paraId="792D8676">
      <w:pPr>
        <w:spacing w:line="243" w:lineRule="auto"/>
        <w:rPr>
          <w:rFonts w:ascii="Arial"/>
          <w:sz w:val="21"/>
        </w:rPr>
      </w:pPr>
    </w:p>
    <w:p w14:paraId="26674013">
      <w:pPr>
        <w:spacing w:line="243" w:lineRule="auto"/>
        <w:rPr>
          <w:rFonts w:ascii="Arial"/>
          <w:sz w:val="21"/>
        </w:rPr>
      </w:pPr>
    </w:p>
    <w:p w14:paraId="7A7ACFF8">
      <w:pPr>
        <w:spacing w:line="243" w:lineRule="auto"/>
        <w:rPr>
          <w:rFonts w:ascii="Arial"/>
          <w:sz w:val="21"/>
        </w:rPr>
      </w:pPr>
    </w:p>
    <w:p w14:paraId="68D8DE66">
      <w:pPr>
        <w:spacing w:line="243" w:lineRule="auto"/>
        <w:rPr>
          <w:rFonts w:ascii="Arial"/>
          <w:sz w:val="21"/>
        </w:rPr>
      </w:pPr>
    </w:p>
    <w:p w14:paraId="6663F72C">
      <w:pPr>
        <w:spacing w:line="243" w:lineRule="auto"/>
        <w:rPr>
          <w:rFonts w:ascii="Arial"/>
          <w:sz w:val="21"/>
        </w:rPr>
      </w:pPr>
    </w:p>
    <w:p w14:paraId="753BDACE">
      <w:pPr>
        <w:spacing w:line="243" w:lineRule="auto"/>
        <w:rPr>
          <w:rFonts w:ascii="Arial"/>
          <w:sz w:val="21"/>
        </w:rPr>
      </w:pPr>
    </w:p>
    <w:p w14:paraId="0537BBDC">
      <w:pPr>
        <w:pStyle w:val="2"/>
        <w:spacing w:before="98" w:line="222" w:lineRule="auto"/>
        <w:ind w:left="300"/>
        <w:rPr>
          <w:rFonts w:ascii="Arial"/>
          <w:sz w:val="21"/>
        </w:rPr>
      </w:pPr>
    </w:p>
    <w:p w14:paraId="7AC41202">
      <w:pPr>
        <w:pStyle w:val="2"/>
        <w:spacing w:before="98" w:line="222" w:lineRule="auto"/>
        <w:ind w:left="300"/>
        <w:rPr>
          <w:rFonts w:ascii="Arial"/>
          <w:sz w:val="21"/>
        </w:rPr>
      </w:pPr>
      <w:r>
        <w:rPr>
          <w:spacing w:val="10"/>
          <w:sz w:val="30"/>
          <w:szCs w:val="30"/>
        </w:rPr>
        <w:t>益阳市资阳区财政局办公室</w:t>
      </w:r>
      <w:r>
        <w:rPr>
          <w:sz w:val="30"/>
          <w:szCs w:val="30"/>
        </w:rPr>
        <w:t xml:space="preserve">             </w:t>
      </w:r>
      <w:r>
        <w:rPr>
          <w:spacing w:val="10"/>
          <w:sz w:val="30"/>
          <w:szCs w:val="30"/>
        </w:rPr>
        <w:t>2023年3月27日</w:t>
      </w:r>
    </w:p>
    <w:p w14:paraId="621D0F13">
      <w:pPr>
        <w:spacing w:line="243" w:lineRule="auto"/>
        <w:rPr>
          <w:rFonts w:ascii="Arial"/>
          <w:sz w:val="21"/>
        </w:rPr>
      </w:pPr>
    </w:p>
    <w:p w14:paraId="0A50A153">
      <w:pPr>
        <w:spacing w:line="243" w:lineRule="auto"/>
        <w:rPr>
          <w:rFonts w:ascii="Arial"/>
          <w:sz w:val="21"/>
        </w:rPr>
      </w:pPr>
    </w:p>
    <w:sectPr>
      <w:footerReference r:id="rId12" w:type="default"/>
      <w:pgSz w:w="11900" w:h="16820"/>
      <w:pgMar w:top="1429" w:right="1504" w:bottom="1048" w:left="1785" w:header="0" w:footer="90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5F210A">
    <w:pPr>
      <w:spacing w:before="1" w:line="177" w:lineRule="auto"/>
      <w:ind w:left="7749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2"/>
        <w:w w:val="97"/>
        <w:sz w:val="32"/>
        <w:szCs w:val="32"/>
      </w:rPr>
      <w:t>—1—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45B683">
    <w:pPr>
      <w:spacing w:line="176" w:lineRule="auto"/>
      <w:ind w:left="144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9"/>
        <w:sz w:val="29"/>
        <w:szCs w:val="29"/>
      </w:rPr>
      <w:t>—2—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FEFC31">
    <w:pPr>
      <w:spacing w:line="177" w:lineRule="auto"/>
      <w:ind w:left="776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22"/>
        <w:w w:val="96"/>
        <w:sz w:val="31"/>
        <w:szCs w:val="31"/>
      </w:rPr>
      <w:t>—3—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F8247B">
    <w:pPr>
      <w:spacing w:line="177" w:lineRule="auto"/>
      <w:ind w:left="319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17"/>
        <w:w w:val="93"/>
        <w:sz w:val="32"/>
        <w:szCs w:val="32"/>
      </w:rPr>
      <w:t>—4—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82D5BC">
    <w:pPr>
      <w:pStyle w:val="2"/>
      <w:spacing w:before="1" w:line="172" w:lineRule="auto"/>
      <w:ind w:left="7739"/>
      <w:rPr>
        <w:sz w:val="31"/>
        <w:szCs w:val="31"/>
      </w:rPr>
    </w:pPr>
    <w:r>
      <w:rPr>
        <w:spacing w:val="-21"/>
        <w:w w:val="97"/>
        <w:sz w:val="31"/>
        <w:szCs w:val="31"/>
      </w:rPr>
      <w:t>—5—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62B54C">
    <w:pPr>
      <w:spacing w:line="177" w:lineRule="auto"/>
      <w:ind w:left="339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19"/>
        <w:w w:val="90"/>
        <w:sz w:val="32"/>
        <w:szCs w:val="32"/>
      </w:rPr>
      <w:t>—6—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6D7455">
    <w:pPr>
      <w:pStyle w:val="2"/>
      <w:spacing w:before="1" w:line="172" w:lineRule="auto"/>
      <w:ind w:left="7730"/>
      <w:rPr>
        <w:sz w:val="31"/>
        <w:szCs w:val="31"/>
      </w:rPr>
    </w:pPr>
    <w:r>
      <w:rPr>
        <w:spacing w:val="-17"/>
        <w:sz w:val="31"/>
        <w:szCs w:val="31"/>
      </w:rPr>
      <w:t>—7—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FC7B49">
    <w:pPr>
      <w:spacing w:line="169" w:lineRule="auto"/>
      <w:ind w:left="4125"/>
      <w:rPr>
        <w:rFonts w:ascii="宋体" w:hAnsi="宋体" w:eastAsia="宋体" w:cs="宋体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QyYjMzNGYyYTFiNWQ3YWZhNzQ1ZWM0Yzc1M2EzYjcifQ=="/>
  </w:docVars>
  <w:rsids>
    <w:rsidRoot w:val="00000000"/>
    <w:rsid w:val="055665DD"/>
    <w:rsid w:val="0C5A608F"/>
    <w:rsid w:val="122D02D9"/>
    <w:rsid w:val="13CB7DA9"/>
    <w:rsid w:val="1662251B"/>
    <w:rsid w:val="1A8420FA"/>
    <w:rsid w:val="1C483417"/>
    <w:rsid w:val="233A2855"/>
    <w:rsid w:val="30C13FFB"/>
    <w:rsid w:val="4043751E"/>
    <w:rsid w:val="405D597D"/>
    <w:rsid w:val="44B738AE"/>
    <w:rsid w:val="49042285"/>
    <w:rsid w:val="4EC549CB"/>
    <w:rsid w:val="4ECD1F20"/>
    <w:rsid w:val="50E7551B"/>
    <w:rsid w:val="52043EAB"/>
    <w:rsid w:val="57835872"/>
    <w:rsid w:val="591E3AA4"/>
    <w:rsid w:val="5B37709F"/>
    <w:rsid w:val="5E40626B"/>
    <w:rsid w:val="5FE5531C"/>
    <w:rsid w:val="6A7379C8"/>
    <w:rsid w:val="6A9F256B"/>
    <w:rsid w:val="75C4732A"/>
    <w:rsid w:val="7B5511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9"/>
      <w:szCs w:val="29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2.png"/><Relationship Id="rId14" Type="http://schemas.openxmlformats.org/officeDocument/2006/relationships/image" Target="media/image1.png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2845</Words>
  <Characters>2886</Characters>
  <TotalTime>1</TotalTime>
  <ScaleCrop>false</ScaleCrop>
  <LinksUpToDate>false</LinksUpToDate>
  <CharactersWithSpaces>3017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2024-06-20T16:15:00Z</dcterms:created>
  <dc:creator>Administrator</dc:creator>
  <cp:lastModifiedBy>演示人</cp:lastModifiedBy>
  <dcterms:modified xsi:type="dcterms:W3CDTF">2025-04-03T01:15:16Z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2024-06-20T16:16:01Z</vt:filetime>
  </property>
  <property fmtid="{D5CDD505-2E9C-101B-9397-08002B2CF9AE}" pid="4" name="UsrData">
    <vt:lpwstr>6673e53a67d354001feb2abewl</vt:lpwstr>
  </property>
  <property fmtid="{D5CDD505-2E9C-101B-9397-08002B2CF9AE}" pid="5" name="KSOProductBuildVer">
    <vt:lpwstr>2052-12.1.0.20305</vt:lpwstr>
  </property>
  <property fmtid="{D5CDD505-2E9C-101B-9397-08002B2CF9AE}" pid="6" name="ICV">
    <vt:lpwstr>2D82438C1A1A4CC38ACFDF64FE83FEA5_13</vt:lpwstr>
  </property>
  <property fmtid="{D5CDD505-2E9C-101B-9397-08002B2CF9AE}" pid="7" name="KSOTemplateDocerSaveRecord">
    <vt:lpwstr>eyJoZGlkIjoiMDkzMmQyNWYxM2NkNmQxZmY1Y2QzN2E0YTYxYWM0MTkifQ==</vt:lpwstr>
  </property>
</Properties>
</file>