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附件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8"/>
          <w:szCs w:val="4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 xml:space="preserve"> 2023</w:t>
      </w:r>
      <w:r>
        <w:rPr>
          <w:rFonts w:hint="eastAsia" w:ascii="仿宋" w:hAnsi="仿宋" w:eastAsia="仿宋" w:cs="仿宋"/>
          <w:sz w:val="44"/>
          <w:szCs w:val="44"/>
        </w:rPr>
        <w:t>年度</w:t>
      </w:r>
      <w:r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  <w:t>益阳市资阳区档案馆</w:t>
      </w:r>
      <w:r>
        <w:rPr>
          <w:rFonts w:hint="eastAsia" w:ascii="仿宋" w:hAnsi="仿宋" w:eastAsia="仿宋" w:cs="仿宋"/>
          <w:sz w:val="44"/>
          <w:szCs w:val="44"/>
        </w:rPr>
        <w:t>部门整体支出绩效自评报告</w:t>
      </w:r>
    </w:p>
    <w:p>
      <w:pPr>
        <w:jc w:val="both"/>
        <w:rPr>
          <w:rFonts w:hint="eastAsia" w:ascii="仿宋" w:hAnsi="仿宋" w:eastAsia="仿宋" w:cs="仿宋"/>
          <w:sz w:val="44"/>
          <w:szCs w:val="44"/>
        </w:rPr>
      </w:pPr>
    </w:p>
    <w:p>
      <w:pPr>
        <w:ind w:firstLine="880" w:firstLineChars="200"/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ind w:firstLine="880" w:firstLineChars="200"/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ind w:firstLine="720" w:firstLineChars="200"/>
        <w:jc w:val="both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ind w:firstLine="720" w:firstLineChars="200"/>
        <w:jc w:val="both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ind w:firstLine="720" w:firstLineChars="200"/>
        <w:jc w:val="both"/>
        <w:rPr>
          <w:rFonts w:hint="eastAsia" w:ascii="仿宋" w:hAnsi="仿宋" w:eastAsia="仿宋" w:cs="仿宋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部门（</w:t>
      </w:r>
      <w:r>
        <w:rPr>
          <w:rFonts w:hint="eastAsia" w:ascii="仿宋" w:hAnsi="仿宋" w:eastAsia="仿宋" w:cs="仿宋"/>
          <w:sz w:val="36"/>
          <w:szCs w:val="36"/>
        </w:rPr>
        <w:t>单位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）</w:t>
      </w:r>
      <w:r>
        <w:rPr>
          <w:rFonts w:hint="eastAsia" w:ascii="仿宋" w:hAnsi="仿宋" w:eastAsia="仿宋" w:cs="仿宋"/>
          <w:sz w:val="36"/>
          <w:szCs w:val="36"/>
        </w:rPr>
        <w:t>名称：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益阳市资阳区档案馆</w:t>
      </w:r>
    </w:p>
    <w:p>
      <w:pPr>
        <w:ind w:firstLine="3240" w:firstLineChars="900"/>
        <w:jc w:val="both"/>
        <w:rPr>
          <w:rFonts w:hint="eastAsia" w:ascii="仿宋" w:hAnsi="仿宋" w:eastAsia="仿宋" w:cs="仿宋"/>
          <w:sz w:val="36"/>
          <w:szCs w:val="36"/>
          <w:u w:val="none"/>
          <w:lang w:val="en-US" w:eastAsia="zh-CN"/>
        </w:rPr>
      </w:pPr>
    </w:p>
    <w:p>
      <w:pPr>
        <w:ind w:firstLine="2520" w:firstLineChars="700"/>
        <w:jc w:val="both"/>
        <w:rPr>
          <w:rFonts w:hint="eastAsia" w:ascii="仿宋" w:hAnsi="仿宋" w:eastAsia="仿宋" w:cs="仿宋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u w:val="none"/>
          <w:lang w:val="en-US" w:eastAsia="zh-CN"/>
        </w:rPr>
        <w:t>2024年  6月  05 日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1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6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6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600" w:lineRule="exact"/>
        <w:ind w:firstLine="1446" w:firstLineChars="400"/>
        <w:jc w:val="both"/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 w:bidi="ar-SA"/>
        </w:rPr>
        <w:t>2023年度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益阳市资阳区档案馆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 w:bidi="ar-SA"/>
        </w:rPr>
        <w:t>部门</w:t>
      </w:r>
    </w:p>
    <w:p>
      <w:pPr>
        <w:spacing w:line="600" w:lineRule="exact"/>
        <w:ind w:firstLine="2530" w:firstLineChars="700"/>
        <w:jc w:val="both"/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  <w:lang w:val="en-US" w:eastAsia="zh-CN" w:bidi="ar-SA"/>
        </w:rPr>
        <w:t>整体支出绩效自评报告</w:t>
      </w:r>
    </w:p>
    <w:p>
      <w:pPr>
        <w:pStyle w:val="16"/>
        <w:rPr>
          <w:rFonts w:hint="eastAsia"/>
          <w:lang w:val="en-US" w:eastAsia="zh-CN"/>
        </w:rPr>
      </w:pPr>
    </w:p>
    <w:p>
      <w:pPr>
        <w:spacing w:line="560" w:lineRule="exact"/>
        <w:ind w:firstLine="691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为进一步规范财政资金管理，牢固树立预算绩效理念，强化部门支出责任，提高财政资金使用效益，根据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益阳市资阳区财政局关于开展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2023年度部门绩效自评工作的要求，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我单位领导高度重视，认真组织，对202</w:t>
      </w:r>
      <w:r>
        <w:rPr>
          <w:rFonts w:hint="eastAsia" w:ascii="仿宋_GB2312" w:hAnsi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年部门整体支出进行了绩效自评，现将我单位部门整体支出绩效自评情况报告如下</w:t>
      </w:r>
      <w:r>
        <w:rPr>
          <w:rFonts w:hint="eastAsia" w:ascii="仿宋_GB2312" w:hAnsi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:</w:t>
      </w:r>
    </w:p>
    <w:p>
      <w:pPr>
        <w:widowControl/>
        <w:autoSpaceDN w:val="0"/>
        <w:spacing w:line="540" w:lineRule="exact"/>
        <w:ind w:firstLine="64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27" w:firstLineChars="196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（一）简要介绍2023年度重点工作计划</w:t>
      </w:r>
    </w:p>
    <w:p>
      <w:pPr>
        <w:spacing w:line="560" w:lineRule="exact"/>
        <w:ind w:firstLine="691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1.局馆联动夯实基础</w:t>
      </w:r>
    </w:p>
    <w:p>
      <w:pPr>
        <w:spacing w:line="560" w:lineRule="exact"/>
        <w:ind w:firstLine="691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2.强化档案保管保护</w:t>
      </w:r>
    </w:p>
    <w:p>
      <w:pPr>
        <w:spacing w:line="560" w:lineRule="exact"/>
        <w:ind w:firstLine="691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3.做好档案的综合利用</w:t>
      </w:r>
    </w:p>
    <w:p>
      <w:pPr>
        <w:spacing w:line="560" w:lineRule="exact"/>
        <w:ind w:firstLine="691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4.推进档案数字信息化</w:t>
      </w:r>
    </w:p>
    <w:p>
      <w:pPr>
        <w:spacing w:line="560" w:lineRule="exact"/>
        <w:ind w:firstLine="691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5.抓实档案业务评价</w:t>
      </w:r>
    </w:p>
    <w:p>
      <w:pPr>
        <w:spacing w:line="560" w:lineRule="exact"/>
        <w:ind w:firstLine="691"/>
        <w:jc w:val="both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6.积极推进新馆建设</w:t>
      </w:r>
    </w:p>
    <w:p>
      <w:pPr>
        <w:numPr>
          <w:ilvl w:val="0"/>
          <w:numId w:val="1"/>
        </w:numPr>
        <w:spacing w:line="720" w:lineRule="auto"/>
        <w:ind w:firstLine="627" w:firstLineChars="196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部门整体支出规模、使用方向、主要内容和涉及范围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firstLine="640" w:firstLineChars="200"/>
        <w:textAlignment w:val="baseline"/>
        <w:rPr>
          <w:rFonts w:hint="eastAsia" w:ascii="仿宋_GB2312" w:hAnsi="仿宋_GB2312" w:eastAsia="仿宋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单位总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224.9万元，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同比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上年增加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42.31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23.17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%，主要原因是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本年度新增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干职工调资、绩效考核奖励资金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档案数字化经费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其中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：（1）、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</w:rPr>
        <w:t>一般公共预算财政拨款收入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val="en-US" w:eastAsia="zh-CN"/>
        </w:rPr>
        <w:t>202.47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</w:rPr>
        <w:t>万元,占总收入的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</w:rPr>
        <w:t>%；主要明细如下：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一般公共服务支出150.93万元；社会保障和就业支出12.15万元;卫生健康支出9.43万元；城乡社区支出21.05万元；住房保障支出8.91万元。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eastAsia="zh-CN"/>
        </w:rPr>
        <w:t>）</w:t>
      </w:r>
      <w:r>
        <w:rPr>
          <w:rFonts w:ascii="仿宋" w:hAnsi="仿宋" w:eastAsia="仿宋" w:cs="仿宋"/>
          <w:spacing w:val="11"/>
          <w:kern w:val="0"/>
          <w:sz w:val="32"/>
          <w:szCs w:val="32"/>
        </w:rPr>
        <w:t>其他收入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val="en-US" w:eastAsia="zh-CN"/>
        </w:rPr>
        <w:t>22.43</w:t>
      </w:r>
      <w:r>
        <w:rPr>
          <w:rFonts w:ascii="仿宋" w:hAnsi="仿宋" w:eastAsia="仿宋" w:cs="仿宋"/>
          <w:spacing w:val="11"/>
          <w:kern w:val="0"/>
          <w:sz w:val="32"/>
          <w:szCs w:val="32"/>
        </w:rPr>
        <w:t>万元,占总收入的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val="en-US" w:eastAsia="zh-CN"/>
        </w:rPr>
        <w:t>10</w:t>
      </w:r>
      <w:r>
        <w:rPr>
          <w:rFonts w:ascii="仿宋" w:hAnsi="仿宋" w:eastAsia="仿宋" w:cs="仿宋"/>
          <w:spacing w:val="11"/>
          <w:kern w:val="0"/>
          <w:sz w:val="32"/>
          <w:szCs w:val="32"/>
        </w:rPr>
        <w:t>%。</w:t>
      </w:r>
      <w:r>
        <w:rPr>
          <w:rFonts w:hint="eastAsia" w:ascii="仿宋" w:hAnsi="仿宋" w:eastAsia="仿宋" w:cs="仿宋"/>
          <w:spacing w:val="11"/>
          <w:kern w:val="0"/>
          <w:sz w:val="32"/>
          <w:szCs w:val="32"/>
          <w:lang w:eastAsia="zh-CN"/>
        </w:rPr>
        <w:t>主要是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收到的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  <w:lang w:eastAsia="zh-CN"/>
        </w:rPr>
        <w:t>各单位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用于加强档案管理能力的资金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96" w:lineRule="auto"/>
        <w:ind w:firstLine="640" w:firstLineChars="200"/>
        <w:textAlignment w:val="baseline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2、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年本单位总支出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224.9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万元，同比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上年增加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29.96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15.37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%，主要原因是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本年度新增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干职工调资、绩效考核奖励资金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档案数字化经费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。其中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：人员经费支出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135.85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万元，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公用经费支出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71.05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万元、项目支出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96" w:lineRule="auto"/>
        <w:ind w:left="22" w:leftChars="7" w:right="11" w:firstLine="640" w:firstLineChars="200"/>
        <w:jc w:val="lef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3、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单位年初预算收入合计141.72万元，部门决算支出合计224.9万元。</w:t>
      </w:r>
      <w:r>
        <w:rPr>
          <w:rFonts w:hint="eastAsia" w:ascii="仿宋" w:hAnsi="仿宋" w:eastAsia="仿宋" w:cs="仿宋"/>
          <w:spacing w:val="6"/>
          <w:kern w:val="0"/>
          <w:sz w:val="32"/>
          <w:szCs w:val="32"/>
        </w:rPr>
        <w:t>2023年预算数与决算数存在差异的主要原因是本年度新增以下资金：1、干职工调资、绩效考核奖励资金13万元；2、档案数字化经费及其他经费47.75万元；3、其他收入22.43万元。</w:t>
      </w:r>
    </w:p>
    <w:p>
      <w:pPr>
        <w:widowControl/>
        <w:autoSpaceDN w:val="0"/>
        <w:spacing w:line="560" w:lineRule="exact"/>
        <w:ind w:firstLine="645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一般公共预算支出情况</w:t>
      </w:r>
    </w:p>
    <w:p>
      <w:pPr>
        <w:spacing w:line="600" w:lineRule="exact"/>
        <w:ind w:firstLine="627" w:firstLineChars="196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（一）基本支出情况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b/>
          <w:kern w:val="2"/>
          <w:sz w:val="32"/>
          <w:szCs w:val="32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基本支出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184.47万元，其中人员经费135.85万元，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主要包括基本工资、津贴补贴、奖金、基本养老保险缴费、职业年金、医疗保险缴费、住房公积金等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；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日常公用经费48.62万元，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包括办公费、印刷费、水电费、维修（护）费、物业费、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专用材料费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委托业务费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工会经费、福利费、其他交通费用、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其他商品和服务支出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等。</w:t>
      </w:r>
    </w:p>
    <w:p>
      <w:pPr>
        <w:spacing w:line="600" w:lineRule="exact"/>
        <w:ind w:firstLine="627" w:firstLineChars="196"/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（二）项目支出情况</w:t>
      </w:r>
    </w:p>
    <w:p>
      <w:pPr>
        <w:pStyle w:val="2"/>
        <w:numPr>
          <w:ilvl w:val="0"/>
          <w:numId w:val="0"/>
        </w:numPr>
        <w:rPr>
          <w:rFonts w:hint="eastAsia" w:ascii="仿宋_GB2312" w:cs="Times New Roman"/>
          <w:color w:val="FF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项目支出</w:t>
      </w:r>
      <w:r>
        <w:rPr>
          <w:rFonts w:hint="eastAsia" w:ascii="仿宋_GB2312" w:hAnsi="仿宋_GB2312" w:cs="仿宋_GB2312"/>
          <w:b w:val="0"/>
          <w:bCs/>
          <w:kern w:val="2"/>
          <w:sz w:val="32"/>
          <w:szCs w:val="32"/>
          <w:lang w:val="en-US" w:eastAsia="zh-CN" w:bidi="ar-SA"/>
        </w:rPr>
        <w:t>18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万元，</w:t>
      </w:r>
      <w:r>
        <w:rPr>
          <w:rFonts w:hint="eastAsia" w:ascii="仿宋_GB2312" w:hAnsi="仿宋_GB2312" w:cs="仿宋_GB2312"/>
          <w:i w:val="0"/>
          <w:iCs w:val="0"/>
          <w:caps w:val="0"/>
          <w:color w:val="000000"/>
          <w:spacing w:val="-2"/>
          <w:sz w:val="32"/>
          <w:szCs w:val="32"/>
          <w:shd w:val="clear" w:color="auto" w:fill="FFFFFF"/>
          <w:lang w:eastAsia="zh-CN"/>
        </w:rPr>
        <w:t>主要用于</w:t>
      </w:r>
      <w:r>
        <w:rPr>
          <w:rFonts w:hint="eastAsia" w:ascii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档案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信息化、数字化</w:t>
      </w:r>
      <w:r>
        <w:rPr>
          <w:rFonts w:hint="eastAsia" w:ascii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处理、档案整理、档案保管保护等方面。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严格按照年初预算使用专项经费，做到了专款专用。</w:t>
      </w:r>
    </w:p>
    <w:p>
      <w:pPr>
        <w:widowControl/>
        <w:numPr>
          <w:ilvl w:val="0"/>
          <w:numId w:val="2"/>
        </w:numPr>
        <w:autoSpaceDN w:val="0"/>
        <w:spacing w:line="540" w:lineRule="exact"/>
        <w:ind w:firstLine="640" w:firstLineChars="200"/>
        <w:rPr>
          <w:rFonts w:hint="default" w:ascii="黑体" w:hAnsi="黑体" w:eastAsia="黑体" w:cs="宋体"/>
          <w:color w:val="000000"/>
          <w:kern w:val="0"/>
          <w:sz w:val="32"/>
          <w:szCs w:val="32"/>
          <w:lang w:val="en-US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部门整体支出绩效情况</w:t>
      </w:r>
    </w:p>
    <w:p>
      <w:pPr>
        <w:pStyle w:val="9"/>
        <w:ind w:firstLine="960" w:firstLineChars="300"/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本部门整体支出和项目支出实行绩效目标管理，纳入202</w:t>
      </w:r>
      <w:r>
        <w:rPr>
          <w:rFonts w:hint="eastAsia" w:ascii="仿宋_GB2312" w:hAnsi="仿宋" w:cs="Times New Roman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年部门整体支出绩效目标的金额为</w:t>
      </w:r>
      <w:r>
        <w:rPr>
          <w:rFonts w:hint="eastAsia" w:ascii="仿宋_GB2312" w:hAnsi="仿宋" w:cs="Times New Roman"/>
          <w:kern w:val="2"/>
          <w:sz w:val="32"/>
          <w:szCs w:val="32"/>
          <w:highlight w:val="none"/>
          <w:lang w:val="en-US" w:eastAsia="zh-CN" w:bidi="ar-SA"/>
        </w:rPr>
        <w:t>224.9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万元，其中：基本支出</w:t>
      </w:r>
      <w:r>
        <w:rPr>
          <w:rFonts w:hint="eastAsia" w:ascii="仿宋_GB2312" w:hAnsi="仿宋" w:cs="Times New Roman"/>
          <w:kern w:val="2"/>
          <w:sz w:val="32"/>
          <w:szCs w:val="32"/>
          <w:highlight w:val="none"/>
          <w:lang w:val="en-US" w:eastAsia="zh-CN" w:bidi="ar-SA"/>
        </w:rPr>
        <w:t>206.9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万元，项目支出18万元。本年度完成绩效目标良好，收集和接收本馆保管范围内对国家和社会有保存价值的档案，将社会上集体和个人散存的珍贵特色档案征集入馆保存，并严格按照规定整理和保管。完成区级单位纸质档案和电子档案接收进馆、电子档案数据备份，电子档案的接收及馆藏档案数字化处理。采取各种形式开发档案资源，为社会利用档案资源提供服务。规范馆藏档案秩序，便捷查阅，提高利用率。档案保管实现规范化、信息化、数字化，向全区提供更优质的档案保管服务。</w:t>
      </w:r>
    </w:p>
    <w:p>
      <w:pPr>
        <w:widowControl/>
        <w:autoSpaceDN w:val="0"/>
        <w:spacing w:line="54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??_GB2312" w:hAnsi="仿宋" w:eastAsia="Times New Roman" w:cs="宋体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??_GB2312" w:hAnsi="仿宋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四、总体评价和自评得分情况</w:t>
      </w:r>
    </w:p>
    <w:p>
      <w:pPr>
        <w:pStyle w:val="9"/>
        <w:ind w:firstLine="960" w:firstLineChars="300"/>
        <w:rPr>
          <w:rFonts w:hint="eastAsia" w:ascii="仿宋_GB2312" w:hAnsi="仿宋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我单位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202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年度部门整体支出绩效自评得分为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99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分</w:t>
      </w: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rPr>
          <w:rFonts w:hint="default" w:ascii="仿宋_GB2312" w:hAnsi="宋体" w:cs="仿宋_GB2312"/>
          <w:i w:val="0"/>
          <w:iCs w:val="0"/>
          <w:caps w:val="0"/>
          <w:color w:val="FF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满意度指标满意率仅99%，扣除1分，主要原因库容不够，满足不了进档需求，未来将会建设新馆。</w:t>
      </w:r>
      <w:bookmarkStart w:id="0" w:name="_GoBack"/>
      <w:bookmarkEnd w:id="0"/>
      <w:r>
        <w:rPr>
          <w:rFonts w:hint="eastAsia" w:ascii="仿宋_GB2312" w:hAnsi="宋体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cs="仿宋_GB2312"/>
          <w:i w:val="0"/>
          <w:iCs w:val="0"/>
          <w:caps w:val="0"/>
          <w:color w:val="FF0000"/>
          <w:spacing w:val="0"/>
          <w:sz w:val="32"/>
          <w:szCs w:val="32"/>
          <w:lang w:val="en-US" w:eastAsia="zh-CN"/>
        </w:rPr>
        <w:t xml:space="preserve"> </w:t>
      </w:r>
    </w:p>
    <w:p>
      <w:pPr>
        <w:pStyle w:val="9"/>
        <w:rPr>
          <w:rFonts w:hint="default"/>
          <w:color w:val="FF0000"/>
          <w:lang w:val="en-US" w:eastAsia="zh-CN"/>
        </w:rPr>
      </w:pPr>
      <w:r>
        <w:rPr>
          <w:rFonts w:hint="eastAsia" w:ascii="仿宋_GB2312" w:hAnsi="宋体" w:cs="仿宋_GB2312"/>
          <w:i w:val="0"/>
          <w:iCs w:val="0"/>
          <w:caps w:val="0"/>
          <w:color w:val="FF0000"/>
          <w:spacing w:val="0"/>
          <w:sz w:val="32"/>
          <w:szCs w:val="32"/>
          <w:lang w:val="en-US" w:eastAsia="zh-CN"/>
        </w:rPr>
        <w:t xml:space="preserve"> </w:t>
      </w:r>
    </w:p>
    <w:p>
      <w:pPr>
        <w:pStyle w:val="18"/>
        <w:widowControl/>
        <w:numPr>
          <w:ilvl w:val="0"/>
          <w:numId w:val="0"/>
        </w:numPr>
        <w:spacing w:line="600" w:lineRule="exact"/>
        <w:ind w:leftChars="200"/>
        <w:jc w:val="left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五、</w:t>
      </w:r>
      <w:r>
        <w:rPr>
          <w:rFonts w:hint="eastAsia"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预算编制与实际支出项目有的仍存在细微差异。严格按照预算编制的相关制度和要求，提高预算编制的科学性、合理性。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六、下一步改进措施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本着“勤俭节约、保障运转”的原则</w:t>
      </w:r>
      <w:r>
        <w:rPr>
          <w:rFonts w:hint="eastAsia" w:ascii="仿宋_GB2312" w:hAnsi="Calibri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加强预算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编制</w:t>
      </w:r>
      <w:r>
        <w:rPr>
          <w:rFonts w:hint="eastAsia" w:ascii="仿宋_GB2312" w:cs="Times New Roman"/>
          <w:color w:val="auto"/>
          <w:kern w:val="2"/>
          <w:sz w:val="32"/>
          <w:szCs w:val="32"/>
          <w:lang w:val="en-US" w:eastAsia="zh-CN" w:bidi="ar-SA"/>
        </w:rPr>
        <w:t>及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执行管理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和会计核算</w:t>
      </w:r>
      <w:r>
        <w:rPr>
          <w:rFonts w:hint="eastAsia" w:ascii="仿宋_GB2312" w:hAnsi="Calibri" w:cs="Times New Roman"/>
          <w:color w:val="auto"/>
          <w:kern w:val="2"/>
          <w:sz w:val="32"/>
          <w:szCs w:val="32"/>
          <w:lang w:val="en-US" w:eastAsia="zh-CN" w:bidi="ar-SA"/>
        </w:rPr>
        <w:t>，科学合理使用财政资金，确保财政资金发挥最大效益。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进一步加强财务管理人员对相关业务的学习</w:t>
      </w:r>
      <w:r>
        <w:rPr>
          <w:rFonts w:hint="eastAsia" w:ascii="仿宋_GB2312" w:hAnsi="Calibri" w:cs="Times New Roman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提高预算编制的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精细化管理，提高预算绩效管理水平。</w:t>
      </w:r>
    </w:p>
    <w:p>
      <w:pPr>
        <w:pStyle w:val="2"/>
        <w:ind w:firstLine="631"/>
        <w:rPr>
          <w:rFonts w:hint="eastAsia" w:eastAsia="黑体"/>
          <w:sz w:val="32"/>
          <w:szCs w:val="32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</w:rPr>
        <w:t>七、整体支出绩效自评结果拟应用</w:t>
      </w:r>
      <w:r>
        <w:rPr>
          <w:rFonts w:hint="eastAsia" w:eastAsia="黑体"/>
          <w:sz w:val="32"/>
          <w:szCs w:val="32"/>
          <w:lang w:eastAsia="zh-CN"/>
        </w:rPr>
        <w:t>和</w:t>
      </w:r>
      <w:r>
        <w:rPr>
          <w:rFonts w:hint="eastAsia" w:eastAsia="黑体"/>
          <w:sz w:val="32"/>
          <w:szCs w:val="32"/>
        </w:rPr>
        <w:t>公开</w:t>
      </w:r>
      <w:r>
        <w:rPr>
          <w:rFonts w:hint="eastAsia" w:eastAsia="黑体"/>
          <w:sz w:val="32"/>
          <w:szCs w:val="32"/>
          <w:lang w:eastAsia="zh-CN"/>
        </w:rPr>
        <w:t>情况。</w:t>
      </w:r>
    </w:p>
    <w:p>
      <w:pPr>
        <w:widowControl/>
        <w:autoSpaceDE w:val="0"/>
        <w:ind w:firstLine="960" w:firstLineChars="300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本单位根据上级主管部门的要求，积极开展预算绩效管理，完成绩效目标，按时组织绩效考核工作，认真完成各项任务。按照上级的要求，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根据《预算法》、《预算法实施条例》、《政府信息公开条例》及《地方预决算公开操作规程》等文件规定，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进行预决算公开。此次绩效自评报告将在资阳区政府官网上予以</w:t>
      </w:r>
      <w:r>
        <w:rPr>
          <w:rFonts w:hint="eastAsia" w:ascii="仿宋_GB2312" w:hAnsi="Calibri" w:cs="Times New Roman"/>
          <w:color w:val="auto"/>
          <w:kern w:val="2"/>
          <w:sz w:val="32"/>
          <w:szCs w:val="32"/>
          <w:lang w:val="en-US" w:eastAsia="zh-CN" w:bidi="ar-SA"/>
        </w:rPr>
        <w:t>公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开，广泛接受群众监督。</w:t>
      </w:r>
    </w:p>
    <w:p>
      <w:pPr>
        <w:widowControl/>
        <w:spacing w:line="600" w:lineRule="exact"/>
        <w:ind w:firstLine="645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报告需要以下附件：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部门整体支出绩效评价基础数据表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部门整体支出绩效自评表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项目支出绩效自评表</w:t>
      </w:r>
    </w:p>
    <w:p>
      <w:pPr>
        <w:spacing w:line="600" w:lineRule="exact"/>
        <w:ind w:firstLine="627" w:firstLineChars="196"/>
        <w:rPr>
          <w:rFonts w:hint="eastAsia" w:ascii="仿宋" w:hAnsi="仿宋" w:eastAsia="仿宋" w:cs="仿宋"/>
          <w:kern w:val="0"/>
          <w:sz w:val="24"/>
        </w:rPr>
        <w:sectPr>
          <w:pgSz w:w="11906" w:h="16838"/>
          <w:pgMar w:top="1814" w:right="1361" w:bottom="1644" w:left="1587" w:header="851" w:footer="1304" w:gutter="0"/>
          <w:cols w:space="720" w:num="1"/>
          <w:rtlGutter w:val="0"/>
          <w:docGrid w:type="lines" w:linePitch="319" w:charSpace="0"/>
        </w:sect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4.其他必要材料（当年度预算绩效目标申报表、单位年度工作总结、预决算报表、有关表彰奖励复印件等）及与自评报告、基础表、自评表内容相符的相关佐证材料（佐证资料必须列目录，与自评表指标对应）</w:t>
      </w:r>
    </w:p>
    <w:p/>
    <w:sectPr>
      <w:footerReference r:id="rId3" w:type="default"/>
      <w:footerReference r:id="rId4" w:type="even"/>
      <w:pgSz w:w="16840" w:h="11907" w:orient="landscape"/>
      <w:pgMar w:top="1531" w:right="2041" w:bottom="1531" w:left="1871" w:header="851" w:footer="1304" w:gutter="0"/>
      <w:cols w:space="720" w:num="1"/>
      <w:rtlGutter w:val="0"/>
      <w:docGrid w:type="linesAndChars" w:linePitch="58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ind w:right="335"/>
      <w:rPr>
        <w:rStyle w:val="14"/>
        <w:rFonts w:hint="eastAsia" w:ascii="宋体" w:hAnsi="宋体" w:eastAsia="宋体"/>
        <w:sz w:val="28"/>
      </w:rPr>
    </w:pPr>
    <w:r>
      <w:rPr>
        <w:rStyle w:val="14"/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fldChar w:fldCharType="begin"/>
    </w:r>
    <w:r>
      <w:rPr>
        <w:rStyle w:val="14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14"/>
        <w:rFonts w:ascii="宋体" w:hAnsi="宋体" w:eastAsia="宋体"/>
        <w:sz w:val="28"/>
      </w:rPr>
      <w:t>3</w:t>
    </w:r>
    <w:r>
      <w:rPr>
        <w:rFonts w:ascii="宋体" w:hAnsi="宋体" w:eastAsia="宋体"/>
        <w:sz w:val="28"/>
      </w:rPr>
      <w:fldChar w:fldCharType="end"/>
    </w:r>
    <w:r>
      <w:rPr>
        <w:rStyle w:val="14"/>
        <w:rFonts w:hint="eastAsia" w:ascii="宋体" w:hAnsi="宋体" w:eastAsia="宋体"/>
        <w:sz w:val="28"/>
      </w:rPr>
      <w:t>—</w:t>
    </w:r>
  </w:p>
  <w:p>
    <w:pPr>
      <w:pStyle w:val="7"/>
      <w:ind w:right="360" w:firstLine="360"/>
      <w:jc w:val="right"/>
      <w:rPr>
        <w:rFonts w:hint="eastAsia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ind w:left="335"/>
      <w:rPr>
        <w:rStyle w:val="14"/>
        <w:rFonts w:hint="eastAsia" w:ascii="宋体" w:hAnsi="宋体" w:eastAsia="宋体"/>
        <w:sz w:val="28"/>
      </w:rPr>
    </w:pPr>
    <w:r>
      <w:rPr>
        <w:rStyle w:val="14"/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fldChar w:fldCharType="begin"/>
    </w:r>
    <w:r>
      <w:rPr>
        <w:rStyle w:val="14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14"/>
        <w:rFonts w:ascii="宋体" w:hAnsi="宋体" w:eastAsia="宋体"/>
        <w:sz w:val="28"/>
      </w:rPr>
      <w:t>4</w:t>
    </w:r>
    <w:r>
      <w:rPr>
        <w:rFonts w:ascii="宋体" w:hAnsi="宋体" w:eastAsia="宋体"/>
        <w:sz w:val="28"/>
      </w:rPr>
      <w:fldChar w:fldCharType="end"/>
    </w:r>
    <w:r>
      <w:rPr>
        <w:rStyle w:val="14"/>
        <w:rFonts w:hint="eastAsia" w:ascii="宋体" w:hAnsi="宋体" w:eastAsia="宋体"/>
        <w:sz w:val="28"/>
      </w:rPr>
      <w:t>—</w:t>
    </w:r>
  </w:p>
  <w:p>
    <w:pPr>
      <w:pStyle w:val="7"/>
      <w:ind w:left="300" w:right="360" w:firstLine="360"/>
      <w:rPr>
        <w:rFonts w:hint="eastAsia"/>
        <w:sz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546FEE"/>
    <w:multiLevelType w:val="singleLevel"/>
    <w:tmpl w:val="89546F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352D458"/>
    <w:multiLevelType w:val="singleLevel"/>
    <w:tmpl w:val="7352D45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OGViNDliNzFjZTU4Njk2MThiM2QwMTEwZDk5ZDEifQ=="/>
  </w:docVars>
  <w:rsids>
    <w:rsidRoot w:val="599C2549"/>
    <w:rsid w:val="01AD48BC"/>
    <w:rsid w:val="01F34ACE"/>
    <w:rsid w:val="02A04A2C"/>
    <w:rsid w:val="034E662B"/>
    <w:rsid w:val="07020FA3"/>
    <w:rsid w:val="073D02A0"/>
    <w:rsid w:val="07590F3E"/>
    <w:rsid w:val="09D20968"/>
    <w:rsid w:val="0A4B2D11"/>
    <w:rsid w:val="0A603879"/>
    <w:rsid w:val="0C07669E"/>
    <w:rsid w:val="0C365432"/>
    <w:rsid w:val="0C7B7A97"/>
    <w:rsid w:val="0CE55271"/>
    <w:rsid w:val="0EC24F1A"/>
    <w:rsid w:val="0F0D7623"/>
    <w:rsid w:val="0F7D38A4"/>
    <w:rsid w:val="10377E47"/>
    <w:rsid w:val="15763367"/>
    <w:rsid w:val="161B607C"/>
    <w:rsid w:val="163D127C"/>
    <w:rsid w:val="1663718D"/>
    <w:rsid w:val="181A1ED5"/>
    <w:rsid w:val="188151DF"/>
    <w:rsid w:val="18B52092"/>
    <w:rsid w:val="1911113A"/>
    <w:rsid w:val="194E1F14"/>
    <w:rsid w:val="1CCA2CB7"/>
    <w:rsid w:val="1D214436"/>
    <w:rsid w:val="1E8E4882"/>
    <w:rsid w:val="1FC005EC"/>
    <w:rsid w:val="20A10794"/>
    <w:rsid w:val="20C67056"/>
    <w:rsid w:val="20CC53E5"/>
    <w:rsid w:val="22F245F8"/>
    <w:rsid w:val="235711E2"/>
    <w:rsid w:val="24845ECD"/>
    <w:rsid w:val="24D020B2"/>
    <w:rsid w:val="250A1B00"/>
    <w:rsid w:val="27434CC4"/>
    <w:rsid w:val="275A1EE4"/>
    <w:rsid w:val="27916A87"/>
    <w:rsid w:val="2A81327C"/>
    <w:rsid w:val="2A8F0C40"/>
    <w:rsid w:val="2B8B51D0"/>
    <w:rsid w:val="2C0E34CF"/>
    <w:rsid w:val="2C4C12D0"/>
    <w:rsid w:val="2E7C7979"/>
    <w:rsid w:val="2ECB57B9"/>
    <w:rsid w:val="2FD565A0"/>
    <w:rsid w:val="308F57EF"/>
    <w:rsid w:val="313E0F40"/>
    <w:rsid w:val="314270A2"/>
    <w:rsid w:val="33AE1191"/>
    <w:rsid w:val="3571229D"/>
    <w:rsid w:val="37EA1649"/>
    <w:rsid w:val="38A22637"/>
    <w:rsid w:val="38AD4443"/>
    <w:rsid w:val="3B133F7A"/>
    <w:rsid w:val="3CC82EFE"/>
    <w:rsid w:val="3D407C4B"/>
    <w:rsid w:val="3F0B7D58"/>
    <w:rsid w:val="3F953EC9"/>
    <w:rsid w:val="3FA7589E"/>
    <w:rsid w:val="3FDB4D28"/>
    <w:rsid w:val="414C5733"/>
    <w:rsid w:val="41702ADA"/>
    <w:rsid w:val="42883C37"/>
    <w:rsid w:val="431A2B84"/>
    <w:rsid w:val="43420F74"/>
    <w:rsid w:val="45F6162A"/>
    <w:rsid w:val="46A270DD"/>
    <w:rsid w:val="47444D6A"/>
    <w:rsid w:val="477B5BE7"/>
    <w:rsid w:val="481B24FF"/>
    <w:rsid w:val="49227F78"/>
    <w:rsid w:val="49BE33DC"/>
    <w:rsid w:val="4D36087D"/>
    <w:rsid w:val="4D4D7F3D"/>
    <w:rsid w:val="4DA67EC6"/>
    <w:rsid w:val="4E6A142A"/>
    <w:rsid w:val="50F2385E"/>
    <w:rsid w:val="51F15642"/>
    <w:rsid w:val="52792318"/>
    <w:rsid w:val="52A231E7"/>
    <w:rsid w:val="52C53713"/>
    <w:rsid w:val="53DF1260"/>
    <w:rsid w:val="55303EE3"/>
    <w:rsid w:val="55AC20ED"/>
    <w:rsid w:val="57080AA0"/>
    <w:rsid w:val="586823B7"/>
    <w:rsid w:val="599C2549"/>
    <w:rsid w:val="59C42ADE"/>
    <w:rsid w:val="5A4E089D"/>
    <w:rsid w:val="5B177D82"/>
    <w:rsid w:val="5BA93D1B"/>
    <w:rsid w:val="5C056287"/>
    <w:rsid w:val="5ED5259B"/>
    <w:rsid w:val="5F5217F0"/>
    <w:rsid w:val="5F9600B5"/>
    <w:rsid w:val="61CF1286"/>
    <w:rsid w:val="61DD5B38"/>
    <w:rsid w:val="62656A51"/>
    <w:rsid w:val="63D16307"/>
    <w:rsid w:val="643238F9"/>
    <w:rsid w:val="64545C3A"/>
    <w:rsid w:val="65A53944"/>
    <w:rsid w:val="66260F1A"/>
    <w:rsid w:val="68AA05AA"/>
    <w:rsid w:val="69612417"/>
    <w:rsid w:val="71324703"/>
    <w:rsid w:val="71A151C1"/>
    <w:rsid w:val="71BE34D3"/>
    <w:rsid w:val="72A75C49"/>
    <w:rsid w:val="73612DF8"/>
    <w:rsid w:val="766E53F8"/>
    <w:rsid w:val="76C80F95"/>
    <w:rsid w:val="77310F2D"/>
    <w:rsid w:val="775425D1"/>
    <w:rsid w:val="7B723B17"/>
    <w:rsid w:val="7D203AF6"/>
    <w:rsid w:val="7D8D438F"/>
    <w:rsid w:val="7E2D3807"/>
    <w:rsid w:val="7E86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Normal Indent"/>
    <w:basedOn w:val="1"/>
    <w:next w:val="1"/>
    <w:qFormat/>
    <w:uiPriority w:val="0"/>
    <w:pPr>
      <w:ind w:firstLine="200" w:firstLineChars="200"/>
    </w:pPr>
    <w:rPr>
      <w:sz w:val="32"/>
    </w:rPr>
  </w:style>
  <w:style w:type="paragraph" w:styleId="4">
    <w:name w:val="Body Text"/>
    <w:basedOn w:val="1"/>
    <w:next w:val="5"/>
    <w:qFormat/>
    <w:uiPriority w:val="99"/>
  </w:style>
  <w:style w:type="paragraph" w:styleId="5">
    <w:name w:val="Body Text 2"/>
    <w:basedOn w:val="1"/>
    <w:qFormat/>
    <w:uiPriority w:val="0"/>
    <w:pPr>
      <w:spacing w:after="120" w:line="480" w:lineRule="auto"/>
    </w:pPr>
  </w:style>
  <w:style w:type="paragraph" w:styleId="6">
    <w:name w:val="Body Text Indent"/>
    <w:basedOn w:val="1"/>
    <w:qFormat/>
    <w:uiPriority w:val="0"/>
    <w:pPr>
      <w:ind w:firstLine="632" w:firstLine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4"/>
    <w:qFormat/>
    <w:uiPriority w:val="0"/>
    <w:pPr>
      <w:ind w:firstLine="420" w:firstLineChars="100"/>
    </w:pPr>
  </w:style>
  <w:style w:type="paragraph" w:styleId="10">
    <w:name w:val="Body Text First Indent 2"/>
    <w:basedOn w:val="6"/>
    <w:qFormat/>
    <w:uiPriority w:val="0"/>
    <w:pPr>
      <w:spacing w:before="100" w:beforeAutospacing="1" w:after="0"/>
      <w:ind w:left="0"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Emphasis"/>
    <w:basedOn w:val="13"/>
    <w:qFormat/>
    <w:uiPriority w:val="0"/>
    <w:rPr>
      <w:i/>
    </w:rPr>
  </w:style>
  <w:style w:type="paragraph" w:customStyle="1" w:styleId="16">
    <w:name w:val="BodyText1I2"/>
    <w:basedOn w:val="17"/>
    <w:qFormat/>
    <w:uiPriority w:val="0"/>
    <w:pPr>
      <w:ind w:firstLine="420"/>
    </w:pPr>
  </w:style>
  <w:style w:type="paragraph" w:customStyle="1" w:styleId="17">
    <w:name w:val="BodyTextIndent"/>
    <w:basedOn w:val="1"/>
    <w:qFormat/>
    <w:uiPriority w:val="0"/>
    <w:pPr>
      <w:spacing w:after="120"/>
      <w:ind w:left="420" w:leftChars="200" w:firstLine="200" w:firstLineChars="200"/>
      <w:textAlignment w:val="baseline"/>
    </w:pPr>
  </w:style>
  <w:style w:type="paragraph" w:styleId="1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格式"/>
    <w:basedOn w:val="1"/>
    <w:qFormat/>
    <w:uiPriority w:val="0"/>
    <w:pPr>
      <w:spacing w:line="600" w:lineRule="exact"/>
      <w:ind w:firstLine="420" w:firstLineChars="200"/>
    </w:pPr>
    <w:rPr>
      <w:rFonts w:ascii="仿宋_GB2312" w:hAns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7</Pages>
  <Words>1832</Words>
  <Characters>1999</Characters>
  <Lines>0</Lines>
  <Paragraphs>0</Paragraphs>
  <TotalTime>3</TotalTime>
  <ScaleCrop>false</ScaleCrop>
  <LinksUpToDate>false</LinksUpToDate>
  <CharactersWithSpaces>2038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2024-04-24T03:36:00Z</dcterms:created>
  <dc:creator>Administrator</dc:creator>
  <cp:lastModifiedBy>Administrator</cp:lastModifiedBy>
  <dcterms:modified xsi:type="dcterms:W3CDTF">2024-06-07T03:32:30Z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810CFEFB917D40138685AD83ED526195_13</vt:lpwstr>
  </property>
</Properties>
</file>