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6</w:t>
      </w:r>
    </w:p>
    <w:p>
      <w:pPr>
        <w:spacing w:line="600" w:lineRule="exact"/>
        <w:jc w:val="center"/>
        <w:rPr>
          <w:rFonts w:hint="eastAsia" w:ascii="仿宋" w:hAnsi="仿宋" w:eastAsia="仿宋" w:cs="仿宋"/>
          <w:sz w:val="48"/>
          <w:szCs w:val="48"/>
          <w:lang w:val="en-US" w:eastAsia="zh-CN"/>
        </w:rPr>
      </w:pPr>
      <w:r>
        <w:rPr>
          <w:rFonts w:hint="eastAsia" w:ascii="仿宋" w:hAnsi="仿宋" w:eastAsia="仿宋" w:cs="仿宋"/>
          <w:sz w:val="48"/>
          <w:szCs w:val="48"/>
          <w:lang w:val="en-US" w:eastAsia="zh-CN"/>
        </w:rPr>
        <w:t>(2023)年度益阳市资阳区司法局部门普法宣传项目支出绩效评价报告</w:t>
      </w:r>
    </w:p>
    <w:p>
      <w:pPr>
        <w:tabs>
          <w:tab w:val="left" w:pos="1603"/>
        </w:tabs>
        <w:bidi w:val="0"/>
        <w:jc w:val="left"/>
        <w:rPr>
          <w:rFonts w:hint="eastAsia" w:ascii="仿宋" w:hAnsi="仿宋" w:eastAsia="仿宋" w:cs="仿宋"/>
          <w:lang w:val="en-US" w:eastAsia="zh-CN"/>
        </w:rPr>
      </w:pPr>
      <w:r>
        <w:rPr>
          <w:rFonts w:hint="eastAsia" w:ascii="仿宋" w:hAnsi="仿宋" w:eastAsia="仿宋" w:cs="仿宋"/>
          <w:lang w:val="en-US" w:eastAsia="zh-CN"/>
        </w:rPr>
        <w:t> </w:t>
      </w:r>
    </w:p>
    <w:p>
      <w:pPr>
        <w:tabs>
          <w:tab w:val="left" w:pos="1603"/>
        </w:tabs>
        <w:bidi w:val="0"/>
        <w:jc w:val="left"/>
        <w:rPr>
          <w:rFonts w:hint="eastAsia" w:ascii="仿宋" w:hAnsi="仿宋" w:eastAsia="仿宋" w:cs="仿宋"/>
          <w:lang w:val="en-US" w:eastAsia="zh-CN"/>
        </w:rPr>
      </w:pPr>
      <w:r>
        <w:rPr>
          <w:rFonts w:hint="eastAsia" w:ascii="仿宋" w:hAnsi="仿宋" w:eastAsia="仿宋" w:cs="仿宋"/>
          <w:lang w:val="en-US" w:eastAsia="zh-CN"/>
        </w:rPr>
        <w:t> </w:t>
      </w:r>
    </w:p>
    <w:p>
      <w:pPr>
        <w:tabs>
          <w:tab w:val="left" w:pos="1603"/>
        </w:tabs>
        <w:bidi w:val="0"/>
        <w:jc w:val="left"/>
        <w:rPr>
          <w:rFonts w:hint="eastAsia" w:ascii="仿宋" w:hAnsi="仿宋" w:eastAsia="仿宋" w:cs="仿宋"/>
          <w:lang w:val="en-US" w:eastAsia="zh-CN"/>
        </w:rPr>
      </w:pPr>
    </w:p>
    <w:p>
      <w:pPr>
        <w:tabs>
          <w:tab w:val="left" w:pos="1603"/>
        </w:tabs>
        <w:bidi w:val="0"/>
        <w:jc w:val="left"/>
        <w:rPr>
          <w:rFonts w:hint="eastAsia" w:ascii="仿宋" w:hAnsi="仿宋" w:eastAsia="仿宋" w:cs="仿宋"/>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1440" w:firstLineChars="4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 xml:space="preserve">  部门（单位）名称：（盖章）      </w:t>
      </w:r>
    </w:p>
    <w:p>
      <w:pPr>
        <w:ind w:firstLine="2520" w:firstLineChars="700"/>
        <w:jc w:val="both"/>
        <w:rPr>
          <w:rFonts w:hint="eastAsia" w:ascii="仿宋" w:hAnsi="仿宋" w:eastAsia="仿宋" w:cs="仿宋"/>
          <w:sz w:val="36"/>
          <w:szCs w:val="36"/>
          <w:lang w:val="en-US" w:eastAsia="zh-CN"/>
        </w:rPr>
      </w:pPr>
    </w:p>
    <w:p>
      <w:pPr>
        <w:ind w:firstLine="3240" w:firstLineChars="9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2024年 5 月15日</w:t>
      </w:r>
    </w:p>
    <w:p>
      <w:pPr>
        <w:ind w:firstLine="720" w:firstLineChars="200"/>
        <w:jc w:val="both"/>
        <w:rPr>
          <w:rFonts w:hint="eastAsia" w:ascii="仿宋" w:hAnsi="仿宋" w:eastAsia="仿宋" w:cs="仿宋"/>
          <w:sz w:val="36"/>
          <w:szCs w:val="36"/>
          <w:lang w:val="en-US" w:eastAsia="zh-CN"/>
        </w:rPr>
      </w:pPr>
    </w:p>
    <w:p>
      <w:pPr>
        <w:jc w:val="center"/>
        <w:rPr>
          <w:rFonts w:hint="eastAsia" w:ascii="仿宋" w:hAnsi="仿宋" w:eastAsia="仿宋" w:cs="仿宋"/>
          <w:sz w:val="32"/>
          <w:szCs w:val="32"/>
          <w:lang w:val="en-US" w:eastAsia="zh-CN"/>
        </w:rPr>
      </w:pPr>
    </w:p>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（此面为封面）</w:t>
      </w:r>
    </w:p>
    <w:p>
      <w:pPr>
        <w:spacing w:line="560" w:lineRule="exact"/>
        <w:jc w:val="center"/>
        <w:rPr>
          <w:rFonts w:hint="eastAsia" w:ascii="仿宋" w:hAnsi="仿宋" w:eastAsia="仿宋" w:cs="仿宋"/>
          <w:sz w:val="36"/>
          <w:szCs w:val="36"/>
          <w:lang w:val="en-US" w:eastAsia="zh-CN"/>
        </w:rPr>
      </w:pPr>
    </w:p>
    <w:p>
      <w:pPr>
        <w:spacing w:line="600" w:lineRule="exact"/>
        <w:jc w:val="center"/>
        <w:rPr>
          <w:rFonts w:hint="eastAsia" w:ascii="仿宋" w:hAnsi="仿宋" w:eastAsia="仿宋" w:cs="仿宋"/>
          <w:sz w:val="48"/>
          <w:szCs w:val="48"/>
          <w:lang w:val="en-US" w:eastAsia="zh-CN"/>
        </w:rPr>
      </w:pPr>
    </w:p>
    <w:p>
      <w:pPr>
        <w:spacing w:line="600" w:lineRule="exact"/>
        <w:jc w:val="center"/>
        <w:rPr>
          <w:rFonts w:hint="eastAsia" w:ascii="仿宋" w:hAnsi="仿宋" w:eastAsia="仿宋" w:cs="仿宋"/>
          <w:sz w:val="48"/>
          <w:szCs w:val="48"/>
          <w:lang w:val="en-US" w:eastAsia="zh-CN"/>
        </w:rPr>
      </w:pPr>
      <w:bookmarkStart w:id="0" w:name="_GoBack"/>
      <w:bookmarkEnd w:id="0"/>
      <w:r>
        <w:rPr>
          <w:rFonts w:hint="eastAsia" w:ascii="仿宋" w:hAnsi="仿宋" w:eastAsia="仿宋" w:cs="仿宋"/>
          <w:sz w:val="48"/>
          <w:szCs w:val="48"/>
          <w:lang w:val="en-US" w:eastAsia="zh-CN"/>
        </w:rPr>
        <w:t xml:space="preserve"> 2023 年度益阳市资阳区司法局部门普法宣传项目支出绩效评价报告</w:t>
      </w:r>
    </w:p>
    <w:p>
      <w:pPr>
        <w:pStyle w:val="5"/>
        <w:keepNext w:val="0"/>
        <w:keepLines w:val="0"/>
        <w:widowControl/>
        <w:suppressLineNumbers w:val="0"/>
        <w:spacing w:before="100" w:beforeAutospacing="1" w:after="100" w:afterAutospacing="1"/>
        <w:ind w:left="0" w:right="0"/>
        <w:jc w:val="center"/>
      </w:pP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一、基本情况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（一）项目概况。</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1、项目背景</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根据</w:t>
      </w:r>
      <w:r>
        <w:rPr>
          <w:rFonts w:hint="default" w:ascii="仿宋_GB2312" w:hAnsi="仿宋_GB2312" w:cs="仿宋_GB2312"/>
          <w:szCs w:val="32"/>
          <w:lang w:val="en-US" w:eastAsia="zh-CN"/>
        </w:rPr>
        <w:t>“八五”普法工作规划，组织实施普法宣传工作项目，全年收到普法宣传项目资金总额1</w:t>
      </w:r>
      <w:r>
        <w:rPr>
          <w:rFonts w:hint="eastAsia" w:ascii="仿宋_GB2312" w:hAnsi="仿宋_GB2312" w:cs="仿宋_GB2312"/>
          <w:szCs w:val="32"/>
          <w:lang w:val="en-US" w:eastAsia="zh-CN"/>
        </w:rPr>
        <w:t>2</w:t>
      </w:r>
      <w:r>
        <w:rPr>
          <w:rFonts w:hint="default" w:ascii="仿宋_GB2312" w:hAnsi="仿宋_GB2312" w:cs="仿宋_GB2312"/>
          <w:szCs w:val="32"/>
          <w:lang w:val="en-US" w:eastAsia="zh-CN"/>
        </w:rPr>
        <w:t>万元，实际支付</w:t>
      </w:r>
      <w:r>
        <w:rPr>
          <w:rFonts w:hint="eastAsia" w:ascii="仿宋_GB2312" w:hAnsi="仿宋_GB2312" w:cs="仿宋_GB2312"/>
          <w:szCs w:val="32"/>
          <w:lang w:val="en-US" w:eastAsia="zh-CN"/>
        </w:rPr>
        <w:t>12</w:t>
      </w:r>
      <w:r>
        <w:rPr>
          <w:rFonts w:hint="default" w:ascii="仿宋_GB2312" w:hAnsi="仿宋_GB2312" w:cs="仿宋_GB2312"/>
          <w:szCs w:val="32"/>
          <w:lang w:val="en-US" w:eastAsia="zh-CN"/>
        </w:rPr>
        <w:t>万元，计划用于开展全</w:t>
      </w:r>
      <w:r>
        <w:rPr>
          <w:rFonts w:hint="eastAsia" w:ascii="仿宋_GB2312" w:hAnsi="仿宋_GB2312" w:cs="仿宋_GB2312"/>
          <w:szCs w:val="32"/>
          <w:lang w:val="en-US" w:eastAsia="zh-CN"/>
        </w:rPr>
        <w:t>区</w:t>
      </w:r>
      <w:r>
        <w:rPr>
          <w:rFonts w:hint="default" w:ascii="仿宋_GB2312" w:hAnsi="仿宋_GB2312" w:cs="仿宋_GB2312"/>
          <w:szCs w:val="32"/>
          <w:lang w:val="en-US" w:eastAsia="zh-CN"/>
        </w:rPr>
        <w:t>普法宣传工作，提升人民群众法律知晓率，营造人人学法守法懂法用法的法治社会氛围。</w:t>
      </w:r>
    </w:p>
    <w:p>
      <w:pPr>
        <w:pStyle w:val="4"/>
        <w:numPr>
          <w:ilvl w:val="0"/>
          <w:numId w:val="1"/>
        </w:numPr>
        <w:spacing w:after="0"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主要内容及实施情况</w:t>
      </w:r>
    </w:p>
    <w:p>
      <w:pPr>
        <w:keepNext w:val="0"/>
        <w:keepLines w:val="0"/>
        <w:pageBreakBefore w:val="0"/>
        <w:widowControl w:val="0"/>
        <w:shd w:val="clear" w:color="auto" w:fill="FFFFFF"/>
        <w:kinsoku/>
        <w:wordWrap/>
        <w:overflowPunct w:val="0"/>
        <w:topLinePunct/>
        <w:autoSpaceDE/>
        <w:autoSpaceDN/>
        <w:bidi w:val="0"/>
        <w:adjustRightInd w:val="0"/>
        <w:snapToGrid w:val="0"/>
        <w:spacing w:line="575"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default" w:ascii="仿宋_GB2312" w:hAnsi="仿宋_GB2312" w:cs="仿宋_GB2312"/>
          <w:szCs w:val="32"/>
          <w:lang w:val="en-US" w:eastAsia="zh-CN"/>
        </w:rPr>
        <w:t>按照“八五”普法工作规划要求，在全</w:t>
      </w:r>
      <w:r>
        <w:rPr>
          <w:rFonts w:hint="eastAsia" w:ascii="仿宋_GB2312" w:hAnsi="仿宋_GB2312" w:cs="仿宋_GB2312"/>
          <w:szCs w:val="32"/>
          <w:lang w:val="en-US" w:eastAsia="zh-CN"/>
        </w:rPr>
        <w:t>区</w:t>
      </w:r>
      <w:r>
        <w:rPr>
          <w:rFonts w:hint="default" w:ascii="仿宋_GB2312" w:hAnsi="仿宋_GB2312" w:cs="仿宋_GB2312"/>
          <w:szCs w:val="32"/>
          <w:lang w:val="en-US" w:eastAsia="zh-CN"/>
        </w:rPr>
        <w:t>范围内积极开展普法宣传工作，全年计划开展普法宣传</w:t>
      </w:r>
      <w:r>
        <w:rPr>
          <w:rFonts w:hint="eastAsia" w:ascii="仿宋_GB2312" w:hAnsi="仿宋_GB2312" w:cs="仿宋_GB2312"/>
          <w:szCs w:val="32"/>
          <w:lang w:val="en-US" w:eastAsia="zh-CN"/>
        </w:rPr>
        <w:t>50</w:t>
      </w:r>
      <w:r>
        <w:rPr>
          <w:rFonts w:hint="default" w:ascii="仿宋_GB2312" w:hAnsi="仿宋_GB2312" w:cs="仿宋_GB2312"/>
          <w:szCs w:val="32"/>
          <w:lang w:val="en-US" w:eastAsia="zh-CN"/>
        </w:rPr>
        <w:t>余场（次），结合普法宣传活动深入开展宣传普法工作，提升全</w:t>
      </w:r>
      <w:r>
        <w:rPr>
          <w:rFonts w:hint="eastAsia" w:ascii="仿宋_GB2312" w:hAnsi="仿宋_GB2312" w:cs="仿宋_GB2312"/>
          <w:szCs w:val="32"/>
          <w:lang w:val="en-US" w:eastAsia="zh-CN"/>
        </w:rPr>
        <w:t>区</w:t>
      </w:r>
      <w:r>
        <w:rPr>
          <w:rFonts w:hint="default" w:ascii="仿宋_GB2312" w:hAnsi="仿宋_GB2312" w:cs="仿宋_GB2312"/>
          <w:szCs w:val="32"/>
          <w:lang w:val="en-US" w:eastAsia="zh-CN"/>
        </w:rPr>
        <w:t>人民群众法律知晓率，加强人民群众守法、懂法以及用法意识</w:t>
      </w:r>
      <w:r>
        <w:rPr>
          <w:rFonts w:hint="eastAsia" w:ascii="仿宋_GB2312" w:hAnsi="仿宋_GB2312" w:cs="仿宋_GB2312"/>
          <w:szCs w:val="32"/>
          <w:lang w:val="en-US" w:eastAsia="zh-CN"/>
        </w:rPr>
        <w:t>。</w:t>
      </w:r>
      <w:r>
        <w:rPr>
          <w:rFonts w:hint="eastAsia" w:ascii="仿宋_GB2312" w:hAnsi="仿宋_GB2312" w:cs="仿宋_GB2312"/>
          <w:szCs w:val="32"/>
          <w:highlight w:val="none"/>
          <w:lang w:val="en-US" w:eastAsia="zh-CN"/>
        </w:rPr>
        <w:t>普法宣传工作经费主要用于开展普法宣传工作的日常开支。</w:t>
      </w:r>
    </w:p>
    <w:p>
      <w:pPr>
        <w:pStyle w:val="4"/>
        <w:spacing w:after="0" w:line="560" w:lineRule="exact"/>
        <w:ind w:firstLine="640" w:firstLineChars="200"/>
        <w:rPr>
          <w:rFonts w:hint="default" w:ascii="仿宋_GB2312" w:hAnsi="仿宋_GB2312" w:cs="仿宋_GB2312"/>
          <w:szCs w:val="32"/>
          <w:highlight w:val="none"/>
          <w:lang w:val="en-US" w:eastAsia="zh-CN"/>
        </w:rPr>
      </w:pPr>
      <w:r>
        <w:rPr>
          <w:rFonts w:hint="eastAsia" w:ascii="仿宋_GB2312" w:hAnsi="仿宋_GB2312" w:cs="仿宋_GB2312"/>
          <w:szCs w:val="32"/>
          <w:lang w:val="en-US" w:eastAsia="zh-CN"/>
        </w:rPr>
        <w:t>3、</w:t>
      </w:r>
      <w:r>
        <w:rPr>
          <w:rFonts w:hint="eastAsia" w:ascii="仿宋" w:hAnsi="仿宋" w:eastAsia="仿宋" w:cs="仿宋"/>
          <w:sz w:val="32"/>
          <w:szCs w:val="32"/>
          <w:highlight w:val="none"/>
        </w:rPr>
        <w:t>资金投入和使用情况</w:t>
      </w:r>
    </w:p>
    <w:p>
      <w:pPr>
        <w:pStyle w:val="4"/>
        <w:spacing w:after="0" w:line="560" w:lineRule="exact"/>
        <w:ind w:firstLine="640" w:firstLineChars="200"/>
        <w:rPr>
          <w:rFonts w:hint="default" w:ascii="仿宋_GB2312" w:hAnsi="仿宋_GB2312" w:cs="仿宋_GB2312"/>
          <w:szCs w:val="32"/>
          <w:lang w:val="en-US" w:eastAsia="zh-CN"/>
        </w:rPr>
      </w:pPr>
      <w:r>
        <w:rPr>
          <w:rFonts w:hint="eastAsia" w:ascii="仿宋_GB2312" w:hAnsi="仿宋_GB2312" w:cs="仿宋_GB2312"/>
          <w:szCs w:val="32"/>
          <w:lang w:val="en-US" w:eastAsia="zh-CN"/>
        </w:rPr>
        <w:t>2023年财政安排普法宣传工作经费12万元，年初预算12万元，资金已全部到位，到位率100%。全年实际支出12万元，无结余。</w:t>
      </w:r>
    </w:p>
    <w:p>
      <w:pPr>
        <w:widowControl/>
        <w:numPr>
          <w:numId w:val="0"/>
        </w:numPr>
        <w:spacing w:line="600" w:lineRule="exact"/>
        <w:ind w:firstLine="320" w:firstLineChars="100"/>
        <w:jc w:val="left"/>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项目绩效目标。</w:t>
      </w:r>
    </w:p>
    <w:p>
      <w:pPr>
        <w:pStyle w:val="4"/>
        <w:numPr>
          <w:ilvl w:val="0"/>
          <w:numId w:val="2"/>
        </w:numPr>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总体目标</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提升思想站位，不断增强做好“八五”普法工作的责任感和主动性，推进社会主义法治文化建设　　</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2.阶段性目标</w:t>
      </w:r>
    </w:p>
    <w:p>
      <w:pPr>
        <w:pStyle w:val="4"/>
        <w:spacing w:after="0" w:line="560" w:lineRule="exact"/>
        <w:ind w:firstLine="640" w:firstLineChars="200"/>
        <w:rPr>
          <w:rFonts w:hint="eastAsia" w:ascii="仿宋_GB2312" w:hAnsi="仿宋_GB2312" w:cs="仿宋_GB2312"/>
          <w:szCs w:val="32"/>
          <w:highlight w:val="none"/>
          <w:lang w:val="en-US" w:eastAsia="zh-CN"/>
        </w:rPr>
      </w:pPr>
      <w:r>
        <w:rPr>
          <w:rFonts w:hint="eastAsia" w:ascii="仿宋_GB2312" w:hAnsi="仿宋_GB2312" w:cs="仿宋_GB2312"/>
          <w:szCs w:val="32"/>
          <w:lang w:val="en-US" w:eastAsia="zh-CN"/>
        </w:rPr>
        <w:t>按照“八五”普法的总体要求，采取集中学习和自学等多种形式，开展法制学习宣传教育工作。通过“线上+线下”相结合，进一步加大法律援助宣传，提升法律援助知晓率，为更多弱势群体带去“福音”。</w:t>
      </w:r>
      <w:r>
        <w:rPr>
          <w:rFonts w:hint="default" w:ascii="仿宋_GB2312" w:hAnsi="仿宋_GB2312" w:cs="仿宋_GB2312"/>
          <w:szCs w:val="32"/>
          <w:highlight w:val="none"/>
          <w:lang w:val="en-US" w:eastAsia="zh-CN"/>
        </w:rPr>
        <w:t>制作普法宣传作品</w:t>
      </w:r>
      <w:r>
        <w:rPr>
          <w:rFonts w:hint="eastAsia" w:ascii="仿宋_GB2312" w:hAnsi="仿宋_GB2312" w:cs="仿宋_GB2312"/>
          <w:szCs w:val="32"/>
          <w:highlight w:val="none"/>
          <w:lang w:val="en-US" w:eastAsia="zh-CN"/>
        </w:rPr>
        <w:t>1</w:t>
      </w:r>
      <w:r>
        <w:rPr>
          <w:rFonts w:hint="default" w:ascii="仿宋_GB2312" w:hAnsi="仿宋_GB2312" w:cs="仿宋_GB2312"/>
          <w:szCs w:val="32"/>
          <w:highlight w:val="none"/>
          <w:lang w:val="en-US" w:eastAsia="zh-CN"/>
        </w:rPr>
        <w:t>部，图文并茂展示我</w:t>
      </w:r>
      <w:r>
        <w:rPr>
          <w:rFonts w:hint="eastAsia" w:ascii="仿宋_GB2312" w:hAnsi="仿宋_GB2312" w:cs="仿宋_GB2312"/>
          <w:szCs w:val="32"/>
          <w:highlight w:val="none"/>
          <w:lang w:val="en-US" w:eastAsia="zh-CN"/>
        </w:rPr>
        <w:t>区</w:t>
      </w:r>
      <w:r>
        <w:rPr>
          <w:rFonts w:hint="default" w:ascii="仿宋_GB2312" w:hAnsi="仿宋_GB2312" w:cs="仿宋_GB2312"/>
          <w:szCs w:val="32"/>
          <w:highlight w:val="none"/>
          <w:lang w:val="en-US" w:eastAsia="zh-CN"/>
        </w:rPr>
        <w:t>“八五”普法工作成效，认真做好普法中期迎检工作</w:t>
      </w:r>
      <w:r>
        <w:rPr>
          <w:rFonts w:hint="eastAsia" w:ascii="仿宋_GB2312" w:hAnsi="仿宋_GB2312" w:cs="仿宋_GB2312"/>
          <w:szCs w:val="32"/>
          <w:highlight w:val="none"/>
          <w:lang w:val="en-US" w:eastAsia="zh-CN"/>
        </w:rPr>
        <w:t>。</w:t>
      </w:r>
      <w:r>
        <w:rPr>
          <w:rFonts w:hint="eastAsia" w:ascii="仿宋_GB2312" w:hAnsi="仿宋_GB2312" w:eastAsia="仿宋_GB2312" w:cs="仿宋_GB2312"/>
          <w:color w:val="auto"/>
          <w:kern w:val="0"/>
          <w:sz w:val="32"/>
          <w:szCs w:val="32"/>
          <w:highlight w:val="none"/>
        </w:rPr>
        <w:t>深入组织开展民主法治乡村、社区建设，提高辖区人民群众的安全感和满意度。</w:t>
      </w:r>
    </w:p>
    <w:p>
      <w:pPr>
        <w:pStyle w:val="4"/>
        <w:spacing w:after="0" w:line="560" w:lineRule="exact"/>
        <w:ind w:firstLine="640" w:firstLineChars="200"/>
        <w:rPr>
          <w:rFonts w:hint="eastAsia" w:ascii="仿宋_GB2312" w:hAnsi="仿宋_GB2312" w:cs="仿宋_GB2312"/>
          <w:szCs w:val="32"/>
          <w:lang w:val="en-US" w:eastAsia="zh-CN"/>
        </w:rPr>
      </w:pPr>
    </w:p>
    <w:p>
      <w:pPr>
        <w:pStyle w:val="4"/>
        <w:spacing w:after="0" w:line="560" w:lineRule="exact"/>
        <w:rPr>
          <w:rFonts w:hint="eastAsia" w:ascii="仿宋" w:hAnsi="仿宋" w:eastAsia="仿宋" w:cs="仿宋"/>
          <w:sz w:val="32"/>
          <w:szCs w:val="32"/>
        </w:rPr>
      </w:pPr>
      <w:r>
        <w:rPr>
          <w:rFonts w:hint="eastAsia" w:ascii="仿宋_GB2312" w:hAnsi="仿宋_GB2312" w:cs="仿宋_GB2312"/>
          <w:szCs w:val="32"/>
          <w:highlight w:val="none"/>
        </w:rPr>
        <w:t>　　</w:t>
      </w:r>
      <w:r>
        <w:rPr>
          <w:rFonts w:hint="eastAsia" w:ascii="仿宋" w:hAnsi="仿宋" w:eastAsia="仿宋" w:cs="仿宋"/>
          <w:sz w:val="32"/>
          <w:szCs w:val="32"/>
        </w:rPr>
        <w:t xml:space="preserve">二、绩效评价工作开展情况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（一）绩效评价目的、对象和范围。</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绩效评价目的是通过开展项目绩效评价，进一步规范普法宣传工作项目经费的管理和使用行为，确保专项经费专款专用。同时，总结经费预算、执行、管理的经验，建立科学合理的经费管理体系；绩效评价对象为本部门普法宣传项目，评价范围包括绩效管理全过程，绩效目标设定、实施到事后评价全过程。</w:t>
      </w:r>
    </w:p>
    <w:p>
      <w:pPr>
        <w:widowControl/>
        <w:numPr>
          <w:ilvl w:val="0"/>
          <w:numId w:val="3"/>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绩效评价原则、评价指标体系（附表说明）、评价方法、评价标准等。</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1.评价原则</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（1）科学规范。绩效评价注重财政支出的经济性、效率性和有效性，严格执行规定的程序，采用定量与定性分析相结合的方法。</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（2）公正公开。绩效评价客观、公正，标准统一、资料可靠，依法公开并接受监督。</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2.评价方法</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通过抽查信息平台数据、听取汇报、检查台账等方式对普法宣传项目资金管理使用情况进行绩效评价。</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3.评价标准</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依据（益资财〔2024〕10号）、《资阳区财政局关于开展2023年度区级预算部门绩效自评和部门评价工作的通知》和（益资财【2024】14号）、《资阳区财政局关于开展区级财政重点绩效评价工作的通知等文件为标准开展绩效评价工作。</w:t>
      </w:r>
    </w:p>
    <w:p>
      <w:pPr>
        <w:widowControl/>
        <w:numPr>
          <w:ilvl w:val="0"/>
          <w:numId w:val="0"/>
        </w:numPr>
        <w:spacing w:line="600" w:lineRule="exact"/>
        <w:ind w:left="645" w:leftChars="0"/>
        <w:jc w:val="left"/>
        <w:rPr>
          <w:rFonts w:hint="eastAsia" w:ascii="仿宋" w:hAnsi="仿宋" w:eastAsia="仿宋" w:cs="仿宋"/>
          <w:sz w:val="32"/>
          <w:szCs w:val="32"/>
        </w:rPr>
      </w:pPr>
      <w:r>
        <w:rPr>
          <w:rFonts w:hint="eastAsia" w:ascii="仿宋" w:hAnsi="仿宋" w:eastAsia="仿宋" w:cs="仿宋"/>
          <w:sz w:val="32"/>
          <w:szCs w:val="32"/>
        </w:rPr>
        <w:t xml:space="preserve"> </w:t>
      </w:r>
    </w:p>
    <w:p>
      <w:pPr>
        <w:widowControl/>
        <w:numPr>
          <w:ilvl w:val="0"/>
          <w:numId w:val="3"/>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 xml:space="preserve">绩效评价工作过程。 </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1.前期准备。成立了项目支出绩效评价工作领导小组，由局长担任组长，局党政办及相关业务科室人员为具体工作人员。</w:t>
      </w:r>
    </w:p>
    <w:p>
      <w:pPr>
        <w:pStyle w:val="4"/>
        <w:spacing w:after="0" w:line="560" w:lineRule="exact"/>
        <w:ind w:firstLine="640" w:firstLineChars="200"/>
        <w:rPr>
          <w:rFonts w:hint="eastAsia" w:ascii="仿宋_GB2312" w:hAnsi="仿宋_GB2312" w:cs="仿宋_GB2312"/>
          <w:szCs w:val="32"/>
          <w:highlight w:val="none"/>
          <w:lang w:val="en-US" w:eastAsia="zh-CN"/>
        </w:rPr>
      </w:pPr>
      <w:r>
        <w:rPr>
          <w:rFonts w:hint="eastAsia" w:ascii="仿宋_GB2312" w:hAnsi="仿宋_GB2312" w:cs="仿宋_GB2312"/>
          <w:szCs w:val="32"/>
          <w:lang w:val="en-US" w:eastAsia="zh-CN"/>
        </w:rPr>
        <w:t>2.组织实施。</w:t>
      </w:r>
      <w:r>
        <w:rPr>
          <w:rFonts w:hint="eastAsia" w:ascii="仿宋_GB2312" w:hAnsi="仿宋_GB2312" w:cs="仿宋_GB2312"/>
          <w:szCs w:val="32"/>
          <w:highlight w:val="none"/>
          <w:lang w:val="en-US" w:eastAsia="zh-CN"/>
        </w:rPr>
        <w:t>先由项目单位自查，组织工作人员核查司法所经费使用台账，重点核查有无经费挪用、乱用、虚报情况；找</w:t>
      </w:r>
      <w:r>
        <w:rPr>
          <w:rFonts w:hint="eastAsia" w:ascii="仿宋_GB2312" w:hAnsi="仿宋_GB2312" w:cs="仿宋_GB2312"/>
          <w:szCs w:val="32"/>
          <w:highlight w:val="none"/>
          <w:lang w:val="en-US" w:eastAsia="zh-CN"/>
        </w:rPr>
        <w:t>出发生偏离的原因并对项目进行细化研究及时纠正解决，保障部门各个项目都能按照绩效目标完成任务。最后领导小组听取项目单位汇报。</w:t>
      </w:r>
    </w:p>
    <w:p>
      <w:pPr>
        <w:pStyle w:val="4"/>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3.形成报告。根据自查情况、抽查数据、汇报情况，形成绩效评价报告。</w:t>
      </w:r>
    </w:p>
    <w:p>
      <w:pPr>
        <w:widowControl/>
        <w:numPr>
          <w:ilvl w:val="0"/>
          <w:numId w:val="0"/>
        </w:numPr>
        <w:spacing w:line="600" w:lineRule="exact"/>
        <w:ind w:firstLine="640" w:firstLineChars="200"/>
        <w:jc w:val="left"/>
        <w:rPr>
          <w:rFonts w:hint="eastAsia"/>
        </w:rPr>
      </w:pPr>
      <w:r>
        <w:rPr>
          <w:rFonts w:hint="eastAsia" w:ascii="仿宋" w:hAnsi="仿宋" w:eastAsia="仿宋" w:cs="仿宋"/>
          <w:sz w:val="32"/>
          <w:szCs w:val="32"/>
          <w:lang w:eastAsia="zh-CN"/>
        </w:rPr>
        <w:t>三、</w:t>
      </w:r>
      <w:r>
        <w:rPr>
          <w:rFonts w:hint="eastAsia" w:ascii="仿宋" w:hAnsi="仿宋" w:eastAsia="仿宋" w:cs="仿宋"/>
          <w:sz w:val="32"/>
          <w:szCs w:val="32"/>
        </w:rPr>
        <w:t xml:space="preserve">综合评价情况及评价结论（附相关评分表） </w:t>
      </w:r>
    </w:p>
    <w:p>
      <w:pPr>
        <w:pStyle w:val="4"/>
        <w:spacing w:after="0" w:line="560" w:lineRule="exact"/>
        <w:ind w:firstLine="640" w:firstLineChars="200"/>
        <w:rPr>
          <w:rFonts w:hint="default" w:ascii="仿宋_GB2312" w:hAnsi="仿宋_GB2312" w:cs="仿宋_GB2312"/>
          <w:szCs w:val="32"/>
          <w:lang w:val="en-US" w:eastAsia="zh-CN"/>
        </w:rPr>
      </w:pPr>
      <w:r>
        <w:rPr>
          <w:rFonts w:hint="eastAsia" w:ascii="仿宋_GB2312" w:hAnsi="仿宋_GB2312" w:cs="仿宋_GB2312"/>
          <w:szCs w:val="32"/>
          <w:lang w:val="en-US" w:eastAsia="zh-CN"/>
        </w:rPr>
        <w:t>通过认真开展评价，我局</w:t>
      </w:r>
      <w:r>
        <w:rPr>
          <w:rFonts w:hint="default" w:ascii="仿宋_GB2312" w:hAnsi="仿宋_GB2312" w:cs="仿宋_GB2312"/>
          <w:szCs w:val="32"/>
          <w:lang w:val="en-US" w:eastAsia="zh-CN"/>
        </w:rPr>
        <w:t>202</w:t>
      </w:r>
      <w:r>
        <w:rPr>
          <w:rFonts w:hint="eastAsia" w:ascii="仿宋_GB2312" w:hAnsi="仿宋_GB2312" w:cs="仿宋_GB2312"/>
          <w:szCs w:val="32"/>
          <w:lang w:val="en-US" w:eastAsia="zh-CN"/>
        </w:rPr>
        <w:t>3</w:t>
      </w:r>
      <w:r>
        <w:rPr>
          <w:rFonts w:hint="default" w:ascii="仿宋_GB2312" w:hAnsi="仿宋_GB2312" w:cs="仿宋_GB2312"/>
          <w:szCs w:val="32"/>
          <w:lang w:val="en-US" w:eastAsia="zh-CN"/>
        </w:rPr>
        <w:t>年度普法宣传项目自评得分</w:t>
      </w:r>
      <w:r>
        <w:rPr>
          <w:rFonts w:hint="eastAsia" w:ascii="仿宋_GB2312" w:hAnsi="仿宋_GB2312" w:cs="仿宋_GB2312"/>
          <w:szCs w:val="32"/>
          <w:lang w:val="en-US" w:eastAsia="zh-CN"/>
        </w:rPr>
        <w:t>100</w:t>
      </w:r>
      <w:r>
        <w:rPr>
          <w:rFonts w:hint="default" w:ascii="仿宋_GB2312" w:hAnsi="仿宋_GB2312" w:cs="仿宋_GB2312"/>
          <w:szCs w:val="32"/>
          <w:lang w:val="en-US" w:eastAsia="zh-CN"/>
        </w:rPr>
        <w:t>分，预算执行</w:t>
      </w:r>
      <w:r>
        <w:rPr>
          <w:rFonts w:hint="eastAsia" w:ascii="仿宋_GB2312" w:hAnsi="仿宋_GB2312" w:cs="仿宋_GB2312"/>
          <w:szCs w:val="32"/>
          <w:lang w:val="en-US" w:eastAsia="zh-CN"/>
        </w:rPr>
        <w:t>率100%</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资金使用合规，</w:t>
      </w:r>
      <w:r>
        <w:rPr>
          <w:rFonts w:hint="default" w:ascii="仿宋_GB2312" w:hAnsi="仿宋_GB2312" w:cs="仿宋_GB2312"/>
          <w:szCs w:val="32"/>
          <w:lang w:val="en-US" w:eastAsia="zh-CN"/>
        </w:rPr>
        <w:t>评价等级结果为优。</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四、绩效评价指标分析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（一）项目决策情况。</w:t>
      </w:r>
    </w:p>
    <w:p>
      <w:pPr>
        <w:widowControl/>
        <w:spacing w:line="600" w:lineRule="exact"/>
        <w:ind w:firstLine="640" w:firstLineChars="200"/>
        <w:jc w:val="left"/>
        <w:rPr>
          <w:rFonts w:hint="eastAsia" w:ascii="仿宋" w:hAnsi="仿宋" w:eastAsia="仿宋" w:cs="仿宋"/>
          <w:sz w:val="32"/>
          <w:szCs w:val="32"/>
        </w:rPr>
      </w:pPr>
      <w:r>
        <w:rPr>
          <w:rFonts w:hint="eastAsia" w:ascii="仿宋_GB2312" w:hAnsi="仿宋_GB2312" w:eastAsia="仿宋_GB2312" w:cs="仿宋_GB2312"/>
          <w:kern w:val="2"/>
          <w:sz w:val="32"/>
          <w:szCs w:val="32"/>
          <w:lang w:val="en-US" w:eastAsia="zh-CN" w:bidi="ar-SA"/>
        </w:rPr>
        <w:t>项目立项方面，本项目立项依据充分，符合国家法律法规和相关政策，与司法局职责范围相符，属于司法局履职所需，并按规定程序申请设立。绩效目标方面，绩效目标与</w:t>
      </w:r>
      <w:r>
        <w:rPr>
          <w:rFonts w:hint="eastAsia" w:ascii="仿宋_GB2312" w:hAnsi="仿宋_GB2312" w:cs="仿宋_GB2312"/>
          <w:kern w:val="2"/>
          <w:sz w:val="32"/>
          <w:szCs w:val="32"/>
          <w:lang w:val="en-US" w:eastAsia="zh-CN" w:bidi="ar-SA"/>
        </w:rPr>
        <w:t>普法宣传</w:t>
      </w:r>
      <w:r>
        <w:rPr>
          <w:rFonts w:hint="eastAsia" w:ascii="仿宋_GB2312" w:hAnsi="仿宋_GB2312" w:eastAsia="仿宋_GB2312" w:cs="仿宋_GB2312"/>
          <w:kern w:val="2"/>
          <w:sz w:val="32"/>
          <w:szCs w:val="32"/>
          <w:lang w:val="en-US" w:eastAsia="zh-CN" w:bidi="ar-SA"/>
        </w:rPr>
        <w:t>实际工作内容具有相关性，预期产出效益和效果符合正常的业绩水平，绩效目标设定清晰。资金投入方面，资金额度与年度目标的适应性还有所不足，预算编制科学性有待提升，</w:t>
      </w:r>
      <w:r>
        <w:rPr>
          <w:rFonts w:hint="eastAsia" w:ascii="仿宋_GB2312" w:hAnsi="仿宋_GB2312" w:cs="仿宋_GB2312"/>
          <w:kern w:val="2"/>
          <w:sz w:val="32"/>
          <w:szCs w:val="32"/>
          <w:lang w:val="en-US" w:eastAsia="zh-CN" w:bidi="ar-SA"/>
        </w:rPr>
        <w:t>需增加</w:t>
      </w:r>
      <w:r>
        <w:rPr>
          <w:rFonts w:hint="eastAsia" w:ascii="仿宋_GB2312" w:hAnsi="仿宋_GB2312" w:eastAsia="仿宋_GB2312" w:cs="仿宋_GB2312"/>
          <w:kern w:val="2"/>
          <w:sz w:val="32"/>
          <w:szCs w:val="32"/>
          <w:lang w:val="en-US" w:eastAsia="zh-CN" w:bidi="ar-SA"/>
        </w:rPr>
        <w:t xml:space="preserve">资金分配额度。 </w:t>
      </w:r>
    </w:p>
    <w:p>
      <w:pPr>
        <w:widowControl/>
        <w:numPr>
          <w:ilvl w:val="0"/>
          <w:numId w:val="4"/>
        </w:numPr>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项目过程情况。 </w:t>
      </w:r>
    </w:p>
    <w:p>
      <w:pPr>
        <w:pStyle w:val="4"/>
        <w:numPr>
          <w:ilvl w:val="0"/>
          <w:numId w:val="0"/>
        </w:numPr>
        <w:ind w:firstLine="640" w:firstLineChars="200"/>
        <w:rPr>
          <w:rFonts w:hint="eastAsia"/>
        </w:rPr>
      </w:pPr>
      <w:r>
        <w:rPr>
          <w:rFonts w:hint="eastAsia" w:ascii="仿宋_GB2312" w:hAnsi="仿宋_GB2312" w:eastAsia="仿宋_GB2312" w:cs="仿宋_GB2312"/>
          <w:kern w:val="2"/>
          <w:sz w:val="32"/>
          <w:szCs w:val="32"/>
          <w:lang w:val="en-US" w:eastAsia="zh-CN" w:bidi="ar-SA"/>
        </w:rPr>
        <w:t>资金管理方面，</w:t>
      </w:r>
      <w:r>
        <w:rPr>
          <w:rFonts w:hint="eastAsia" w:ascii="仿宋_GB2312" w:hAnsi="仿宋_GB2312" w:cs="仿宋_GB2312"/>
          <w:kern w:val="2"/>
          <w:sz w:val="32"/>
          <w:szCs w:val="32"/>
          <w:lang w:val="en-US" w:eastAsia="zh-CN" w:bidi="ar-SA"/>
        </w:rPr>
        <w:t>普法宣传</w:t>
      </w:r>
      <w:r>
        <w:rPr>
          <w:rFonts w:hint="eastAsia" w:ascii="仿宋_GB2312" w:hAnsi="仿宋_GB2312" w:eastAsia="仿宋_GB2312" w:cs="仿宋_GB2312"/>
          <w:kern w:val="2"/>
          <w:sz w:val="32"/>
          <w:szCs w:val="32"/>
          <w:lang w:val="en-US" w:eastAsia="zh-CN" w:bidi="ar-SA"/>
        </w:rPr>
        <w:t>工作项目资金全部到位，预算执行率100%，资金使用合规。组织实施方面，具有相应的财务和业务管理制度，在执行</w:t>
      </w:r>
      <w:r>
        <w:rPr>
          <w:rFonts w:hint="eastAsia" w:ascii="仿宋_GB2312" w:hAnsi="仿宋_GB2312" w:cs="仿宋_GB2312"/>
          <w:kern w:val="2"/>
          <w:sz w:val="32"/>
          <w:szCs w:val="32"/>
          <w:lang w:val="en-US" w:eastAsia="zh-CN" w:bidi="ar-SA"/>
        </w:rPr>
        <w:t>中能</w:t>
      </w:r>
      <w:r>
        <w:rPr>
          <w:rFonts w:hint="eastAsia" w:ascii="仿宋_GB2312" w:hAnsi="仿宋_GB2312" w:eastAsia="仿宋_GB2312" w:cs="仿宋_GB2312"/>
          <w:kern w:val="2"/>
          <w:sz w:val="32"/>
          <w:szCs w:val="32"/>
          <w:lang w:val="en-US" w:eastAsia="zh-CN" w:bidi="ar-SA"/>
        </w:rPr>
        <w:t>遵守相关法律法规和管理规定。</w:t>
      </w:r>
    </w:p>
    <w:p>
      <w:pPr>
        <w:widowControl/>
        <w:numPr>
          <w:ilvl w:val="0"/>
          <w:numId w:val="4"/>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项目产出情况。</w:t>
      </w:r>
    </w:p>
    <w:p>
      <w:pPr>
        <w:pStyle w:val="4"/>
        <w:numPr>
          <w:ilvl w:val="0"/>
          <w:numId w:val="0"/>
        </w:num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产出数量上，按</w:t>
      </w:r>
      <w:r>
        <w:rPr>
          <w:rFonts w:hint="eastAsia" w:ascii="仿宋_GB2312" w:hAnsi="仿宋_GB2312" w:eastAsia="仿宋_GB2312" w:cs="仿宋_GB2312"/>
          <w:kern w:val="2"/>
          <w:sz w:val="32"/>
          <w:szCs w:val="32"/>
          <w:lang w:val="en-US" w:eastAsia="zh-CN" w:bidi="ar-SA"/>
        </w:rPr>
        <w:t>照事先设定绩效目标，全年实际完成普法宣传</w:t>
      </w:r>
      <w:r>
        <w:rPr>
          <w:rFonts w:hint="eastAsia" w:ascii="仿宋_GB2312" w:hAnsi="仿宋_GB2312" w:cs="仿宋_GB2312"/>
          <w:kern w:val="2"/>
          <w:sz w:val="32"/>
          <w:szCs w:val="32"/>
          <w:lang w:val="en-US" w:eastAsia="zh-CN" w:bidi="ar-SA"/>
        </w:rPr>
        <w:t>51</w:t>
      </w:r>
      <w:r>
        <w:rPr>
          <w:rFonts w:hint="default" w:ascii="仿宋_GB2312" w:hAnsi="仿宋_GB2312" w:eastAsia="仿宋_GB2312" w:cs="仿宋_GB2312"/>
          <w:kern w:val="2"/>
          <w:sz w:val="32"/>
          <w:szCs w:val="32"/>
          <w:lang w:val="en-US" w:eastAsia="zh-CN" w:bidi="ar-SA"/>
        </w:rPr>
        <w:t>场次，发放宣传资料</w:t>
      </w:r>
      <w:r>
        <w:rPr>
          <w:rFonts w:hint="eastAsia" w:ascii="仿宋_GB2312" w:hAnsi="仿宋_GB2312" w:cs="仿宋_GB2312"/>
          <w:kern w:val="2"/>
          <w:sz w:val="32"/>
          <w:szCs w:val="32"/>
          <w:lang w:val="en-US" w:eastAsia="zh-CN" w:bidi="ar-SA"/>
        </w:rPr>
        <w:t>5</w:t>
      </w:r>
      <w:r>
        <w:rPr>
          <w:rFonts w:hint="default" w:ascii="仿宋_GB2312" w:hAnsi="仿宋_GB2312" w:eastAsia="仿宋_GB2312" w:cs="仿宋_GB2312"/>
          <w:kern w:val="2"/>
          <w:sz w:val="32"/>
          <w:szCs w:val="32"/>
          <w:lang w:val="en-US" w:eastAsia="zh-CN" w:bidi="ar-SA"/>
        </w:rPr>
        <w:t>000余份，极大提升了人民群众法律知晓率。</w:t>
      </w:r>
    </w:p>
    <w:p>
      <w:pPr>
        <w:widowControl/>
        <w:numPr>
          <w:ilvl w:val="0"/>
          <w:numId w:val="4"/>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项目效益情况。</w:t>
      </w:r>
    </w:p>
    <w:p>
      <w:pPr>
        <w:pStyle w:val="4"/>
        <w:numPr>
          <w:ilvl w:val="0"/>
          <w:numId w:val="0"/>
        </w:numPr>
        <w:ind w:firstLine="640" w:firstLineChars="200"/>
        <w:rPr>
          <w:rFonts w:hint="eastAsia" w:ascii="仿宋_GB2312" w:hAnsi="仿宋_GB2312" w:eastAsia="仿宋_GB2312" w:cs="仿宋_GB2312"/>
          <w:kern w:val="2"/>
          <w:sz w:val="32"/>
          <w:szCs w:val="32"/>
          <w:lang w:val="en-US" w:eastAsia="zh-CN" w:bidi="ar-SA"/>
        </w:rPr>
      </w:pPr>
    </w:p>
    <w:p>
      <w:pPr>
        <w:pStyle w:val="4"/>
        <w:numPr>
          <w:ilvl w:val="0"/>
          <w:numId w:val="0"/>
        </w:num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根据普法宣传项目效益指标设定，我局</w:t>
      </w:r>
      <w:r>
        <w:rPr>
          <w:rFonts w:hint="default" w:ascii="仿宋_GB2312" w:hAnsi="仿宋_GB2312" w:eastAsia="仿宋_GB2312" w:cs="仿宋_GB2312"/>
          <w:kern w:val="2"/>
          <w:sz w:val="32"/>
          <w:szCs w:val="32"/>
          <w:lang w:val="en-US" w:eastAsia="zh-CN" w:bidi="ar-SA"/>
        </w:rPr>
        <w:t>202</w:t>
      </w:r>
      <w:r>
        <w:rPr>
          <w:rFonts w:hint="eastAsia" w:ascii="仿宋_GB2312" w:hAnsi="仿宋_GB2312" w:eastAsia="仿宋_GB2312" w:cs="仿宋_GB2312"/>
          <w:kern w:val="2"/>
          <w:sz w:val="32"/>
          <w:szCs w:val="32"/>
          <w:lang w:val="en-US" w:eastAsia="zh-CN" w:bidi="ar-SA"/>
        </w:rPr>
        <w:t>3</w:t>
      </w:r>
      <w:r>
        <w:rPr>
          <w:rFonts w:hint="default" w:ascii="仿宋_GB2312" w:hAnsi="仿宋_GB2312" w:eastAsia="仿宋_GB2312" w:cs="仿宋_GB2312"/>
          <w:kern w:val="2"/>
          <w:sz w:val="32"/>
          <w:szCs w:val="32"/>
          <w:lang w:val="en-US" w:eastAsia="zh-CN" w:bidi="ar-SA"/>
        </w:rPr>
        <w:t>年度目标是通过积极开展普法宣传工作，提升人民群众法律知晓率，营造全民学法守法懂法用法的法治氛围。</w:t>
      </w:r>
    </w:p>
    <w:p>
      <w:pPr>
        <w:widowControl/>
        <w:numPr>
          <w:ilvl w:val="0"/>
          <w:numId w:val="5"/>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 xml:space="preserve">主要经验及做法、存在的问题及原因分析 </w:t>
      </w:r>
    </w:p>
    <w:p>
      <w:pPr>
        <w:pStyle w:val="4"/>
        <w:numPr>
          <w:ilvl w:val="0"/>
          <w:numId w:val="0"/>
        </w:numPr>
        <w:ind w:firstLine="640" w:firstLineChars="200"/>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是紧扣工作中心，科学设立考核指标体系。严格落实“一把手”负责制，根据人员变动，及时对绩效管理工作领导小组进行调整，并及时召开会议研究项目绩效目标的设定和管理工作，确保绩效目标科学合理，可实现性强。二是取长补短，完善指标考核综合体系。根据往年绩效目标实现情况，认真分析绩效目标管理工作中的经验和不足，从指标设置、日常考核等环节逐项深入讨论，找症结，补短板，压实责任。三是抓住工作重点，加强绩效目标运行监督。按月度、季度、半年和年度，将各部门工作完成情况与目标值进行比较，及时掌握工作进度缓慢、实现难度大的绩效目标进行规范和监督，防止在项目执行过程中出现偏差。</w:t>
      </w:r>
    </w:p>
    <w:p>
      <w:pPr>
        <w:adjustRightInd w:val="0"/>
        <w:snapToGrid w:val="0"/>
        <w:spacing w:line="560" w:lineRule="exact"/>
        <w:ind w:firstLine="640" w:firstLineChars="200"/>
        <w:rPr>
          <w:rFonts w:hint="eastAsia"/>
          <w:szCs w:val="32"/>
        </w:rPr>
      </w:pPr>
      <w:r>
        <w:rPr>
          <w:rFonts w:hint="eastAsia"/>
          <w:szCs w:val="32"/>
        </w:rPr>
        <w:t>绩效管理的经验不足，项目的部分成果无法用指标形式来表示；在绩效考评指标的设计上，有待完善。</w:t>
      </w:r>
    </w:p>
    <w:p>
      <w:pPr>
        <w:pStyle w:val="4"/>
        <w:numPr>
          <w:ilvl w:val="0"/>
          <w:numId w:val="0"/>
        </w:numPr>
        <w:ind w:left="645" w:leftChars="0"/>
        <w:rPr>
          <w:rFonts w:hint="eastAsia"/>
        </w:rPr>
      </w:pPr>
    </w:p>
    <w:p>
      <w:pPr>
        <w:widowControl/>
        <w:numPr>
          <w:ilvl w:val="0"/>
          <w:numId w:val="5"/>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 xml:space="preserve">有关建议 </w:t>
      </w:r>
    </w:p>
    <w:p>
      <w:pPr>
        <w:pStyle w:val="4"/>
        <w:numPr>
          <w:numId w:val="0"/>
        </w:numPr>
        <w:ind w:left="645" w:leftChars="0"/>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无</w:t>
      </w:r>
    </w:p>
    <w:p>
      <w:pPr>
        <w:pStyle w:val="4"/>
        <w:numPr>
          <w:ilvl w:val="0"/>
          <w:numId w:val="5"/>
        </w:numPr>
        <w:ind w:left="0" w:leftChars="0" w:firstLine="645" w:firstLineChars="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其他需要说明的问题</w:t>
      </w:r>
    </w:p>
    <w:p>
      <w:pPr>
        <w:pStyle w:val="4"/>
        <w:numPr>
          <w:ilvl w:val="0"/>
          <w:numId w:val="0"/>
        </w:numPr>
        <w:ind w:left="645" w:leftChars="0"/>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无</w:t>
      </w:r>
    </w:p>
    <w:p>
      <w:pPr>
        <w:spacing w:line="594" w:lineRule="exact"/>
        <w:ind w:firstLine="320" w:firstLineChars="100"/>
        <w:jc w:val="both"/>
        <w:rPr>
          <w:rFonts w:hint="eastAsia" w:ascii="仿宋" w:hAnsi="仿宋" w:eastAsia="仿宋" w:cs="仿宋"/>
          <w:sz w:val="32"/>
          <w:szCs w:val="32"/>
        </w:rPr>
      </w:pPr>
      <w:r>
        <w:rPr>
          <w:rFonts w:hint="eastAsia" w:ascii="仿宋" w:hAnsi="仿宋" w:eastAsia="仿宋" w:cs="仿宋"/>
          <w:sz w:val="32"/>
          <w:szCs w:val="32"/>
          <w:lang w:eastAsia="zh-CN"/>
        </w:rPr>
        <w:t>附件</w:t>
      </w: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项目支出绩效评价基础数据表</w:t>
      </w:r>
    </w:p>
    <w:p>
      <w:pPr>
        <w:numPr>
          <w:ilvl w:val="0"/>
          <w:numId w:val="0"/>
        </w:numPr>
        <w:spacing w:line="594" w:lineRule="exact"/>
        <w:ind w:firstLine="1280" w:firstLineChars="40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项目支出绩效评价指标及评分表（参考）</w:t>
      </w:r>
    </w:p>
    <w:p>
      <w:pPr>
        <w:spacing w:line="600" w:lineRule="exact"/>
        <w:ind w:firstLine="1267" w:firstLineChars="396"/>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其他必要材料（当年度财政专项资金绩效目标申报表、财政专项支出绩效目标执行监控表、项目实施情况、年度总结、有关项目现场图片佐证材料等，佐证资料必须列目录表，与自评表指标对应）</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9F05E"/>
    <w:multiLevelType w:val="singleLevel"/>
    <w:tmpl w:val="9739F05E"/>
    <w:lvl w:ilvl="0" w:tentative="0">
      <w:start w:val="2"/>
      <w:numFmt w:val="chineseCounting"/>
      <w:suff w:val="nothing"/>
      <w:lvlText w:val="（%1）"/>
      <w:lvlJc w:val="left"/>
      <w:rPr>
        <w:rFonts w:hint="eastAsia"/>
      </w:rPr>
    </w:lvl>
  </w:abstractNum>
  <w:abstractNum w:abstractNumId="1">
    <w:nsid w:val="CE6CF7D4"/>
    <w:multiLevelType w:val="singleLevel"/>
    <w:tmpl w:val="CE6CF7D4"/>
    <w:lvl w:ilvl="0" w:tentative="0">
      <w:start w:val="3"/>
      <w:numFmt w:val="chineseCounting"/>
      <w:suff w:val="nothing"/>
      <w:lvlText w:val="%1、"/>
      <w:lvlJc w:val="left"/>
      <w:rPr>
        <w:rFonts w:hint="eastAsia"/>
      </w:rPr>
    </w:lvl>
  </w:abstractNum>
  <w:abstractNum w:abstractNumId="2">
    <w:nsid w:val="0CEE6154"/>
    <w:multiLevelType w:val="singleLevel"/>
    <w:tmpl w:val="0CEE6154"/>
    <w:lvl w:ilvl="0" w:tentative="0">
      <w:start w:val="2"/>
      <w:numFmt w:val="decimal"/>
      <w:suff w:val="nothing"/>
      <w:lvlText w:val="%1、"/>
      <w:lvlJc w:val="left"/>
    </w:lvl>
  </w:abstractNum>
  <w:abstractNum w:abstractNumId="3">
    <w:nsid w:val="0F75DBD7"/>
    <w:multiLevelType w:val="singleLevel"/>
    <w:tmpl w:val="0F75DBD7"/>
    <w:lvl w:ilvl="0" w:tentative="0">
      <w:start w:val="1"/>
      <w:numFmt w:val="decimal"/>
      <w:lvlText w:val="%1."/>
      <w:lvlJc w:val="left"/>
      <w:pPr>
        <w:tabs>
          <w:tab w:val="left" w:pos="312"/>
        </w:tabs>
      </w:pPr>
    </w:lvl>
  </w:abstractNum>
  <w:abstractNum w:abstractNumId="4">
    <w:nsid w:val="35B53795"/>
    <w:multiLevelType w:val="singleLevel"/>
    <w:tmpl w:val="35B53795"/>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4Yzk4ODJmMGVmMGMwZTQyYzcyMjk1ZGFjMjNmNWEifQ=="/>
  </w:docVars>
  <w:rsids>
    <w:rsidRoot w:val="7D421976"/>
    <w:rsid w:val="01AA7D1B"/>
    <w:rsid w:val="01B841E6"/>
    <w:rsid w:val="024871CF"/>
    <w:rsid w:val="02566477"/>
    <w:rsid w:val="02604B64"/>
    <w:rsid w:val="02B01361"/>
    <w:rsid w:val="042A6EF2"/>
    <w:rsid w:val="0447163B"/>
    <w:rsid w:val="05976809"/>
    <w:rsid w:val="084C38DA"/>
    <w:rsid w:val="088B4CF5"/>
    <w:rsid w:val="08D15B8E"/>
    <w:rsid w:val="0913264A"/>
    <w:rsid w:val="09205831"/>
    <w:rsid w:val="097F23C2"/>
    <w:rsid w:val="0A6C0264"/>
    <w:rsid w:val="0C430B50"/>
    <w:rsid w:val="0D3A05F9"/>
    <w:rsid w:val="0ED41876"/>
    <w:rsid w:val="0F130CAE"/>
    <w:rsid w:val="0F9D2256"/>
    <w:rsid w:val="0FBC41FD"/>
    <w:rsid w:val="11254CC9"/>
    <w:rsid w:val="12525F91"/>
    <w:rsid w:val="127203E1"/>
    <w:rsid w:val="127F6F08"/>
    <w:rsid w:val="129B4922"/>
    <w:rsid w:val="14192915"/>
    <w:rsid w:val="149A3C1F"/>
    <w:rsid w:val="16875606"/>
    <w:rsid w:val="18322780"/>
    <w:rsid w:val="186936F3"/>
    <w:rsid w:val="1947264D"/>
    <w:rsid w:val="195A760B"/>
    <w:rsid w:val="19717795"/>
    <w:rsid w:val="19D97967"/>
    <w:rsid w:val="1A8A3DEE"/>
    <w:rsid w:val="1CC84FAF"/>
    <w:rsid w:val="1D86683A"/>
    <w:rsid w:val="21A35A6C"/>
    <w:rsid w:val="22330B50"/>
    <w:rsid w:val="225862E9"/>
    <w:rsid w:val="227F1494"/>
    <w:rsid w:val="23CE409D"/>
    <w:rsid w:val="243F25D3"/>
    <w:rsid w:val="2466767A"/>
    <w:rsid w:val="24EA451D"/>
    <w:rsid w:val="25292CA1"/>
    <w:rsid w:val="25570C7E"/>
    <w:rsid w:val="258954BE"/>
    <w:rsid w:val="26BD4622"/>
    <w:rsid w:val="26F2452D"/>
    <w:rsid w:val="29080D00"/>
    <w:rsid w:val="292D040A"/>
    <w:rsid w:val="2A2517D0"/>
    <w:rsid w:val="2AF4778E"/>
    <w:rsid w:val="2B9D6077"/>
    <w:rsid w:val="2D5409B8"/>
    <w:rsid w:val="2E2A1636"/>
    <w:rsid w:val="2F1B3CF6"/>
    <w:rsid w:val="30024D93"/>
    <w:rsid w:val="30D8545C"/>
    <w:rsid w:val="31E20506"/>
    <w:rsid w:val="32A7158A"/>
    <w:rsid w:val="338D737F"/>
    <w:rsid w:val="351F1F8B"/>
    <w:rsid w:val="357C6CFE"/>
    <w:rsid w:val="35B20971"/>
    <w:rsid w:val="35E15D47"/>
    <w:rsid w:val="35E30B2B"/>
    <w:rsid w:val="362D1DA6"/>
    <w:rsid w:val="368A71F8"/>
    <w:rsid w:val="377D7015"/>
    <w:rsid w:val="38087178"/>
    <w:rsid w:val="398C10E2"/>
    <w:rsid w:val="3A127F2E"/>
    <w:rsid w:val="3A644A9D"/>
    <w:rsid w:val="3B4B164C"/>
    <w:rsid w:val="3BD63389"/>
    <w:rsid w:val="3C636521"/>
    <w:rsid w:val="3D5567B2"/>
    <w:rsid w:val="3D8C5F4C"/>
    <w:rsid w:val="3E2F0B84"/>
    <w:rsid w:val="3F584337"/>
    <w:rsid w:val="40D043A1"/>
    <w:rsid w:val="41E023C2"/>
    <w:rsid w:val="42DC527F"/>
    <w:rsid w:val="44607359"/>
    <w:rsid w:val="45506045"/>
    <w:rsid w:val="466146BE"/>
    <w:rsid w:val="46B36680"/>
    <w:rsid w:val="46D40884"/>
    <w:rsid w:val="477E504F"/>
    <w:rsid w:val="48013092"/>
    <w:rsid w:val="481F6B7A"/>
    <w:rsid w:val="48BC712F"/>
    <w:rsid w:val="493E4BFE"/>
    <w:rsid w:val="4B86753E"/>
    <w:rsid w:val="4BEB5322"/>
    <w:rsid w:val="4C3E7355"/>
    <w:rsid w:val="4FD25A40"/>
    <w:rsid w:val="50AF4E94"/>
    <w:rsid w:val="50B05655"/>
    <w:rsid w:val="519B1CAB"/>
    <w:rsid w:val="51E14DA1"/>
    <w:rsid w:val="528374C6"/>
    <w:rsid w:val="536966BB"/>
    <w:rsid w:val="540553B7"/>
    <w:rsid w:val="58613E05"/>
    <w:rsid w:val="5A364E1D"/>
    <w:rsid w:val="5A61633E"/>
    <w:rsid w:val="5A995EEB"/>
    <w:rsid w:val="5B01542B"/>
    <w:rsid w:val="5B9B4BE2"/>
    <w:rsid w:val="5C72307C"/>
    <w:rsid w:val="5C963B4D"/>
    <w:rsid w:val="5CDE4BCF"/>
    <w:rsid w:val="5FCE4D99"/>
    <w:rsid w:val="5FDE5D3B"/>
    <w:rsid w:val="602D281F"/>
    <w:rsid w:val="60E3072E"/>
    <w:rsid w:val="61A35109"/>
    <w:rsid w:val="61E810F3"/>
    <w:rsid w:val="64E24D6C"/>
    <w:rsid w:val="65E46075"/>
    <w:rsid w:val="69245976"/>
    <w:rsid w:val="6A3757DD"/>
    <w:rsid w:val="6B340F05"/>
    <w:rsid w:val="6D694F63"/>
    <w:rsid w:val="6DC94FCE"/>
    <w:rsid w:val="6E260A53"/>
    <w:rsid w:val="6E6B2E90"/>
    <w:rsid w:val="6E974A8F"/>
    <w:rsid w:val="708E2E66"/>
    <w:rsid w:val="722B2CC2"/>
    <w:rsid w:val="731627CE"/>
    <w:rsid w:val="73E02C3A"/>
    <w:rsid w:val="744D4DE6"/>
    <w:rsid w:val="7513332B"/>
    <w:rsid w:val="76264DA7"/>
    <w:rsid w:val="768E1E11"/>
    <w:rsid w:val="7B5A472C"/>
    <w:rsid w:val="7C792C1C"/>
    <w:rsid w:val="7D1447E3"/>
    <w:rsid w:val="7D421976"/>
    <w:rsid w:val="7E0C0718"/>
    <w:rsid w:val="7E907325"/>
    <w:rsid w:val="7F385B61"/>
    <w:rsid w:val="7F6F3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4">
    <w:name w:val="Body Text"/>
    <w:basedOn w:val="1"/>
    <w:unhideWhenUsed/>
    <w:qFormat/>
    <w:uiPriority w:val="99"/>
    <w:pPr>
      <w:spacing w:after="120"/>
    </w:p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BodyText1I2"/>
    <w:basedOn w:val="9"/>
    <w:qFormat/>
    <w:uiPriority w:val="0"/>
    <w:pPr>
      <w:ind w:firstLine="420"/>
    </w:pPr>
  </w:style>
  <w:style w:type="paragraph" w:customStyle="1" w:styleId="9">
    <w:name w:val="BodyTextIndent"/>
    <w:basedOn w:val="1"/>
    <w:autoRedefine/>
    <w:qFormat/>
    <w:uiPriority w:val="0"/>
    <w:pPr>
      <w:spacing w:after="120"/>
      <w:ind w:left="420" w:leftChars="200" w:firstLine="200" w:firstLineChars="200"/>
      <w:textAlignment w:val="baseline"/>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2880</Words>
  <Characters>2969</Characters>
  <Lines>0</Lines>
  <Paragraphs>0</Paragraphs>
  <TotalTime>6</TotalTime>
  <ScaleCrop>false</ScaleCrop>
  <LinksUpToDate>false</LinksUpToDate>
  <CharactersWithSpaces>2989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2024-05-24T15:12:00Z</dcterms:created>
  <dc:creator>Administrator</dc:creator>
  <cp:lastModifiedBy>Administrator</cp:lastModifiedBy>
  <dcterms:modified xsi:type="dcterms:W3CDTF">2024-05-27T03:33:33Z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8A8397AC70654823B4B20D25A5E963F9_11</vt:lpwstr>
  </property>
</Properties>
</file>