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6</w:t>
      </w:r>
    </w:p>
    <w:p>
      <w:pPr>
        <w:spacing w:line="600" w:lineRule="exact"/>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(2023)年度益阳市资阳区司法局部门社区矫正项目支出绩效评价报告</w:t>
      </w:r>
    </w:p>
    <w:p>
      <w:pPr>
        <w:tabs>
          <w:tab w:val="left" w:pos="1603"/>
        </w:tabs>
        <w:bidi w:val="0"/>
        <w:jc w:val="left"/>
        <w:rPr>
          <w:rFonts w:hint="eastAsia" w:ascii="仿宋" w:hAnsi="仿宋" w:eastAsia="仿宋" w:cs="仿宋"/>
          <w:lang w:val="en-US" w:eastAsia="zh-CN"/>
        </w:rPr>
      </w:pPr>
      <w:r>
        <w:rPr>
          <w:rFonts w:hint="eastAsia" w:ascii="仿宋" w:hAnsi="仿宋" w:eastAsia="仿宋" w:cs="仿宋"/>
          <w:lang w:val="en-US" w:eastAsia="zh-CN"/>
        </w:rPr>
        <w:t> </w:t>
      </w:r>
    </w:p>
    <w:p>
      <w:pPr>
        <w:tabs>
          <w:tab w:val="left" w:pos="1603"/>
        </w:tabs>
        <w:bidi w:val="0"/>
        <w:jc w:val="left"/>
        <w:rPr>
          <w:rFonts w:hint="eastAsia" w:ascii="仿宋" w:hAnsi="仿宋" w:eastAsia="仿宋" w:cs="仿宋"/>
          <w:lang w:val="en-US" w:eastAsia="zh-CN"/>
        </w:rPr>
      </w:pPr>
      <w:r>
        <w:rPr>
          <w:rFonts w:hint="eastAsia" w:ascii="仿宋" w:hAnsi="仿宋" w:eastAsia="仿宋" w:cs="仿宋"/>
          <w:lang w:val="en-US" w:eastAsia="zh-CN"/>
        </w:rPr>
        <w:t> </w:t>
      </w:r>
    </w:p>
    <w:p>
      <w:pPr>
        <w:tabs>
          <w:tab w:val="left" w:pos="1603"/>
        </w:tabs>
        <w:bidi w:val="0"/>
        <w:jc w:val="left"/>
        <w:rPr>
          <w:rFonts w:hint="eastAsia" w:ascii="仿宋" w:hAnsi="仿宋" w:eastAsia="仿宋" w:cs="仿宋"/>
          <w:lang w:val="en-US" w:eastAsia="zh-CN"/>
        </w:rPr>
      </w:pPr>
    </w:p>
    <w:p>
      <w:pPr>
        <w:tabs>
          <w:tab w:val="left" w:pos="1603"/>
        </w:tabs>
        <w:bidi w:val="0"/>
        <w:jc w:val="left"/>
        <w:rPr>
          <w:rFonts w:hint="eastAsia" w:ascii="仿宋" w:hAnsi="仿宋" w:eastAsia="仿宋" w:cs="仿宋"/>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720" w:firstLineChars="200"/>
        <w:jc w:val="both"/>
        <w:rPr>
          <w:rFonts w:hint="eastAsia" w:ascii="仿宋" w:hAnsi="仿宋" w:eastAsia="仿宋" w:cs="仿宋"/>
          <w:sz w:val="36"/>
          <w:szCs w:val="36"/>
          <w:lang w:val="en-US" w:eastAsia="zh-CN"/>
        </w:rPr>
      </w:pPr>
    </w:p>
    <w:p>
      <w:pPr>
        <w:ind w:firstLine="1440" w:firstLineChars="4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部门（单位）名称：（盖章）      </w:t>
      </w:r>
    </w:p>
    <w:p>
      <w:pPr>
        <w:ind w:firstLine="2520" w:firstLineChars="700"/>
        <w:jc w:val="both"/>
        <w:rPr>
          <w:rFonts w:hint="eastAsia" w:ascii="仿宋" w:hAnsi="仿宋" w:eastAsia="仿宋" w:cs="仿宋"/>
          <w:sz w:val="36"/>
          <w:szCs w:val="36"/>
          <w:lang w:val="en-US" w:eastAsia="zh-CN"/>
        </w:rPr>
      </w:pPr>
    </w:p>
    <w:p>
      <w:pPr>
        <w:ind w:firstLine="3240" w:firstLineChars="9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2024年 5 月15日</w:t>
      </w:r>
    </w:p>
    <w:p>
      <w:pPr>
        <w:ind w:firstLine="720" w:firstLineChars="200"/>
        <w:jc w:val="both"/>
        <w:rPr>
          <w:rFonts w:hint="eastAsia" w:ascii="仿宋" w:hAnsi="仿宋" w:eastAsia="仿宋" w:cs="仿宋"/>
          <w:sz w:val="36"/>
          <w:szCs w:val="36"/>
          <w:lang w:val="en-US" w:eastAsia="zh-CN"/>
        </w:rPr>
      </w:pPr>
    </w:p>
    <w:p>
      <w:pPr>
        <w:jc w:val="center"/>
        <w:rPr>
          <w:rFonts w:hint="eastAsia" w:ascii="仿宋" w:hAnsi="仿宋" w:eastAsia="仿宋" w:cs="仿宋"/>
          <w:sz w:val="32"/>
          <w:szCs w:val="32"/>
          <w:lang w:val="en-US" w:eastAsia="zh-CN"/>
        </w:rPr>
      </w:pPr>
    </w:p>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（此面为封面）</w:t>
      </w:r>
    </w:p>
    <w:p>
      <w:pPr>
        <w:spacing w:line="560" w:lineRule="exact"/>
        <w:jc w:val="center"/>
        <w:rPr>
          <w:rFonts w:hint="eastAsia" w:ascii="仿宋" w:hAnsi="仿宋" w:eastAsia="仿宋" w:cs="仿宋"/>
          <w:sz w:val="36"/>
          <w:szCs w:val="36"/>
          <w:lang w:val="en-US" w:eastAsia="zh-CN"/>
        </w:rPr>
      </w:pPr>
    </w:p>
    <w:p>
      <w:pPr>
        <w:spacing w:line="600" w:lineRule="exact"/>
        <w:jc w:val="center"/>
        <w:rPr>
          <w:rFonts w:hint="eastAsia" w:ascii="仿宋" w:hAnsi="仿宋" w:eastAsia="仿宋" w:cs="仿宋"/>
          <w:sz w:val="48"/>
          <w:szCs w:val="48"/>
          <w:lang w:val="en-US" w:eastAsia="zh-CN"/>
        </w:rPr>
      </w:pPr>
    </w:p>
    <w:p>
      <w:pPr>
        <w:spacing w:line="600" w:lineRule="exact"/>
        <w:jc w:val="center"/>
        <w:rPr>
          <w:rFonts w:hint="eastAsia" w:ascii="仿宋" w:hAnsi="仿宋" w:eastAsia="仿宋" w:cs="仿宋"/>
          <w:sz w:val="48"/>
          <w:szCs w:val="48"/>
          <w:lang w:val="en-US" w:eastAsia="zh-CN"/>
        </w:rPr>
      </w:pPr>
      <w:r>
        <w:rPr>
          <w:rFonts w:hint="eastAsia" w:ascii="仿宋" w:hAnsi="仿宋" w:eastAsia="仿宋" w:cs="仿宋"/>
          <w:sz w:val="48"/>
          <w:szCs w:val="48"/>
          <w:lang w:val="en-US" w:eastAsia="zh-CN"/>
        </w:rPr>
        <w:t>( 2023 )年度益阳市资阳区司法局部门社区矫正项目支出绩效评价报告</w:t>
      </w:r>
    </w:p>
    <w:p>
      <w:pPr>
        <w:pStyle w:val="3"/>
        <w:keepNext w:val="0"/>
        <w:keepLines w:val="0"/>
        <w:widowControl/>
        <w:suppressLineNumbers w:val="0"/>
        <w:spacing w:before="100" w:beforeAutospacing="1" w:after="100" w:afterAutospacing="1"/>
        <w:ind w:left="0" w:right="0"/>
        <w:jc w:val="center"/>
      </w:pPr>
      <w:bookmarkStart w:id="0" w:name="_GoBack"/>
      <w:bookmarkEnd w:id="0"/>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一、基本情况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（一）项目概况。</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1、项目背景</w:t>
      </w:r>
    </w:p>
    <w:p>
      <w:pPr>
        <w:pStyle w:val="2"/>
        <w:spacing w:after="0" w:line="560" w:lineRule="exact"/>
        <w:ind w:firstLine="640" w:firstLineChars="200"/>
        <w:rPr>
          <w:rFonts w:hint="eastAsia" w:ascii="仿宋_GB2312" w:hAnsi="仿宋_GB2312" w:cs="仿宋_GB2312"/>
          <w:szCs w:val="32"/>
        </w:rPr>
      </w:pPr>
      <w:r>
        <w:rPr>
          <w:rFonts w:hint="eastAsia" w:ascii="仿宋_GB2312" w:hAnsi="仿宋_GB2312" w:cs="仿宋_GB2312"/>
          <w:szCs w:val="32"/>
        </w:rPr>
        <w:t>社区矫正工作是司法部门承担的一项重要工作，对于维护社会安全稳定有着重要意义。社区矫正是针对被判处管制、宣告缓刑、裁定假释、暂予监外执行这四类犯罪行为较轻的对象所实施的非监禁性矫正刑罚。社区矫正的目的是为了通过政府、社会以及爱心人士的帮助，使矫正对象改正恶习，并帮助他们重新回归社会。完成202</w:t>
      </w:r>
      <w:r>
        <w:rPr>
          <w:rFonts w:hint="eastAsia" w:ascii="仿宋_GB2312" w:hAnsi="仿宋_GB2312" w:cs="仿宋_GB2312"/>
          <w:szCs w:val="32"/>
          <w:lang w:val="en-US" w:eastAsia="zh-CN"/>
        </w:rPr>
        <w:t>3</w:t>
      </w:r>
      <w:r>
        <w:rPr>
          <w:rFonts w:hint="eastAsia" w:ascii="仿宋_GB2312" w:hAnsi="仿宋_GB2312" w:cs="仿宋_GB2312"/>
          <w:szCs w:val="32"/>
        </w:rPr>
        <w:t>年度社区矫正工作任务，使罪犯顺利回归社会，预防犯罪，维护社会稳定，确保不出事故。</w:t>
      </w:r>
    </w:p>
    <w:p>
      <w:pPr>
        <w:pStyle w:val="2"/>
        <w:spacing w:after="0" w:line="560" w:lineRule="exact"/>
        <w:ind w:firstLine="640" w:firstLineChars="200"/>
        <w:rPr>
          <w:rFonts w:hint="eastAsia" w:ascii="仿宋_GB2312" w:hAnsi="仿宋_GB2312" w:cs="仿宋_GB2312"/>
          <w:szCs w:val="32"/>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主要内容及实施情况</w:t>
      </w:r>
    </w:p>
    <w:p>
      <w:pPr>
        <w:pStyle w:val="2"/>
        <w:spacing w:after="0" w:line="560" w:lineRule="exact"/>
        <w:ind w:firstLine="640" w:firstLineChars="200"/>
        <w:rPr>
          <w:rFonts w:hint="eastAsia" w:ascii="仿宋_GB2312" w:hAnsi="仿宋_GB2312" w:cs="仿宋_GB2312"/>
          <w:szCs w:val="32"/>
          <w:lang w:val="en-US" w:eastAsia="zh-CN"/>
        </w:rPr>
      </w:pPr>
      <w:r>
        <w:rPr>
          <w:rFonts w:ascii="仿宋" w:hAnsi="仿宋" w:eastAsia="仿宋" w:cs="仿宋"/>
          <w:i w:val="0"/>
          <w:iCs w:val="0"/>
          <w:caps w:val="0"/>
          <w:color w:val="666666"/>
          <w:spacing w:val="0"/>
          <w:sz w:val="32"/>
          <w:szCs w:val="32"/>
          <w:shd w:val="clear" w:fill="FFFFFF"/>
        </w:rPr>
        <w:t>本</w:t>
      </w:r>
      <w:r>
        <w:rPr>
          <w:rFonts w:hint="eastAsia" w:ascii="仿宋_GB2312" w:hAnsi="仿宋_GB2312" w:cs="仿宋_GB2312"/>
          <w:szCs w:val="32"/>
          <w:lang w:val="en-US" w:eastAsia="zh-CN"/>
        </w:rPr>
        <w:t>项目经费分为社区矫正对象管理教育经费和社区矫正工作经费两部分。社区矫正对象管理教育经费主要用于对社区矫正对象实施管理教育工作；社区矫正工作经费主要用于开展社区矫正工作的日常开支。</w:t>
      </w:r>
      <w:r>
        <w:rPr>
          <w:rFonts w:hint="eastAsia" w:ascii="仿宋_GB2312" w:hAnsi="仿宋_GB2312" w:cs="仿宋_GB2312"/>
          <w:szCs w:val="32"/>
        </w:rPr>
        <w:t>在经费的保障下，</w:t>
      </w:r>
      <w:r>
        <w:rPr>
          <w:rFonts w:hint="eastAsia" w:ascii="仿宋_GB2312" w:hAnsi="仿宋_GB2312" w:cs="仿宋_GB2312"/>
          <w:szCs w:val="32"/>
          <w:lang w:eastAsia="zh-CN"/>
        </w:rPr>
        <w:t>全年</w:t>
      </w:r>
      <w:r>
        <w:rPr>
          <w:rFonts w:hint="eastAsia" w:ascii="仿宋_GB2312" w:hAnsi="仿宋_GB2312" w:cs="仿宋_GB2312"/>
          <w:szCs w:val="32"/>
        </w:rPr>
        <w:t>共接</w:t>
      </w:r>
      <w:r>
        <w:rPr>
          <w:rFonts w:hint="eastAsia" w:ascii="仿宋_GB2312" w:hAnsi="仿宋_GB2312" w:eastAsia="仿宋_GB2312" w:cs="仿宋_GB2312"/>
          <w:color w:val="auto"/>
          <w:sz w:val="32"/>
          <w:szCs w:val="32"/>
          <w:highlight w:val="none"/>
        </w:rPr>
        <w:t>收社区矫正对象189人，</w:t>
      </w:r>
      <w:r>
        <w:rPr>
          <w:rFonts w:hint="eastAsia" w:ascii="仿宋_GB2312" w:hAnsi="仿宋_GB2312" w:cs="仿宋_GB2312"/>
          <w:szCs w:val="32"/>
          <w:lang w:val="en-US" w:eastAsia="zh-CN"/>
        </w:rPr>
        <w:t>解除社区矫正对象169人，现在册社区矫正对象213人。组织社区矫正对象参加集中教育300余人次，社区服务300余人次，组织开展心理辅导120余人次，技能培训200余人次。</w:t>
      </w:r>
    </w:p>
    <w:p>
      <w:pPr>
        <w:pStyle w:val="2"/>
        <w:spacing w:after="0" w:line="560" w:lineRule="exact"/>
        <w:ind w:firstLine="640" w:firstLineChars="200"/>
        <w:rPr>
          <w:rFonts w:hint="default" w:ascii="仿宋_GB2312" w:hAnsi="仿宋_GB2312" w:cs="仿宋_GB2312"/>
          <w:szCs w:val="32"/>
          <w:highlight w:val="none"/>
          <w:lang w:val="en-US" w:eastAsia="zh-CN"/>
        </w:rPr>
      </w:pPr>
      <w:r>
        <w:rPr>
          <w:rFonts w:hint="eastAsia" w:ascii="仿宋_GB2312" w:hAnsi="仿宋_GB2312" w:cs="仿宋_GB2312"/>
          <w:szCs w:val="32"/>
          <w:lang w:val="en-US" w:eastAsia="zh-CN"/>
        </w:rPr>
        <w:t>3、</w:t>
      </w:r>
      <w:r>
        <w:rPr>
          <w:rFonts w:hint="eastAsia" w:ascii="仿宋" w:hAnsi="仿宋" w:eastAsia="仿宋" w:cs="仿宋"/>
          <w:sz w:val="32"/>
          <w:szCs w:val="32"/>
          <w:highlight w:val="none"/>
        </w:rPr>
        <w:t>资金投入和使用情况</w:t>
      </w:r>
    </w:p>
    <w:p>
      <w:pPr>
        <w:pStyle w:val="2"/>
        <w:spacing w:after="0" w:line="560" w:lineRule="exact"/>
        <w:ind w:firstLine="640" w:firstLineChars="200"/>
        <w:rPr>
          <w:rFonts w:hint="default" w:ascii="仿宋_GB2312" w:hAnsi="仿宋_GB2312" w:cs="仿宋_GB2312"/>
          <w:szCs w:val="32"/>
          <w:lang w:val="en-US" w:eastAsia="zh-CN"/>
        </w:rPr>
      </w:pPr>
      <w:r>
        <w:rPr>
          <w:rFonts w:hint="eastAsia" w:ascii="仿宋_GB2312" w:hAnsi="仿宋_GB2312" w:cs="仿宋_GB2312"/>
          <w:szCs w:val="32"/>
          <w:lang w:val="en-US" w:eastAsia="zh-CN"/>
        </w:rPr>
        <w:t>2023年财政安排社区矫正工作经费31万元，年初预算31万元，资金已全部到位，到位率100%。全年实际支出31万元，无结余。</w:t>
      </w:r>
    </w:p>
    <w:p>
      <w:pPr>
        <w:widowControl/>
        <w:spacing w:line="600" w:lineRule="exact"/>
        <w:ind w:firstLine="645"/>
        <w:jc w:val="left"/>
        <w:rPr>
          <w:rFonts w:hint="eastAsia" w:ascii="仿宋" w:hAnsi="仿宋" w:eastAsia="仿宋" w:cs="仿宋"/>
          <w:sz w:val="32"/>
          <w:szCs w:val="32"/>
        </w:rPr>
      </w:pPr>
    </w:p>
    <w:p>
      <w:pPr>
        <w:widowControl/>
        <w:numPr>
          <w:ilvl w:val="0"/>
          <w:numId w:val="1"/>
        </w:numPr>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项目绩效目标。</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1.总体目标</w:t>
      </w:r>
    </w:p>
    <w:p>
      <w:pPr>
        <w:pStyle w:val="2"/>
        <w:spacing w:after="0" w:line="560" w:lineRule="exact"/>
        <w:ind w:firstLine="640" w:firstLineChars="200"/>
        <w:rPr>
          <w:rFonts w:hint="eastAsia" w:ascii="仿宋_GB2312" w:hAnsi="仿宋_GB2312" w:cs="仿宋_GB2312"/>
          <w:szCs w:val="32"/>
          <w:highlight w:val="none"/>
        </w:rPr>
      </w:pPr>
      <w:r>
        <w:rPr>
          <w:rFonts w:hint="eastAsia" w:ascii="仿宋_GB2312" w:hAnsi="仿宋_GB2312" w:cs="仿宋_GB2312"/>
          <w:szCs w:val="32"/>
          <w:highlight w:val="none"/>
          <w:lang w:eastAsia="zh-CN"/>
        </w:rPr>
        <w:t>（</w:t>
      </w:r>
      <w:r>
        <w:rPr>
          <w:rFonts w:hint="eastAsia" w:ascii="仿宋_GB2312" w:hAnsi="仿宋_GB2312" w:cs="仿宋_GB2312"/>
          <w:szCs w:val="32"/>
          <w:highlight w:val="none"/>
          <w:lang w:val="en-US" w:eastAsia="zh-CN"/>
        </w:rPr>
        <w:t>1）</w:t>
      </w:r>
      <w:r>
        <w:rPr>
          <w:rFonts w:hint="eastAsia" w:ascii="仿宋_GB2312" w:hAnsi="仿宋_GB2312" w:cs="仿宋_GB2312"/>
          <w:szCs w:val="32"/>
          <w:highlight w:val="none"/>
        </w:rPr>
        <w:t>社区矫正日常监管：</w:t>
      </w:r>
    </w:p>
    <w:p>
      <w:pPr>
        <w:pStyle w:val="2"/>
        <w:spacing w:after="0" w:line="560" w:lineRule="exact"/>
        <w:ind w:firstLine="640" w:firstLineChars="200"/>
        <w:rPr>
          <w:rFonts w:hint="eastAsia" w:ascii="仿宋_GB2312" w:hAnsi="仿宋_GB2312" w:cs="仿宋_GB2312"/>
          <w:szCs w:val="32"/>
          <w:highlight w:val="none"/>
        </w:rPr>
      </w:pPr>
      <w:r>
        <w:rPr>
          <w:rFonts w:hint="default" w:ascii="Calibri" w:hAnsi="Calibri" w:cs="Calibri"/>
          <w:szCs w:val="32"/>
          <w:highlight w:val="none"/>
        </w:rPr>
        <w:t>①</w:t>
      </w:r>
      <w:r>
        <w:rPr>
          <w:rFonts w:hint="eastAsia" w:ascii="仿宋_GB2312" w:hAnsi="仿宋_GB2312" w:cs="仿宋_GB2312"/>
          <w:szCs w:val="32"/>
          <w:highlight w:val="none"/>
        </w:rPr>
        <w:t>社区服刑人员无重新违法犯罪率。</w:t>
      </w:r>
      <w:r>
        <w:rPr>
          <w:rFonts w:hint="default" w:ascii="Calibri" w:hAnsi="Calibri" w:cs="Calibri"/>
          <w:szCs w:val="32"/>
          <w:highlight w:val="none"/>
        </w:rPr>
        <w:t>②</w:t>
      </w:r>
      <w:r>
        <w:rPr>
          <w:rFonts w:hint="eastAsia" w:ascii="仿宋_GB2312" w:hAnsi="仿宋_GB2312" w:cs="仿宋_GB2312"/>
          <w:szCs w:val="32"/>
          <w:highlight w:val="none"/>
        </w:rPr>
        <w:t>确保社区服刑人员不发生重大恶性刑事案件，不参与影响社会稳定的大群体性事件。</w:t>
      </w:r>
      <w:r>
        <w:rPr>
          <w:rFonts w:hint="default" w:ascii="Calibri" w:hAnsi="Calibri" w:cs="Calibri"/>
          <w:szCs w:val="32"/>
          <w:highlight w:val="none"/>
        </w:rPr>
        <w:t>③</w:t>
      </w:r>
      <w:r>
        <w:rPr>
          <w:rFonts w:hint="eastAsia" w:ascii="仿宋_GB2312" w:hAnsi="仿宋_GB2312" w:cs="仿宋_GB2312"/>
          <w:szCs w:val="32"/>
          <w:highlight w:val="none"/>
        </w:rPr>
        <w:t>建设社区矫正化管理平台，实现信息化管理模式。</w:t>
      </w:r>
    </w:p>
    <w:p>
      <w:pPr>
        <w:pStyle w:val="2"/>
        <w:spacing w:after="0" w:line="560" w:lineRule="exact"/>
        <w:ind w:firstLine="640" w:firstLineChars="200"/>
        <w:rPr>
          <w:rFonts w:hint="eastAsia" w:ascii="仿宋_GB2312" w:hAnsi="仿宋_GB2312" w:cs="仿宋_GB2312"/>
          <w:szCs w:val="32"/>
          <w:highlight w:val="none"/>
        </w:rPr>
      </w:pPr>
      <w:r>
        <w:rPr>
          <w:rFonts w:hint="eastAsia" w:ascii="仿宋_GB2312" w:hAnsi="仿宋_GB2312" w:cs="仿宋_GB2312"/>
          <w:szCs w:val="32"/>
          <w:highlight w:val="none"/>
          <w:lang w:eastAsia="zh-CN"/>
        </w:rPr>
        <w:t>（</w:t>
      </w:r>
      <w:r>
        <w:rPr>
          <w:rFonts w:hint="eastAsia" w:ascii="仿宋_GB2312" w:hAnsi="仿宋_GB2312" w:cs="仿宋_GB2312"/>
          <w:szCs w:val="32"/>
          <w:highlight w:val="none"/>
          <w:lang w:val="en-US" w:eastAsia="zh-CN"/>
        </w:rPr>
        <w:t>2）</w:t>
      </w:r>
      <w:r>
        <w:rPr>
          <w:rFonts w:hint="eastAsia" w:ascii="仿宋_GB2312" w:hAnsi="仿宋_GB2312" w:cs="仿宋_GB2312"/>
          <w:szCs w:val="32"/>
          <w:highlight w:val="none"/>
        </w:rPr>
        <w:t>社区矫正教育学习：</w:t>
      </w:r>
    </w:p>
    <w:p>
      <w:pPr>
        <w:pStyle w:val="2"/>
        <w:spacing w:after="0" w:line="560" w:lineRule="exact"/>
        <w:ind w:firstLine="640" w:firstLineChars="200"/>
        <w:rPr>
          <w:rFonts w:hint="eastAsia" w:ascii="仿宋_GB2312" w:hAnsi="仿宋_GB2312" w:cs="仿宋_GB2312"/>
          <w:szCs w:val="32"/>
          <w:highlight w:val="none"/>
        </w:rPr>
      </w:pPr>
      <w:r>
        <w:rPr>
          <w:rFonts w:hint="default" w:ascii="Calibri" w:hAnsi="Calibri" w:cs="Calibri"/>
          <w:szCs w:val="32"/>
          <w:highlight w:val="none"/>
        </w:rPr>
        <w:t>①</w:t>
      </w:r>
      <w:r>
        <w:rPr>
          <w:rFonts w:hint="eastAsia" w:ascii="仿宋_GB2312" w:hAnsi="仿宋_GB2312" w:cs="仿宋_GB2312"/>
          <w:szCs w:val="32"/>
          <w:highlight w:val="none"/>
        </w:rPr>
        <w:t>社区矫正中心每月定期对社区服刑人员开展集中教育学习，不少于4小时，要有图文资料台账，让社区服刑人员达到学法、识法、守法的目的。</w:t>
      </w:r>
      <w:r>
        <w:rPr>
          <w:rFonts w:hint="default" w:ascii="Calibri" w:hAnsi="Calibri" w:cs="Calibri"/>
          <w:szCs w:val="32"/>
          <w:highlight w:val="none"/>
        </w:rPr>
        <w:t>②</w:t>
      </w:r>
      <w:r>
        <w:rPr>
          <w:rFonts w:hint="eastAsia" w:ascii="仿宋_GB2312" w:hAnsi="仿宋_GB2312" w:cs="仿宋_GB2312"/>
          <w:szCs w:val="32"/>
          <w:highlight w:val="none"/>
        </w:rPr>
        <w:t>社区服刑人员建立心理咨询档案，对心理不健康的服刑人员进行及时心理疏导。</w:t>
      </w:r>
      <w:r>
        <w:rPr>
          <w:rFonts w:hint="default" w:ascii="Calibri" w:hAnsi="Calibri" w:cs="Calibri"/>
          <w:szCs w:val="32"/>
          <w:highlight w:val="none"/>
        </w:rPr>
        <w:t>③</w:t>
      </w:r>
      <w:r>
        <w:rPr>
          <w:rFonts w:hint="eastAsia" w:ascii="仿宋_GB2312" w:hAnsi="仿宋_GB2312" w:cs="仿宋_GB2312"/>
          <w:szCs w:val="32"/>
          <w:highlight w:val="none"/>
        </w:rPr>
        <w:t>每季度进行社区服刑人员行为规范训练，提升素质教育。</w:t>
      </w:r>
    </w:p>
    <w:p>
      <w:pPr>
        <w:pStyle w:val="2"/>
        <w:spacing w:after="0" w:line="560" w:lineRule="exact"/>
        <w:ind w:firstLine="640" w:firstLineChars="200"/>
        <w:rPr>
          <w:rFonts w:hint="eastAsia" w:ascii="仿宋_GB2312" w:hAnsi="仿宋_GB2312" w:cs="仿宋_GB2312"/>
          <w:szCs w:val="32"/>
          <w:highlight w:val="none"/>
        </w:rPr>
      </w:pPr>
      <w:r>
        <w:rPr>
          <w:rFonts w:hint="eastAsia" w:ascii="仿宋_GB2312" w:hAnsi="仿宋_GB2312" w:cs="仿宋_GB2312"/>
          <w:szCs w:val="32"/>
          <w:highlight w:val="none"/>
          <w:lang w:eastAsia="zh-CN"/>
        </w:rPr>
        <w:t>（</w:t>
      </w:r>
      <w:r>
        <w:rPr>
          <w:rFonts w:hint="eastAsia" w:ascii="仿宋_GB2312" w:hAnsi="仿宋_GB2312" w:cs="仿宋_GB2312"/>
          <w:szCs w:val="32"/>
          <w:highlight w:val="none"/>
          <w:lang w:val="en-US" w:eastAsia="zh-CN"/>
        </w:rPr>
        <w:t>3）</w:t>
      </w:r>
      <w:r>
        <w:rPr>
          <w:rFonts w:hint="eastAsia" w:ascii="仿宋_GB2312" w:hAnsi="仿宋_GB2312" w:cs="仿宋_GB2312"/>
          <w:szCs w:val="32"/>
          <w:highlight w:val="none"/>
        </w:rPr>
        <w:t>社区适应性帮扶：</w:t>
      </w:r>
    </w:p>
    <w:p>
      <w:pPr>
        <w:pStyle w:val="2"/>
        <w:spacing w:after="0" w:line="560" w:lineRule="exact"/>
        <w:ind w:firstLine="640" w:firstLineChars="200"/>
        <w:rPr>
          <w:rFonts w:hint="eastAsia" w:ascii="仿宋_GB2312" w:hAnsi="仿宋_GB2312" w:cs="仿宋_GB2312"/>
          <w:szCs w:val="32"/>
          <w:highlight w:val="none"/>
        </w:rPr>
      </w:pPr>
      <w:r>
        <w:rPr>
          <w:rFonts w:hint="default" w:ascii="Calibri" w:hAnsi="Calibri" w:cs="Calibri"/>
          <w:szCs w:val="32"/>
          <w:highlight w:val="none"/>
        </w:rPr>
        <w:t>①</w:t>
      </w:r>
      <w:r>
        <w:rPr>
          <w:rFonts w:hint="eastAsia" w:ascii="仿宋_GB2312" w:hAnsi="仿宋_GB2312" w:cs="仿宋_GB2312"/>
          <w:szCs w:val="32"/>
          <w:highlight w:val="none"/>
        </w:rPr>
        <w:t>会同人社部门组织开展社区服刑人员职业技能培训，职业技能鉴定及创业培训的全省试点工作，努力向社会输出“合格产品".</w:t>
      </w:r>
      <w:r>
        <w:rPr>
          <w:rFonts w:hint="default" w:ascii="Calibri" w:hAnsi="Calibri" w:cs="Calibri"/>
          <w:szCs w:val="32"/>
          <w:highlight w:val="none"/>
        </w:rPr>
        <w:t>②</w:t>
      </w:r>
      <w:r>
        <w:rPr>
          <w:rFonts w:hint="eastAsia" w:ascii="仿宋_GB2312" w:hAnsi="仿宋_GB2312" w:cs="仿宋_GB2312"/>
          <w:szCs w:val="32"/>
          <w:highlight w:val="none"/>
        </w:rPr>
        <w:t>对社区矫正刑满释放对象中的”三无“人员进行过渡性安置，提出就业指导。</w:t>
      </w:r>
      <w:r>
        <w:rPr>
          <w:rFonts w:hint="default" w:ascii="Calibri" w:hAnsi="Calibri" w:cs="Calibri"/>
          <w:szCs w:val="32"/>
          <w:highlight w:val="none"/>
        </w:rPr>
        <w:t>③</w:t>
      </w:r>
      <w:r>
        <w:rPr>
          <w:rFonts w:hint="eastAsia" w:ascii="仿宋_GB2312" w:hAnsi="仿宋_GB2312" w:cs="仿宋_GB2312"/>
          <w:szCs w:val="32"/>
          <w:highlight w:val="none"/>
        </w:rPr>
        <w:t>深入开展对服刑人员未成年子女的关爱活动（情暖高墙）。</w:t>
      </w:r>
    </w:p>
    <w:p>
      <w:pPr>
        <w:pStyle w:val="2"/>
        <w:spacing w:after="0" w:line="560" w:lineRule="exact"/>
        <w:ind w:firstLine="640" w:firstLineChars="200"/>
        <w:rPr>
          <w:rFonts w:hint="eastAsia" w:ascii="仿宋_GB2312" w:hAnsi="仿宋_GB2312" w:cs="仿宋_GB2312"/>
          <w:szCs w:val="32"/>
          <w:highlight w:val="none"/>
        </w:rPr>
      </w:pPr>
      <w:r>
        <w:rPr>
          <w:rFonts w:hint="eastAsia" w:ascii="仿宋_GB2312" w:hAnsi="仿宋_GB2312" w:cs="仿宋_GB2312"/>
          <w:szCs w:val="32"/>
          <w:highlight w:val="none"/>
          <w:lang w:eastAsia="zh-CN"/>
        </w:rPr>
        <w:t>（</w:t>
      </w:r>
      <w:r>
        <w:rPr>
          <w:rFonts w:hint="eastAsia" w:ascii="仿宋_GB2312" w:hAnsi="仿宋_GB2312" w:cs="仿宋_GB2312"/>
          <w:szCs w:val="32"/>
          <w:highlight w:val="none"/>
          <w:lang w:val="en-US" w:eastAsia="zh-CN"/>
        </w:rPr>
        <w:t>4）</w:t>
      </w:r>
      <w:r>
        <w:rPr>
          <w:rFonts w:hint="eastAsia" w:ascii="仿宋_GB2312" w:hAnsi="仿宋_GB2312" w:cs="仿宋_GB2312"/>
          <w:szCs w:val="32"/>
          <w:highlight w:val="none"/>
        </w:rPr>
        <w:t>智慧矫正：</w:t>
      </w:r>
    </w:p>
    <w:p>
      <w:pPr>
        <w:pStyle w:val="2"/>
        <w:spacing w:after="0" w:line="560" w:lineRule="exact"/>
        <w:rPr>
          <w:rFonts w:hint="eastAsia" w:ascii="仿宋_GB2312" w:hAnsi="仿宋_GB2312" w:cs="仿宋_GB2312"/>
          <w:szCs w:val="32"/>
          <w:highlight w:val="none"/>
        </w:rPr>
      </w:pPr>
      <w:r>
        <w:rPr>
          <w:rFonts w:hint="eastAsia" w:ascii="仿宋_GB2312" w:hAnsi="仿宋_GB2312" w:cs="仿宋_GB2312"/>
          <w:szCs w:val="32"/>
          <w:highlight w:val="none"/>
        </w:rPr>
        <w:t>数据化平台、智能化监管、智能化教育、信息化帮扶。　　</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2.阶段性目标</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运用社区矫正对象管理教育经费和日常工作经费，保障社区矫正工作需要，防止社区矫正对象脱管、漏管现象发生，确保社区矫正工作取得预期的效果。</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二、绩效评价工作开展情况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（一）绩效评价目的、对象和范围。</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绩效评价目的是通过开展项目绩效评价，进一步规范社区矫正工作项目经费的管理和使用行为，确保专项经费专款专用。同时，总结经费预算、执行、管理的经验，建立科学合理的经费管理体系；绩效评价对象和范围是社区矫正工作情况以及项目经费使用情况</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 </w:t>
      </w:r>
    </w:p>
    <w:p>
      <w:pPr>
        <w:widowControl/>
        <w:numPr>
          <w:ilvl w:val="0"/>
          <w:numId w:val="1"/>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绩效评价原则、评价指标体系（附表说明）、评价方法、评价标准等。</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1.评价原则</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（1）科学规范。绩效评价注重财政支出的经济性、效率性和有效性，严格执行规定的程序，采用定量与定性分析相结合的方法。</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（2）公正公开。绩效评价客观、公正，标准统一、资料可靠，依法公开并接受监督。</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2.评价方法</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通过抽查信息平台数据、听取汇报、检查台账等方式对社区矫正项目资金管理使用情况进行绩效评价。</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3.评价标准</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依据（益资财〔2024〕10号）、《资阳区财政局关于开展2023年度区级预算部门绩效自评和部门评价工作的通知》和（益资财【2024】14号）、《资阳区财政局关于开展区级财政重点绩效评价工作的通知等文件为标准开展绩效评价工作。</w:t>
      </w:r>
    </w:p>
    <w:p>
      <w:pPr>
        <w:widowControl/>
        <w:numPr>
          <w:numId w:val="0"/>
        </w:numPr>
        <w:spacing w:line="600" w:lineRule="exact"/>
        <w:ind w:left="645" w:leftChars="0"/>
        <w:jc w:val="left"/>
        <w:rPr>
          <w:rFonts w:hint="eastAsia" w:ascii="仿宋" w:hAnsi="仿宋" w:eastAsia="仿宋" w:cs="仿宋"/>
          <w:sz w:val="32"/>
          <w:szCs w:val="32"/>
        </w:rPr>
      </w:pPr>
      <w:r>
        <w:rPr>
          <w:rFonts w:hint="eastAsia" w:ascii="仿宋" w:hAnsi="仿宋" w:eastAsia="仿宋" w:cs="仿宋"/>
          <w:sz w:val="32"/>
          <w:szCs w:val="32"/>
        </w:rPr>
        <w:t xml:space="preserve"> </w:t>
      </w:r>
    </w:p>
    <w:p>
      <w:pPr>
        <w:widowControl/>
        <w:numPr>
          <w:ilvl w:val="0"/>
          <w:numId w:val="1"/>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 xml:space="preserve">绩效评价工作过程。 </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1.前期准备。成立了项目支出绩效评价工作领导小组，由局长担任组长，局党政办及相关业务科室人员为具体工作人员。</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2.组织实施。先由项目单位自查，组织工作人员核查司法所经费使用台账，重点核查有无经费挪用、乱用、虚报情况；再通过司法行政基层工作信息管理平台、社区矫正执法监管统一平台抽查部分社区矫正工作数据；最后领导小组听取项目单位汇报。</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3.形成报告。根据自查情况、抽查数据、汇报情况，形成绩效评价报告。</w:t>
      </w:r>
    </w:p>
    <w:p>
      <w:pPr>
        <w:widowControl/>
        <w:numPr>
          <w:numId w:val="0"/>
        </w:numPr>
        <w:spacing w:line="600" w:lineRule="exact"/>
        <w:ind w:firstLine="640" w:firstLineChars="200"/>
        <w:jc w:val="left"/>
        <w:rPr>
          <w:rFonts w:hint="eastAsia"/>
        </w:rPr>
      </w:pPr>
      <w:r>
        <w:rPr>
          <w:rFonts w:hint="eastAsia" w:ascii="仿宋" w:hAnsi="仿宋" w:eastAsia="仿宋" w:cs="仿宋"/>
          <w:sz w:val="32"/>
          <w:szCs w:val="32"/>
          <w:lang w:eastAsia="zh-CN"/>
        </w:rPr>
        <w:t>三、</w:t>
      </w:r>
      <w:r>
        <w:rPr>
          <w:rFonts w:hint="eastAsia" w:ascii="仿宋" w:hAnsi="仿宋" w:eastAsia="仿宋" w:cs="仿宋"/>
          <w:sz w:val="32"/>
          <w:szCs w:val="32"/>
        </w:rPr>
        <w:t xml:space="preserve">综合评价情况及评价结论（附相关评分表） </w:t>
      </w:r>
    </w:p>
    <w:p>
      <w:pPr>
        <w:pStyle w:val="2"/>
        <w:spacing w:after="0" w:line="56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通过抽查信息平台数据、听取汇报、检查台账等方式对2023年社区矫正工作项目进行绩效评价，通过查看财务收支账目、定期对社区矫正管理工作进行检查，总体而言，经费资金及时到位，使用情况合理，符合预算安排，项目管理规范，落实了相关制度，财务管理手续完备，基本实现了预期效果。</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四、绩效评价指标分析 </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（一）项目决策情况。</w:t>
      </w:r>
    </w:p>
    <w:p>
      <w:pPr>
        <w:widowControl/>
        <w:spacing w:line="600" w:lineRule="exact"/>
        <w:ind w:firstLine="645"/>
        <w:jc w:val="left"/>
        <w:rPr>
          <w:rFonts w:hint="eastAsia" w:ascii="仿宋" w:hAnsi="仿宋" w:eastAsia="仿宋" w:cs="仿宋"/>
          <w:sz w:val="32"/>
          <w:szCs w:val="32"/>
        </w:rPr>
      </w:pPr>
      <w:r>
        <w:rPr>
          <w:rFonts w:hint="eastAsia" w:ascii="仿宋_GB2312" w:hAnsi="仿宋_GB2312" w:eastAsia="仿宋_GB2312" w:cs="仿宋_GB2312"/>
          <w:kern w:val="2"/>
          <w:sz w:val="32"/>
          <w:szCs w:val="32"/>
          <w:lang w:val="en-US" w:eastAsia="zh-CN" w:bidi="ar-SA"/>
        </w:rPr>
        <w:t>项目立项方面，本项目立项依据充分，符合国家法律法规和相关政策，与司法局职责范围相符，属于司法局履职所需，并按规定程序申请设立。绩效目标方面，绩效目标与社区矫正实际工作内容具有相关性，预期产出效益和效果符合正常的业绩水平，绩效目标设定清晰。资金投入方面，资金额度与年度目标的适应性还有所不足，预算编制科学性有待提升，</w:t>
      </w:r>
      <w:r>
        <w:rPr>
          <w:rFonts w:hint="eastAsia" w:ascii="仿宋_GB2312" w:hAnsi="仿宋_GB2312" w:cs="仿宋_GB2312"/>
          <w:kern w:val="2"/>
          <w:sz w:val="32"/>
          <w:szCs w:val="32"/>
          <w:lang w:val="en-US" w:eastAsia="zh-CN" w:bidi="ar-SA"/>
        </w:rPr>
        <w:t>需增加</w:t>
      </w:r>
      <w:r>
        <w:rPr>
          <w:rFonts w:hint="eastAsia" w:ascii="仿宋_GB2312" w:hAnsi="仿宋_GB2312" w:eastAsia="仿宋_GB2312" w:cs="仿宋_GB2312"/>
          <w:kern w:val="2"/>
          <w:sz w:val="32"/>
          <w:szCs w:val="32"/>
          <w:lang w:val="en-US" w:eastAsia="zh-CN" w:bidi="ar-SA"/>
        </w:rPr>
        <w:t xml:space="preserve">资金分配额度。 </w:t>
      </w:r>
    </w:p>
    <w:p>
      <w:pPr>
        <w:widowControl/>
        <w:numPr>
          <w:ilvl w:val="0"/>
          <w:numId w:val="2"/>
        </w:numPr>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 xml:space="preserve">项目过程情况。 </w:t>
      </w:r>
    </w:p>
    <w:p>
      <w:pPr>
        <w:pStyle w:val="2"/>
        <w:numPr>
          <w:numId w:val="0"/>
        </w:numPr>
        <w:ind w:firstLine="640" w:firstLineChars="200"/>
        <w:rPr>
          <w:rFonts w:hint="eastAsia"/>
        </w:rPr>
      </w:pPr>
      <w:r>
        <w:rPr>
          <w:rFonts w:hint="eastAsia" w:ascii="仿宋_GB2312" w:hAnsi="仿宋_GB2312" w:eastAsia="仿宋_GB2312" w:cs="仿宋_GB2312"/>
          <w:kern w:val="2"/>
          <w:sz w:val="32"/>
          <w:szCs w:val="32"/>
          <w:lang w:val="en-US" w:eastAsia="zh-CN" w:bidi="ar-SA"/>
        </w:rPr>
        <w:t>资金管理方面，社区矫正工作项目资金全部到位，预算执行率100%，资金使用合规。组织实施方面，具有相应的财务和业务管理制度，在执行</w:t>
      </w:r>
      <w:r>
        <w:rPr>
          <w:rFonts w:hint="eastAsia" w:ascii="仿宋_GB2312" w:hAnsi="仿宋_GB2312" w:cs="仿宋_GB2312"/>
          <w:kern w:val="2"/>
          <w:sz w:val="32"/>
          <w:szCs w:val="32"/>
          <w:lang w:val="en-US" w:eastAsia="zh-CN" w:bidi="ar-SA"/>
        </w:rPr>
        <w:t>中能</w:t>
      </w:r>
      <w:r>
        <w:rPr>
          <w:rFonts w:hint="eastAsia" w:ascii="仿宋_GB2312" w:hAnsi="仿宋_GB2312" w:eastAsia="仿宋_GB2312" w:cs="仿宋_GB2312"/>
          <w:kern w:val="2"/>
          <w:sz w:val="32"/>
          <w:szCs w:val="32"/>
          <w:lang w:val="en-US" w:eastAsia="zh-CN" w:bidi="ar-SA"/>
        </w:rPr>
        <w:t>遵守相关法律法规和管理规定。</w:t>
      </w:r>
    </w:p>
    <w:p>
      <w:pPr>
        <w:widowControl/>
        <w:numPr>
          <w:ilvl w:val="0"/>
          <w:numId w:val="2"/>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项目产出情况。</w:t>
      </w:r>
    </w:p>
    <w:p>
      <w:pPr>
        <w:pStyle w:val="2"/>
        <w:numPr>
          <w:ilvl w:val="0"/>
          <w:numId w:val="0"/>
        </w:num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产出数量上，202</w:t>
      </w:r>
      <w:r>
        <w:rPr>
          <w:rFonts w:hint="eastAsia" w:ascii="仿宋_GB2312" w:hAnsi="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年度社区矫正对象建档率达到95%，除特殊原因外基本做到了一人一档；产出质量上，社区矫正对象定位覆盖率达到95%，除部分矫正对象重病或年老，不需定位外，其余矫正对象均已落实定位监管；产出时效上，社区矫正对象入矫工作均及时完成；产出成本上，按规定落实了社区矫正教育对象管理经费标准。今年以来，共接收社区矫正对象189人，解除社区矫正对象169人，现在册社区矫正对象213人，安置帮教对象1395人。今年8月，我区“智慧矫正”中心顺利通过省司法厅的验收。</w:t>
      </w:r>
    </w:p>
    <w:p>
      <w:pPr>
        <w:widowControl/>
        <w:numPr>
          <w:ilvl w:val="0"/>
          <w:numId w:val="2"/>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项目效益情况。</w:t>
      </w:r>
    </w:p>
    <w:p>
      <w:pPr>
        <w:pStyle w:val="2"/>
        <w:numPr>
          <w:ilvl w:val="0"/>
          <w:numId w:val="0"/>
        </w:num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社会效益方面，本年度社区矫正对象重新违法犯罪率低于3‰，为社会和谐稳定做出了积极贡献；可持续效益方面，对所有社区矫正对象的监督管理和教育帮扶措施落实到位，无社区矫正对象脱管、漏管现象。</w:t>
      </w:r>
      <w:r>
        <w:rPr>
          <w:rFonts w:hint="eastAsia" w:ascii="仿宋_GB2312" w:hAnsi="仿宋_GB2312" w:eastAsia="仿宋_GB2312" w:cs="仿宋_GB2312"/>
          <w:color w:val="auto"/>
          <w:sz w:val="32"/>
          <w:szCs w:val="32"/>
        </w:rPr>
        <w:t>今年以来，通过“线上+线下”相结合，进一步加大法律援助宣传，提升法律援助知晓率，为更多弱势群体带去“福音”。</w:t>
      </w:r>
      <w:r>
        <w:rPr>
          <w:rFonts w:hint="eastAsia" w:ascii="仿宋_GB2312" w:hAnsi="仿宋_GB2312" w:eastAsia="仿宋_GB2312" w:cs="仿宋_GB2312"/>
          <w:kern w:val="2"/>
          <w:sz w:val="32"/>
          <w:szCs w:val="32"/>
          <w:lang w:val="en-US" w:eastAsia="zh-CN" w:bidi="ar-SA"/>
        </w:rPr>
        <w:t xml:space="preserve"> </w:t>
      </w:r>
    </w:p>
    <w:p>
      <w:pPr>
        <w:widowControl/>
        <w:numPr>
          <w:ilvl w:val="0"/>
          <w:numId w:val="3"/>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 xml:space="preserve">主要经验及做法、存在的问题及原因分析 </w:t>
      </w:r>
    </w:p>
    <w:p>
      <w:pPr>
        <w:pStyle w:val="2"/>
        <w:numPr>
          <w:numId w:val="0"/>
        </w:num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加</w:t>
      </w:r>
      <w:r>
        <w:rPr>
          <w:rFonts w:hint="eastAsia" w:ascii="仿宋_GB2312" w:hAnsi="仿宋_GB2312" w:eastAsia="仿宋_GB2312" w:cs="仿宋_GB2312"/>
          <w:kern w:val="2"/>
          <w:sz w:val="32"/>
          <w:szCs w:val="32"/>
          <w:lang w:val="en-US" w:eastAsia="zh-CN" w:bidi="ar-SA"/>
        </w:rPr>
        <w:t>强日常监管和教育帮扶。严格要求各司法所落实各项管控措施，创新运用网络高科技，做到社区矫正对象“三个必须”。严格按照走访排查制度，要求各司法所工作人员每月上门走访，准确把握社区矫正对象心理、生活状态；在“两会”“七一”期间部署“大走访、大排查”专项行动，扎实做好社区矫正领域安保维稳工作。教育帮扶采取线上线下相结合的方式，加强社区矫正对象法治教育。</w:t>
      </w:r>
    </w:p>
    <w:p>
      <w:pPr>
        <w:adjustRightInd w:val="0"/>
        <w:snapToGrid w:val="0"/>
        <w:spacing w:line="560" w:lineRule="exact"/>
        <w:ind w:firstLine="640" w:firstLineChars="200"/>
        <w:rPr>
          <w:rFonts w:hint="eastAsia"/>
          <w:szCs w:val="32"/>
        </w:rPr>
      </w:pPr>
      <w:r>
        <w:rPr>
          <w:rFonts w:hint="eastAsia"/>
          <w:szCs w:val="32"/>
        </w:rPr>
        <w:t>绩效管理的经验不足，项目的部分成果无法用指标形式来表示；在绩效考评指标的设计上，有待完善。</w:t>
      </w:r>
    </w:p>
    <w:p>
      <w:pPr>
        <w:pStyle w:val="2"/>
        <w:numPr>
          <w:numId w:val="0"/>
        </w:numPr>
        <w:ind w:left="645" w:leftChars="0"/>
        <w:rPr>
          <w:rFonts w:hint="eastAsia"/>
        </w:rPr>
      </w:pPr>
    </w:p>
    <w:p>
      <w:pPr>
        <w:widowControl/>
        <w:numPr>
          <w:ilvl w:val="0"/>
          <w:numId w:val="3"/>
        </w:numPr>
        <w:spacing w:line="600" w:lineRule="exact"/>
        <w:ind w:left="0" w:leftChars="0" w:firstLine="645" w:firstLineChars="0"/>
        <w:jc w:val="left"/>
        <w:rPr>
          <w:rFonts w:hint="eastAsia" w:ascii="仿宋" w:hAnsi="仿宋" w:eastAsia="仿宋" w:cs="仿宋"/>
          <w:sz w:val="32"/>
          <w:szCs w:val="32"/>
        </w:rPr>
      </w:pPr>
      <w:r>
        <w:rPr>
          <w:rFonts w:hint="eastAsia" w:ascii="仿宋" w:hAnsi="仿宋" w:eastAsia="仿宋" w:cs="仿宋"/>
          <w:sz w:val="32"/>
          <w:szCs w:val="32"/>
        </w:rPr>
        <w:t xml:space="preserve">有关建议 </w:t>
      </w:r>
    </w:p>
    <w:p>
      <w:pPr>
        <w:pStyle w:val="2"/>
        <w:numPr>
          <w:ilvl w:val="0"/>
          <w:numId w:val="0"/>
        </w:num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加大社区矫正工作人员培训力度，定期进行社区矫正工作技能考核，提高社区矫正工作人员综合业务能力。</w:t>
      </w:r>
    </w:p>
    <w:p>
      <w:pPr>
        <w:pStyle w:val="2"/>
        <w:numPr>
          <w:ilvl w:val="0"/>
          <w:numId w:val="3"/>
        </w:numPr>
        <w:ind w:left="0" w:leftChars="0" w:firstLine="645" w:firstLineChars="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其他需要说明的问题</w:t>
      </w:r>
    </w:p>
    <w:p>
      <w:pPr>
        <w:pStyle w:val="2"/>
        <w:numPr>
          <w:numId w:val="0"/>
        </w:numPr>
        <w:ind w:left="645" w:leftChars="0"/>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无</w:t>
      </w:r>
    </w:p>
    <w:p>
      <w:pPr>
        <w:spacing w:line="594" w:lineRule="exact"/>
        <w:ind w:firstLine="320" w:firstLineChars="100"/>
        <w:jc w:val="both"/>
        <w:rPr>
          <w:rFonts w:hint="eastAsia" w:ascii="仿宋" w:hAnsi="仿宋" w:eastAsia="仿宋" w:cs="仿宋"/>
          <w:sz w:val="32"/>
          <w:szCs w:val="32"/>
        </w:rPr>
      </w:pPr>
      <w:r>
        <w:rPr>
          <w:rFonts w:hint="eastAsia" w:ascii="仿宋" w:hAnsi="仿宋" w:eastAsia="仿宋" w:cs="仿宋"/>
          <w:sz w:val="32"/>
          <w:szCs w:val="32"/>
          <w:lang w:eastAsia="zh-CN"/>
        </w:rPr>
        <w:t>附件</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项目支出绩效评价基础数据表</w:t>
      </w:r>
    </w:p>
    <w:p>
      <w:pPr>
        <w:numPr>
          <w:ilvl w:val="0"/>
          <w:numId w:val="0"/>
        </w:numPr>
        <w:spacing w:line="594" w:lineRule="exact"/>
        <w:ind w:firstLine="1280" w:firstLineChars="4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项目支出绩效评价指标及评分表（参考）</w:t>
      </w:r>
    </w:p>
    <w:p>
      <w:pPr>
        <w:spacing w:line="600" w:lineRule="exact"/>
        <w:ind w:firstLine="1267" w:firstLineChars="396"/>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3.</w:t>
      </w:r>
      <w:r>
        <w:rPr>
          <w:rFonts w:hint="eastAsia" w:ascii="仿宋_GB2312" w:hAnsi="仿宋_GB2312" w:eastAsia="仿宋_GB2312" w:cs="仿宋_GB2312"/>
          <w:kern w:val="0"/>
          <w:sz w:val="32"/>
          <w:szCs w:val="32"/>
          <w:lang w:val="en-US" w:eastAsia="zh-CN" w:bidi="ar-SA"/>
        </w:rPr>
        <w:t>其他必要材料（当年度财政专项资金绩效目标申报表、财政专项支出绩效目标执行监控表、项目实施情况、年度总结、有关项目现场图片佐证材料等，佐证资料必须列目录表，与自评表指标对应）</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9F05E"/>
    <w:multiLevelType w:val="singleLevel"/>
    <w:tmpl w:val="9739F05E"/>
    <w:lvl w:ilvl="0" w:tentative="0">
      <w:start w:val="2"/>
      <w:numFmt w:val="chineseCounting"/>
      <w:suff w:val="nothing"/>
      <w:lvlText w:val="（%1）"/>
      <w:lvlJc w:val="left"/>
      <w:rPr>
        <w:rFonts w:hint="eastAsia"/>
      </w:rPr>
    </w:lvl>
  </w:abstractNum>
  <w:abstractNum w:abstractNumId="1">
    <w:nsid w:val="CE6CF7D4"/>
    <w:multiLevelType w:val="singleLevel"/>
    <w:tmpl w:val="CE6CF7D4"/>
    <w:lvl w:ilvl="0" w:tentative="0">
      <w:start w:val="3"/>
      <w:numFmt w:val="chineseCounting"/>
      <w:suff w:val="nothing"/>
      <w:lvlText w:val="%1、"/>
      <w:lvlJc w:val="left"/>
      <w:rPr>
        <w:rFonts w:hint="eastAsia"/>
      </w:rPr>
    </w:lvl>
  </w:abstractNum>
  <w:abstractNum w:abstractNumId="2">
    <w:nsid w:val="35B53795"/>
    <w:multiLevelType w:val="singleLevel"/>
    <w:tmpl w:val="35B53795"/>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4Yzk4ODJmMGVmMGMwZTQyYzcyMjk1ZGFjMjNmNWEifQ=="/>
  </w:docVars>
  <w:rsids>
    <w:rsidRoot w:val="7D421976"/>
    <w:rsid w:val="02566477"/>
    <w:rsid w:val="02604B64"/>
    <w:rsid w:val="02B01361"/>
    <w:rsid w:val="042A6EF2"/>
    <w:rsid w:val="0447163B"/>
    <w:rsid w:val="084C38DA"/>
    <w:rsid w:val="088B4CF5"/>
    <w:rsid w:val="08D15B8E"/>
    <w:rsid w:val="097F23C2"/>
    <w:rsid w:val="0C430B50"/>
    <w:rsid w:val="0D3A05F9"/>
    <w:rsid w:val="0ED41876"/>
    <w:rsid w:val="11254CC9"/>
    <w:rsid w:val="127F6F08"/>
    <w:rsid w:val="129B4922"/>
    <w:rsid w:val="18322780"/>
    <w:rsid w:val="19717795"/>
    <w:rsid w:val="19D97967"/>
    <w:rsid w:val="21A35A6C"/>
    <w:rsid w:val="22330B50"/>
    <w:rsid w:val="225862E9"/>
    <w:rsid w:val="243F25D3"/>
    <w:rsid w:val="24EA451D"/>
    <w:rsid w:val="25292CA1"/>
    <w:rsid w:val="258954BE"/>
    <w:rsid w:val="2A2517D0"/>
    <w:rsid w:val="2AF4778E"/>
    <w:rsid w:val="2B9D6077"/>
    <w:rsid w:val="2D5409B8"/>
    <w:rsid w:val="2E2A1636"/>
    <w:rsid w:val="30024D93"/>
    <w:rsid w:val="30D8545C"/>
    <w:rsid w:val="338D737F"/>
    <w:rsid w:val="357C6CFE"/>
    <w:rsid w:val="35E15D47"/>
    <w:rsid w:val="35E30B2B"/>
    <w:rsid w:val="368A71F8"/>
    <w:rsid w:val="377D7015"/>
    <w:rsid w:val="38087178"/>
    <w:rsid w:val="398C10E2"/>
    <w:rsid w:val="3A127F2E"/>
    <w:rsid w:val="3A644A9D"/>
    <w:rsid w:val="3B4B164C"/>
    <w:rsid w:val="3C636521"/>
    <w:rsid w:val="3D5567B2"/>
    <w:rsid w:val="3D8C5F4C"/>
    <w:rsid w:val="3E2F0B84"/>
    <w:rsid w:val="40D043A1"/>
    <w:rsid w:val="42DC527F"/>
    <w:rsid w:val="44607359"/>
    <w:rsid w:val="45506045"/>
    <w:rsid w:val="46B36680"/>
    <w:rsid w:val="46D40884"/>
    <w:rsid w:val="48013092"/>
    <w:rsid w:val="4B86753E"/>
    <w:rsid w:val="4C3E7355"/>
    <w:rsid w:val="4FD25A40"/>
    <w:rsid w:val="50B05655"/>
    <w:rsid w:val="519B1CAB"/>
    <w:rsid w:val="58613E05"/>
    <w:rsid w:val="5A364E1D"/>
    <w:rsid w:val="5A61633E"/>
    <w:rsid w:val="5A995EEB"/>
    <w:rsid w:val="5B01542B"/>
    <w:rsid w:val="5C72307C"/>
    <w:rsid w:val="5C963B4D"/>
    <w:rsid w:val="5CDE4BCF"/>
    <w:rsid w:val="602D281F"/>
    <w:rsid w:val="60E3072E"/>
    <w:rsid w:val="61A35109"/>
    <w:rsid w:val="64E24D6C"/>
    <w:rsid w:val="6D694F63"/>
    <w:rsid w:val="6DC94FCE"/>
    <w:rsid w:val="6E260A53"/>
    <w:rsid w:val="73E02C3A"/>
    <w:rsid w:val="7B5A472C"/>
    <w:rsid w:val="7C792C1C"/>
    <w:rsid w:val="7D1447E3"/>
    <w:rsid w:val="7D421976"/>
    <w:rsid w:val="7E907325"/>
    <w:rsid w:val="7F385B61"/>
    <w:rsid w:val="7F6F3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BodyText1I2"/>
    <w:basedOn w:val="7"/>
    <w:qFormat/>
    <w:uiPriority w:val="0"/>
    <w:pPr>
      <w:ind w:firstLine="420"/>
    </w:pPr>
  </w:style>
  <w:style w:type="paragraph" w:customStyle="1" w:styleId="7">
    <w:name w:val="BodyTextIndent"/>
    <w:basedOn w:val="1"/>
    <w:autoRedefine/>
    <w:qFormat/>
    <w:uiPriority w:val="0"/>
    <w:pPr>
      <w:spacing w:after="120"/>
      <w:ind w:left="420" w:leftChars="200" w:firstLine="200" w:firstLineChars="200"/>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1426</Words>
  <Characters>1485</Characters>
  <Lines>0</Lines>
  <Paragraphs>0</Paragraphs>
  <TotalTime>3</TotalTime>
  <ScaleCrop>false</ScaleCrop>
  <LinksUpToDate>false</LinksUpToDate>
  <CharactersWithSpaces>1509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2024-05-24T15:12:00Z</dcterms:created>
  <dc:creator>Administrator</dc:creator>
  <cp:lastModifiedBy>Administrator</cp:lastModifiedBy>
  <dcterms:modified xsi:type="dcterms:W3CDTF">2024-05-27T02:10:46Z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8A8397AC70654823B4B20D25A5E963F9_11</vt:lpwstr>
  </property>
</Properties>
</file>