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附件</w:t>
      </w:r>
      <w:r>
        <w:rPr>
          <w:rFonts w:hint="eastAsia" w:ascii="仿宋" w:hAnsi="仿宋" w:eastAsia="仿宋" w:cs="仿宋"/>
          <w:kern w:val="0"/>
          <w:sz w:val="32"/>
          <w:szCs w:val="32"/>
          <w:lang w:val="en-US" w:eastAsia="zh-CN"/>
        </w:rPr>
        <w:t>5</w:t>
      </w:r>
    </w:p>
    <w:p>
      <w:pPr>
        <w:jc w:val="center"/>
        <w:rPr>
          <w:rFonts w:hint="eastAsia" w:ascii="仿宋" w:hAnsi="仿宋" w:eastAsia="仿宋" w:cs="仿宋"/>
          <w:sz w:val="48"/>
          <w:szCs w:val="48"/>
        </w:rPr>
      </w:pPr>
      <w:r>
        <w:rPr>
          <w:rFonts w:hint="eastAsia" w:ascii="仿宋" w:hAnsi="仿宋" w:eastAsia="仿宋" w:cs="仿宋"/>
          <w:sz w:val="48"/>
          <w:szCs w:val="48"/>
          <w:lang w:val="en-US" w:eastAsia="zh-CN"/>
        </w:rPr>
        <w:t>2023</w:t>
      </w:r>
      <w:r>
        <w:rPr>
          <w:rFonts w:hint="eastAsia" w:ascii="仿宋" w:hAnsi="仿宋" w:eastAsia="仿宋" w:cs="仿宋"/>
          <w:sz w:val="48"/>
          <w:szCs w:val="48"/>
        </w:rPr>
        <w:t>年度</w:t>
      </w:r>
      <w:r>
        <w:rPr>
          <w:rFonts w:hint="eastAsia" w:ascii="仿宋" w:hAnsi="仿宋" w:eastAsia="仿宋" w:cs="仿宋"/>
          <w:sz w:val="48"/>
          <w:szCs w:val="48"/>
          <w:lang w:eastAsia="zh-CN"/>
        </w:rPr>
        <w:t>益阳市资阳区司法局</w:t>
      </w:r>
      <w:r>
        <w:rPr>
          <w:rFonts w:hint="eastAsia" w:ascii="仿宋" w:hAnsi="仿宋" w:eastAsia="仿宋" w:cs="仿宋"/>
          <w:sz w:val="48"/>
          <w:szCs w:val="48"/>
        </w:rPr>
        <w:t>部门整体支出绩效自评报告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rPr>
        <w:t>（盖章）</w:t>
      </w:r>
      <w:r>
        <w:rPr>
          <w:rFonts w:hint="eastAsia" w:ascii="仿宋" w:hAnsi="仿宋" w:eastAsia="仿宋" w:cs="仿宋"/>
          <w:sz w:val="36"/>
          <w:szCs w:val="36"/>
          <w:u w:val="single"/>
          <w:lang w:val="en-US" w:eastAsia="zh-CN"/>
        </w:rPr>
        <w:t xml:space="preserve">       </w:t>
      </w:r>
    </w:p>
    <w:p>
      <w:pPr>
        <w:ind w:firstLine="3240" w:firstLineChars="900"/>
        <w:jc w:val="both"/>
        <w:rPr>
          <w:rFonts w:hint="eastAsia" w:ascii="仿宋" w:hAnsi="仿宋" w:eastAsia="仿宋" w:cs="仿宋"/>
          <w:sz w:val="36"/>
          <w:szCs w:val="36"/>
          <w:u w:val="none"/>
          <w:lang w:val="en-US" w:eastAsia="zh-CN"/>
        </w:rPr>
      </w:pPr>
    </w:p>
    <w:p>
      <w:pPr>
        <w:ind w:firstLine="3240" w:firstLineChars="900"/>
        <w:jc w:val="both"/>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2024年  5 月 15  日</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（此页为封面）</w:t>
      </w:r>
    </w:p>
    <w:p>
      <w:pPr>
        <w:spacing w:line="560" w:lineRule="exact"/>
        <w:ind w:firstLine="360" w:firstLineChars="100"/>
        <w:jc w:val="center"/>
        <w:rPr>
          <w:rFonts w:hint="eastAsia" w:ascii="仿宋" w:hAnsi="仿宋" w:eastAsia="仿宋" w:cs="仿宋"/>
          <w:sz w:val="36"/>
          <w:szCs w:val="36"/>
          <w:lang w:val="en-US" w:eastAsia="zh-CN"/>
        </w:rPr>
      </w:pPr>
    </w:p>
    <w:p>
      <w:pPr>
        <w:spacing w:line="600" w:lineRule="exact"/>
        <w:ind w:firstLine="1928" w:firstLineChars="600"/>
        <w:jc w:val="both"/>
        <w:rPr>
          <w:rFonts w:hint="eastAsia" w:ascii="仿宋_GB2312" w:hAnsi="仿宋_GB2312" w:eastAsia="仿宋_GB2312" w:cs="仿宋_GB2312"/>
          <w:b/>
          <w:bCs/>
          <w:kern w:val="0"/>
          <w:sz w:val="32"/>
          <w:szCs w:val="32"/>
          <w:lang w:val="en-US" w:eastAsia="zh-CN" w:bidi="ar-SA"/>
        </w:rPr>
      </w:pPr>
    </w:p>
    <w:p>
      <w:pPr>
        <w:spacing w:line="600" w:lineRule="exact"/>
        <w:ind w:firstLine="1928" w:firstLineChars="600"/>
        <w:jc w:val="both"/>
        <w:rPr>
          <w:rFonts w:hint="eastAsia" w:ascii="仿宋_GB2312" w:hAnsi="仿宋_GB2312" w:cs="仿宋_GB2312"/>
          <w:b/>
          <w:bCs/>
          <w:kern w:val="0"/>
          <w:sz w:val="32"/>
          <w:szCs w:val="32"/>
          <w:lang w:val="en-US" w:eastAsia="zh-CN" w:bidi="ar-SA"/>
        </w:rPr>
      </w:pPr>
      <w:r>
        <w:rPr>
          <w:rFonts w:hint="eastAsia" w:ascii="仿宋_GB2312" w:hAnsi="仿宋_GB2312" w:cs="仿宋_GB2312"/>
          <w:b/>
          <w:bCs/>
          <w:kern w:val="0"/>
          <w:sz w:val="32"/>
          <w:szCs w:val="32"/>
          <w:lang w:val="en-US" w:eastAsia="zh-CN" w:bidi="ar-SA"/>
        </w:rPr>
        <w:t>2023</w:t>
      </w:r>
      <w:r>
        <w:rPr>
          <w:rFonts w:hint="eastAsia" w:ascii="仿宋_GB2312" w:hAnsi="仿宋_GB2312" w:eastAsia="仿宋_GB2312" w:cs="仿宋_GB2312"/>
          <w:b/>
          <w:bCs/>
          <w:kern w:val="0"/>
          <w:sz w:val="32"/>
          <w:szCs w:val="32"/>
          <w:lang w:val="en-US" w:eastAsia="zh-CN" w:bidi="ar-SA"/>
        </w:rPr>
        <w:t>年度</w:t>
      </w:r>
      <w:r>
        <w:rPr>
          <w:rFonts w:hint="eastAsia" w:ascii="仿宋_GB2312" w:hAnsi="仿宋_GB2312" w:cs="仿宋_GB2312"/>
          <w:b/>
          <w:bCs/>
          <w:kern w:val="0"/>
          <w:sz w:val="32"/>
          <w:szCs w:val="32"/>
          <w:lang w:val="en-US" w:eastAsia="zh-CN" w:bidi="ar-SA"/>
        </w:rPr>
        <w:t>益阳市资阳区司法局</w:t>
      </w:r>
    </w:p>
    <w:p>
      <w:pPr>
        <w:spacing w:line="600" w:lineRule="exact"/>
        <w:ind w:firstLine="2249" w:firstLineChars="700"/>
        <w:jc w:val="both"/>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部门整体支出绩效自评报告</w:t>
      </w:r>
    </w:p>
    <w:p>
      <w:pPr>
        <w:spacing w:line="600" w:lineRule="exact"/>
        <w:ind w:firstLine="630" w:firstLineChars="196"/>
        <w:jc w:val="center"/>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（参考提纲）</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p>
    <w:p>
      <w:pPr>
        <w:widowControl/>
        <w:numPr>
          <w:ilvl w:val="0"/>
          <w:numId w:val="1"/>
        </w:numPr>
        <w:autoSpaceDN w:val="0"/>
        <w:spacing w:line="540" w:lineRule="exact"/>
        <w:ind w:left="640" w:leftChars="0" w:firstLine="640" w:firstLineChars="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部门概况</w:t>
      </w:r>
    </w:p>
    <w:p>
      <w:pPr>
        <w:spacing w:line="560" w:lineRule="exact"/>
        <w:ind w:left="320" w:leftChars="100" w:firstLine="640" w:firstLineChars="200"/>
        <w:rPr>
          <w:rFonts w:hint="eastAsia" w:ascii="黑体" w:eastAsia="黑体"/>
          <w:szCs w:val="32"/>
        </w:rPr>
      </w:pPr>
      <w:r>
        <w:rPr>
          <w:rFonts w:ascii="仿宋_GB2312" w:hAnsi="宋体" w:cs="仿宋_GB2312"/>
          <w:color w:val="333333"/>
          <w:szCs w:val="32"/>
          <w:shd w:val="clear" w:color="auto" w:fill="FFFFFF"/>
        </w:rPr>
        <w:t>为强化财政支出绩效管理，促进财政资金管理使用精细化、科学化，切实提高财政资金使用效益，强化单位责任意识，根据中共中央、国务院《关于全面实施预算绩效管理的意见》（中发[2018]34号）文件精神，按照《</w:t>
      </w:r>
      <w:r>
        <w:rPr>
          <w:rFonts w:hint="eastAsia" w:ascii="仿宋_GB2312" w:hAnsi="宋体" w:cs="仿宋_GB2312"/>
          <w:color w:val="333333"/>
          <w:szCs w:val="32"/>
          <w:shd w:val="clear" w:color="auto" w:fill="FFFFFF"/>
        </w:rPr>
        <w:t>资阳区财政</w:t>
      </w:r>
      <w:r>
        <w:rPr>
          <w:rFonts w:ascii="仿宋_GB2312" w:hAnsi="宋体" w:cs="仿宋_GB2312"/>
          <w:color w:val="333333"/>
          <w:szCs w:val="32"/>
          <w:shd w:val="clear" w:color="auto" w:fill="FFFFFF"/>
        </w:rPr>
        <w:t>预算绩效管理暂行办法》有关规定，对</w:t>
      </w:r>
      <w:r>
        <w:rPr>
          <w:rFonts w:hint="eastAsia" w:ascii="仿宋_GB2312" w:hAnsi="宋体" w:cs="仿宋_GB2312"/>
          <w:color w:val="333333"/>
          <w:szCs w:val="32"/>
          <w:shd w:val="clear" w:color="auto" w:fill="FFFFFF"/>
        </w:rPr>
        <w:t>资阳区司</w:t>
      </w:r>
      <w:r>
        <w:rPr>
          <w:rFonts w:ascii="仿宋_GB2312" w:hAnsi="宋体" w:cs="仿宋_GB2312"/>
          <w:color w:val="333333"/>
          <w:szCs w:val="32"/>
          <w:shd w:val="clear" w:color="auto" w:fill="FFFFFF"/>
        </w:rPr>
        <w:t>法局202</w:t>
      </w:r>
      <w:r>
        <w:rPr>
          <w:rFonts w:hint="eastAsia" w:ascii="仿宋_GB2312" w:hAnsi="宋体" w:cs="仿宋_GB2312"/>
          <w:color w:val="333333"/>
          <w:szCs w:val="32"/>
          <w:shd w:val="clear" w:color="auto" w:fill="FFFFFF"/>
          <w:lang w:val="en-US" w:eastAsia="zh-CN"/>
        </w:rPr>
        <w:t>3</w:t>
      </w:r>
      <w:r>
        <w:rPr>
          <w:rFonts w:ascii="仿宋_GB2312" w:hAnsi="宋体" w:cs="仿宋_GB2312"/>
          <w:color w:val="333333"/>
          <w:szCs w:val="32"/>
          <w:shd w:val="clear" w:color="auto" w:fill="FFFFFF"/>
        </w:rPr>
        <w:t>年度部门整体支出进行了综合绩效自评。现将有关情况报告如下：</w:t>
      </w:r>
    </w:p>
    <w:p>
      <w:pPr>
        <w:numPr>
          <w:ilvl w:val="0"/>
          <w:numId w:val="2"/>
        </w:numPr>
        <w:spacing w:line="60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简要介绍2023年度重点工作计划；</w:t>
      </w:r>
    </w:p>
    <w:p>
      <w:pPr>
        <w:spacing w:line="560" w:lineRule="exact"/>
        <w:ind w:left="320" w:leftChars="100" w:firstLine="640" w:firstLineChars="200"/>
        <w:rPr>
          <w:rFonts w:ascii="仿宋_GB2312" w:hAnsi="宋体" w:cs="仿宋_GB2312"/>
          <w:color w:val="333333"/>
          <w:szCs w:val="32"/>
          <w:shd w:val="clear" w:color="auto" w:fill="FFFFFF"/>
        </w:rPr>
      </w:pPr>
      <w:r>
        <w:rPr>
          <w:rFonts w:ascii="仿宋_GB2312" w:hAnsi="宋体" w:cs="仿宋_GB2312"/>
          <w:color w:val="333333"/>
          <w:szCs w:val="32"/>
          <w:shd w:val="clear" w:color="auto" w:fill="FFFFFF"/>
        </w:rPr>
        <w:t>2023年，资阳司法行政工作主要以实现“五个新”为目标，具体如下：</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lang w:val="en-US" w:eastAsia="zh-CN"/>
        </w:rPr>
        <w:t>1</w:t>
      </w:r>
      <w:r>
        <w:rPr>
          <w:rFonts w:hint="eastAsia" w:ascii="仿宋_GB2312" w:hAnsi="宋体" w:cs="仿宋_GB2312"/>
          <w:color w:val="333333"/>
          <w:szCs w:val="32"/>
          <w:shd w:val="clear" w:color="auto" w:fill="FFFFFF"/>
        </w:rPr>
        <w:t>、开启“法治资阳”建设新征程</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2023年，要充分履行全面依法治区委员会办公室秘书组职责，坚持以法治建设“一规划两纲要”指导全面依法治区工作，通过进一步落实会前学法、法治年报、法治督察、“两法衔接”等工作，着力提升法治政府治理效能，提高法治为民水平，强化法治资阳制度保障，推动“法治资阳”建设开启新征程。</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lang w:val="en-US" w:eastAsia="zh-CN"/>
        </w:rPr>
        <w:t>2</w:t>
      </w:r>
      <w:r>
        <w:rPr>
          <w:rFonts w:hint="eastAsia" w:ascii="仿宋_GB2312" w:hAnsi="宋体" w:cs="仿宋_GB2312"/>
          <w:color w:val="333333"/>
          <w:szCs w:val="32"/>
          <w:shd w:val="clear" w:color="auto" w:fill="FFFFFF"/>
        </w:rPr>
        <w:t>、开拓“法治政府建设”新局面</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以创建“湖南省法治政府建设示范区”为契机，推动在全区形成依法行政全面共识，树牢法治思维，完善法治保障。加大对规范性文件、重大行政决策合法性审查力度，推动行政决策法治化；加强行政复议规范化建设，发挥行政复议化解行政争议主渠道作用；深化行政执法“三项制度”，推进严格规范公正文明执法，持续优化法治化营商环境。</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、开创公共法律服务体系新格局</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持续弘扬社会主义法治精神，深入开展法治宣传教育，通过创新开展“谁执法谁普法”短视频大赛等宣传方式，持续抓好“八五”普法，增强全民法治意识；进一步推动落实“一村（社区）一法律顾问”工作，提高村、社区依法治理能力；聚焦人民群众“急难愁盼”问题，为群众提供化解矛盾争议、法律咨询、法律援助等服务，破解民生痛点难点，推动公共法律服务惠民生、提质效。</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lang w:val="en-US" w:eastAsia="zh-CN"/>
        </w:rPr>
        <w:t>4</w:t>
      </w:r>
      <w:r>
        <w:rPr>
          <w:rFonts w:hint="eastAsia" w:ascii="仿宋_GB2312" w:hAnsi="宋体" w:cs="仿宋_GB2312"/>
          <w:color w:val="333333"/>
          <w:szCs w:val="32"/>
          <w:shd w:val="clear" w:color="auto" w:fill="FFFFFF"/>
        </w:rPr>
        <w:t>、实现特殊人群管理新发展</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在做好日常监管的前提下，扎实开展“智慧矫正”“清廉矫正”工作。坚持问题导向，瞄准群众感受最直接、反映最强烈的问题，深入整治司法行政领域的“微腐败”。按照“高起点谋划、高标准建设、高措施保障”的要求建设智慧矫正中心，引入社会组织、心理服务机构，形成社区矫正共建共治共享新格局，打造具有资阳特色的“智慧矫正”新高地。</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lang w:val="en-US" w:eastAsia="zh-CN"/>
        </w:rPr>
        <w:t>5</w:t>
      </w:r>
      <w:r>
        <w:rPr>
          <w:rFonts w:hint="eastAsia" w:ascii="仿宋_GB2312" w:hAnsi="宋体" w:cs="仿宋_GB2312"/>
          <w:color w:val="333333"/>
          <w:szCs w:val="32"/>
          <w:shd w:val="clear" w:color="auto" w:fill="FFFFFF"/>
        </w:rPr>
        <w:t>、展现司法行政队伍新风貌</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深入学习贯彻党的二十大精神，通过抓学习、抓作风、抓考核推进能力素质提升工程。持续开展“古城法治课堂”，进一步提升干职工的业务素养；通过注重职能发挥、强化管理规范、持续纠正四风等方式夯实基层司法所工作，进一步狠抓队伍建设；健全考核制度，将在编在岗人员和政府购买服务人员分门别类纳入考核体系，形成能者上、庸者下、劣者汰的竞争工作机制。</w:t>
      </w:r>
    </w:p>
    <w:tbl>
      <w:tblPr>
        <w:tblStyle w:val="5"/>
        <w:tblW w:w="747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375" w:hRule="atLeast"/>
          <w:jc w:val="center"/>
        </w:trPr>
        <w:tc>
          <w:tcPr>
            <w:tcW w:w="7475" w:type="dxa"/>
            <w:shd w:val="clear" w:color="auto" w:fill="FFFFFF"/>
            <w:vAlign w:val="center"/>
          </w:tcPr>
          <w:p>
            <w:pPr>
              <w:keepNext w:val="0"/>
              <w:keepLines w:val="0"/>
              <w:widowControl/>
              <w:suppressLineNumbers w:val="0"/>
              <w:jc w:val="left"/>
              <w:rPr>
                <w:rFonts w:hint="eastAsia" w:ascii="微软雅黑" w:hAnsi="微软雅黑" w:eastAsia="微软雅黑" w:cs="微软雅黑"/>
                <w:i w:val="0"/>
                <w:iCs w:val="0"/>
                <w:caps w:val="0"/>
                <w:color w:val="333333"/>
                <w:spacing w:val="0"/>
                <w:sz w:val="24"/>
                <w:szCs w:val="24"/>
              </w:rPr>
            </w:pPr>
          </w:p>
        </w:tc>
      </w:tr>
    </w:tbl>
    <w:p>
      <w:pPr>
        <w:pStyle w:val="3"/>
        <w:numPr>
          <w:ilvl w:val="0"/>
          <w:numId w:val="0"/>
        </w:numPr>
        <w:rPr>
          <w:rFonts w:hint="eastAsia"/>
          <w:lang w:val="en-US" w:eastAsia="zh-CN"/>
        </w:rPr>
      </w:pPr>
    </w:p>
    <w:p>
      <w:pPr>
        <w:numPr>
          <w:ilvl w:val="0"/>
          <w:numId w:val="2"/>
        </w:numPr>
        <w:spacing w:line="600" w:lineRule="exact"/>
        <w:ind w:left="0" w:leftChars="0"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部门整体支出规模、使用方向、主要内容和涉及范围。</w:t>
      </w:r>
    </w:p>
    <w:p>
      <w:pPr>
        <w:numPr>
          <w:ilvl w:val="0"/>
          <w:numId w:val="0"/>
        </w:numPr>
        <w:spacing w:line="60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我单位2023年收到财政资金1136.15万元，与预算数相符，其中基本支出</w:t>
      </w:r>
      <w:r>
        <w:rPr>
          <w:rFonts w:hint="eastAsia" w:ascii="仿宋_GB2312" w:hAnsi="仿宋_GB2312" w:cs="仿宋_GB2312"/>
          <w:kern w:val="0"/>
          <w:sz w:val="32"/>
          <w:szCs w:val="32"/>
          <w:lang w:val="en-US" w:eastAsia="zh-CN" w:bidi="ar-SA"/>
        </w:rPr>
        <w:t>854.31</w:t>
      </w:r>
      <w:r>
        <w:rPr>
          <w:rFonts w:hint="eastAsia" w:ascii="仿宋_GB2312" w:hAnsi="仿宋_GB2312" w:eastAsia="仿宋_GB2312" w:cs="仿宋_GB2312"/>
          <w:kern w:val="0"/>
          <w:sz w:val="32"/>
          <w:szCs w:val="32"/>
          <w:lang w:val="en-US" w:eastAsia="zh-CN" w:bidi="ar-SA"/>
        </w:rPr>
        <w:t>万元，项目支出</w:t>
      </w:r>
      <w:r>
        <w:rPr>
          <w:rFonts w:hint="eastAsia" w:ascii="仿宋_GB2312" w:hAnsi="仿宋_GB2312" w:cs="仿宋_GB2312"/>
          <w:kern w:val="0"/>
          <w:sz w:val="32"/>
          <w:szCs w:val="32"/>
          <w:lang w:val="en-US" w:eastAsia="zh-CN" w:bidi="ar-SA"/>
        </w:rPr>
        <w:t>281.84</w:t>
      </w:r>
      <w:r>
        <w:rPr>
          <w:rFonts w:hint="eastAsia" w:ascii="仿宋_GB2312" w:hAnsi="仿宋_GB2312" w:eastAsia="仿宋_GB2312" w:cs="仿宋_GB2312"/>
          <w:kern w:val="0"/>
          <w:sz w:val="32"/>
          <w:szCs w:val="32"/>
          <w:lang w:val="en-US" w:eastAsia="zh-CN" w:bidi="ar-SA"/>
        </w:rPr>
        <w:t>万元；2023年实际支出1136.15万元，与预算数相符，结余财政资金0万元。经费主要用于保障司法行政工作各项业务。</w:t>
      </w:r>
    </w:p>
    <w:p>
      <w:pPr>
        <w:widowControl/>
        <w:numPr>
          <w:ilvl w:val="0"/>
          <w:numId w:val="1"/>
        </w:numPr>
        <w:autoSpaceDN w:val="0"/>
        <w:spacing w:line="560" w:lineRule="exact"/>
        <w:ind w:left="640" w:leftChars="0" w:firstLine="640" w:firstLineChars="0"/>
        <w:rPr>
          <w:rFonts w:hint="eastAsia" w:ascii="黑体" w:hAnsi="黑体" w:eastAsia="黑体" w:cs="黑体"/>
          <w:b w:val="0"/>
          <w:bCs w:val="0"/>
          <w:sz w:val="32"/>
          <w:szCs w:val="32"/>
        </w:rPr>
      </w:pPr>
      <w:r>
        <w:rPr>
          <w:rFonts w:hint="eastAsia" w:ascii="黑体" w:hAnsi="黑体" w:eastAsia="黑体" w:cs="黑体"/>
          <w:b w:val="0"/>
          <w:bCs w:val="0"/>
          <w:sz w:val="32"/>
          <w:szCs w:val="32"/>
        </w:rPr>
        <w:t>一般公共预算支出情况</w:t>
      </w:r>
    </w:p>
    <w:p>
      <w:pPr>
        <w:spacing w:line="560" w:lineRule="exact"/>
        <w:ind w:firstLine="640" w:firstLineChars="200"/>
        <w:rPr>
          <w:rFonts w:hint="eastAsia"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202</w:t>
      </w: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年财政拨款收入决算总计为</w:t>
      </w:r>
      <w:r>
        <w:rPr>
          <w:rFonts w:hint="eastAsia" w:ascii="仿宋_GB2312" w:hAnsi="宋体" w:cs="仿宋_GB2312"/>
          <w:color w:val="333333"/>
          <w:szCs w:val="32"/>
          <w:shd w:val="clear" w:color="auto" w:fill="FFFFFF"/>
          <w:lang w:val="en-US" w:eastAsia="zh-CN"/>
        </w:rPr>
        <w:t>1136.15</w:t>
      </w:r>
      <w:r>
        <w:rPr>
          <w:rFonts w:hint="eastAsia" w:ascii="仿宋_GB2312" w:hAnsi="宋体" w:cs="仿宋_GB2312"/>
          <w:color w:val="333333"/>
          <w:szCs w:val="32"/>
          <w:shd w:val="clear" w:color="auto" w:fill="FFFFFF"/>
        </w:rPr>
        <w:t>万元。其中：一般公共财政拨款收入</w:t>
      </w:r>
      <w:r>
        <w:rPr>
          <w:rFonts w:hint="eastAsia" w:ascii="仿宋_GB2312" w:hAnsi="宋体" w:cs="仿宋_GB2312"/>
          <w:color w:val="333333"/>
          <w:szCs w:val="32"/>
          <w:shd w:val="clear" w:color="auto" w:fill="FFFFFF"/>
          <w:lang w:val="en-US" w:eastAsia="zh-CN"/>
        </w:rPr>
        <w:t>1090.30</w:t>
      </w:r>
      <w:r>
        <w:rPr>
          <w:rFonts w:hint="eastAsia" w:ascii="仿宋_GB2312" w:hAnsi="宋体" w:cs="仿宋_GB2312"/>
          <w:color w:val="333333"/>
          <w:szCs w:val="32"/>
          <w:shd w:val="clear" w:color="auto" w:fill="FFFFFF"/>
        </w:rPr>
        <w:t>万元，其他收入</w:t>
      </w:r>
      <w:r>
        <w:rPr>
          <w:rFonts w:hint="eastAsia" w:ascii="仿宋_GB2312" w:hAnsi="宋体" w:cs="仿宋_GB2312"/>
          <w:color w:val="333333"/>
          <w:szCs w:val="32"/>
          <w:shd w:val="clear" w:color="auto" w:fill="FFFFFF"/>
          <w:lang w:val="en-US" w:eastAsia="zh-CN"/>
        </w:rPr>
        <w:t>45.85</w:t>
      </w:r>
      <w:r>
        <w:rPr>
          <w:rFonts w:hint="eastAsia" w:ascii="仿宋_GB2312" w:hAnsi="宋体" w:cs="仿宋_GB2312"/>
          <w:color w:val="333333"/>
          <w:szCs w:val="32"/>
          <w:shd w:val="clear" w:color="auto" w:fill="FFFFFF"/>
        </w:rPr>
        <w:t>万元。决算数大于年初预算数</w:t>
      </w:r>
      <w:r>
        <w:rPr>
          <w:rFonts w:hint="eastAsia" w:ascii="仿宋_GB2312" w:hAnsi="宋体" w:cs="仿宋_GB2312"/>
          <w:color w:val="333333"/>
          <w:szCs w:val="32"/>
          <w:shd w:val="clear" w:color="auto" w:fill="FFFFFF"/>
          <w:lang w:val="en-US" w:eastAsia="zh-CN"/>
        </w:rPr>
        <w:t>420.98</w:t>
      </w:r>
      <w:r>
        <w:rPr>
          <w:rFonts w:hint="eastAsia" w:ascii="仿宋_GB2312" w:hAnsi="宋体" w:cs="仿宋_GB2312"/>
          <w:color w:val="333333"/>
          <w:szCs w:val="32"/>
          <w:shd w:val="clear" w:color="auto" w:fill="FFFFFF"/>
        </w:rPr>
        <w:t>万元，主要原因是年中预算增加：202</w:t>
      </w: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年增人增资、基础绩效资金、绩效考核奖金，“7.12”专案工作经费、一次性抚恤金、202</w:t>
      </w:r>
      <w:r>
        <w:rPr>
          <w:rFonts w:hint="eastAsia" w:ascii="仿宋_GB2312" w:hAnsi="宋体" w:cs="仿宋_GB2312"/>
          <w:color w:val="333333"/>
          <w:szCs w:val="32"/>
          <w:shd w:val="clear" w:color="auto" w:fill="FFFFFF"/>
          <w:lang w:val="en-US" w:eastAsia="zh-CN"/>
        </w:rPr>
        <w:t>2</w:t>
      </w:r>
      <w:r>
        <w:rPr>
          <w:rFonts w:hint="eastAsia" w:ascii="仿宋_GB2312" w:hAnsi="宋体" w:cs="仿宋_GB2312"/>
          <w:color w:val="333333"/>
          <w:szCs w:val="32"/>
          <w:shd w:val="clear" w:color="auto" w:fill="FFFFFF"/>
        </w:rPr>
        <w:t>年综合绩效奖、绩效考核资金</w:t>
      </w:r>
      <w:r>
        <w:rPr>
          <w:rFonts w:hint="eastAsia" w:ascii="仿宋_GB2312" w:hAnsi="宋体" w:cs="仿宋_GB2312"/>
          <w:color w:val="333333"/>
          <w:szCs w:val="32"/>
          <w:shd w:val="clear" w:color="auto" w:fill="FFFFFF"/>
          <w:lang w:eastAsia="zh-CN"/>
        </w:rPr>
        <w:t>，中央和省级政法转移支付资金</w:t>
      </w:r>
      <w:r>
        <w:rPr>
          <w:rFonts w:hint="eastAsia" w:ascii="仿宋_GB2312" w:hAnsi="宋体" w:cs="仿宋_GB2312"/>
          <w:color w:val="333333"/>
          <w:szCs w:val="32"/>
          <w:shd w:val="clear" w:color="auto" w:fill="FFFFFF"/>
        </w:rPr>
        <w:t>等。</w:t>
      </w:r>
    </w:p>
    <w:p>
      <w:pPr>
        <w:spacing w:line="560" w:lineRule="exact"/>
        <w:ind w:firstLine="640" w:firstLineChars="200"/>
      </w:pPr>
      <w:r>
        <w:rPr>
          <w:rFonts w:hint="eastAsia" w:ascii="仿宋_GB2312" w:hAnsi="宋体" w:cs="仿宋_GB2312"/>
          <w:color w:val="333333"/>
          <w:szCs w:val="32"/>
          <w:shd w:val="clear" w:color="auto" w:fill="FFFFFF"/>
        </w:rPr>
        <w:t>202</w:t>
      </w: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年财政拨款支出决算总计为</w:t>
      </w:r>
      <w:r>
        <w:rPr>
          <w:rFonts w:hint="eastAsia" w:ascii="仿宋_GB2312" w:hAnsi="宋体" w:cs="仿宋_GB2312"/>
          <w:color w:val="333333"/>
          <w:szCs w:val="32"/>
          <w:shd w:val="clear" w:color="auto" w:fill="FFFFFF"/>
          <w:lang w:val="en-US" w:eastAsia="zh-CN"/>
        </w:rPr>
        <w:t>1136.15</w:t>
      </w:r>
      <w:r>
        <w:rPr>
          <w:rFonts w:hint="eastAsia" w:ascii="仿宋_GB2312" w:hAnsi="宋体" w:cs="仿宋_GB2312"/>
          <w:color w:val="333333"/>
          <w:szCs w:val="32"/>
          <w:shd w:val="clear" w:color="auto" w:fill="FFFFFF"/>
        </w:rPr>
        <w:t>万元。其中：一般公共财政拨款支出</w:t>
      </w:r>
      <w:r>
        <w:rPr>
          <w:rFonts w:hint="eastAsia" w:ascii="仿宋_GB2312" w:hAnsi="宋体" w:cs="仿宋_GB2312"/>
          <w:color w:val="333333"/>
          <w:szCs w:val="32"/>
          <w:shd w:val="clear" w:color="auto" w:fill="FFFFFF"/>
          <w:lang w:val="en-US" w:eastAsia="zh-CN"/>
        </w:rPr>
        <w:t>1090.30</w:t>
      </w:r>
      <w:r>
        <w:rPr>
          <w:rFonts w:hint="eastAsia" w:ascii="仿宋_GB2312" w:hAnsi="宋体" w:cs="仿宋_GB2312"/>
          <w:color w:val="333333"/>
          <w:szCs w:val="32"/>
          <w:shd w:val="clear" w:color="auto" w:fill="FFFFFF"/>
        </w:rPr>
        <w:t>万元，其他支出</w:t>
      </w:r>
      <w:r>
        <w:rPr>
          <w:rFonts w:hint="eastAsia" w:ascii="仿宋_GB2312" w:hAnsi="宋体" w:cs="仿宋_GB2312"/>
          <w:color w:val="333333"/>
          <w:szCs w:val="32"/>
          <w:shd w:val="clear" w:color="auto" w:fill="FFFFFF"/>
          <w:lang w:val="en-US" w:eastAsia="zh-CN"/>
        </w:rPr>
        <w:t>45.85</w:t>
      </w:r>
      <w:r>
        <w:rPr>
          <w:rFonts w:hint="eastAsia" w:ascii="仿宋_GB2312" w:hAnsi="宋体" w:cs="仿宋_GB2312"/>
          <w:color w:val="333333"/>
          <w:szCs w:val="32"/>
          <w:shd w:val="clear" w:color="auto" w:fill="FFFFFF"/>
        </w:rPr>
        <w:t>万元。决算数大于年初预算数</w:t>
      </w:r>
      <w:r>
        <w:rPr>
          <w:rFonts w:hint="eastAsia" w:ascii="仿宋_GB2312" w:hAnsi="宋体" w:cs="仿宋_GB2312"/>
          <w:color w:val="333333"/>
          <w:szCs w:val="32"/>
          <w:shd w:val="clear" w:color="auto" w:fill="FFFFFF"/>
          <w:lang w:val="en-US" w:eastAsia="zh-CN"/>
        </w:rPr>
        <w:t>420.98</w:t>
      </w:r>
      <w:r>
        <w:rPr>
          <w:rFonts w:hint="eastAsia" w:ascii="仿宋_GB2312" w:hAnsi="宋体" w:cs="仿宋_GB2312"/>
          <w:color w:val="333333"/>
          <w:szCs w:val="32"/>
          <w:shd w:val="clear" w:color="auto" w:fill="FFFFFF"/>
        </w:rPr>
        <w:t>万元，主要原因是年中预算增加：202</w:t>
      </w: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年增人增资、基础绩效资金、绩效考核奖金，“7.12”专案工作经费、一次性抚恤金、202</w:t>
      </w:r>
      <w:r>
        <w:rPr>
          <w:rFonts w:hint="eastAsia" w:ascii="仿宋_GB2312" w:hAnsi="宋体" w:cs="仿宋_GB2312"/>
          <w:color w:val="333333"/>
          <w:szCs w:val="32"/>
          <w:shd w:val="clear" w:color="auto" w:fill="FFFFFF"/>
          <w:lang w:val="en-US" w:eastAsia="zh-CN"/>
        </w:rPr>
        <w:t>2</w:t>
      </w:r>
      <w:r>
        <w:rPr>
          <w:rFonts w:hint="eastAsia" w:ascii="仿宋_GB2312" w:hAnsi="宋体" w:cs="仿宋_GB2312"/>
          <w:color w:val="333333"/>
          <w:szCs w:val="32"/>
          <w:shd w:val="clear" w:color="auto" w:fill="FFFFFF"/>
        </w:rPr>
        <w:t>年综合绩效奖、绩效考核资金</w:t>
      </w:r>
      <w:r>
        <w:rPr>
          <w:rFonts w:hint="eastAsia" w:ascii="仿宋_GB2312" w:hAnsi="宋体" w:cs="仿宋_GB2312"/>
          <w:color w:val="333333"/>
          <w:szCs w:val="32"/>
          <w:shd w:val="clear" w:color="auto" w:fill="FFFFFF"/>
          <w:lang w:eastAsia="zh-CN"/>
        </w:rPr>
        <w:t>，中央和省级政法转移支付资金</w:t>
      </w:r>
      <w:r>
        <w:rPr>
          <w:rFonts w:hint="eastAsia" w:ascii="仿宋_GB2312" w:hAnsi="宋体" w:cs="仿宋_GB2312"/>
          <w:color w:val="333333"/>
          <w:szCs w:val="32"/>
          <w:shd w:val="clear" w:color="auto" w:fill="FFFFFF"/>
        </w:rPr>
        <w:t>等。其中：基本支出</w:t>
      </w:r>
      <w:r>
        <w:rPr>
          <w:rFonts w:hint="eastAsia" w:ascii="仿宋_GB2312" w:hAnsi="宋体" w:cs="仿宋_GB2312"/>
          <w:color w:val="333333"/>
          <w:szCs w:val="32"/>
          <w:shd w:val="clear" w:color="auto" w:fill="FFFFFF"/>
          <w:lang w:val="en-US" w:eastAsia="zh-CN"/>
        </w:rPr>
        <w:t>854.31</w:t>
      </w:r>
      <w:r>
        <w:rPr>
          <w:rFonts w:hint="eastAsia" w:ascii="仿宋_GB2312" w:hAnsi="宋体" w:cs="仿宋_GB2312"/>
          <w:color w:val="333333"/>
          <w:szCs w:val="32"/>
          <w:shd w:val="clear" w:color="auto" w:fill="FFFFFF"/>
        </w:rPr>
        <w:t>万元（人员经费支出</w:t>
      </w:r>
      <w:r>
        <w:rPr>
          <w:rFonts w:hint="eastAsia" w:ascii="仿宋_GB2312" w:hAnsi="宋体" w:cs="仿宋_GB2312"/>
          <w:color w:val="333333"/>
          <w:szCs w:val="32"/>
          <w:shd w:val="clear" w:color="auto" w:fill="FFFFFF"/>
          <w:lang w:val="en-US" w:eastAsia="zh-CN"/>
        </w:rPr>
        <w:t>737.08</w:t>
      </w:r>
      <w:r>
        <w:rPr>
          <w:rFonts w:hint="eastAsia" w:ascii="仿宋_GB2312" w:hAnsi="宋体" w:cs="仿宋_GB2312"/>
          <w:color w:val="333333"/>
          <w:szCs w:val="32"/>
          <w:shd w:val="clear" w:color="auto" w:fill="FFFFFF"/>
        </w:rPr>
        <w:t>万元、日常公用经费支出</w:t>
      </w:r>
      <w:r>
        <w:rPr>
          <w:rFonts w:hint="eastAsia" w:ascii="仿宋_GB2312" w:hAnsi="宋体" w:cs="仿宋_GB2312"/>
          <w:color w:val="333333"/>
          <w:szCs w:val="32"/>
          <w:shd w:val="clear" w:color="auto" w:fill="FFFFFF"/>
          <w:lang w:val="en-US" w:eastAsia="zh-CN"/>
        </w:rPr>
        <w:t>117.23</w:t>
      </w:r>
      <w:r>
        <w:rPr>
          <w:rFonts w:hint="eastAsia" w:ascii="仿宋_GB2312" w:hAnsi="宋体" w:cs="仿宋_GB2312"/>
          <w:color w:val="333333"/>
          <w:szCs w:val="32"/>
          <w:shd w:val="clear" w:color="auto" w:fill="FFFFFF"/>
        </w:rPr>
        <w:t>万元），项目支出</w:t>
      </w:r>
      <w:r>
        <w:rPr>
          <w:rFonts w:hint="eastAsia" w:ascii="仿宋_GB2312" w:hAnsi="宋体" w:cs="仿宋_GB2312"/>
          <w:color w:val="333333"/>
          <w:szCs w:val="32"/>
          <w:shd w:val="clear" w:color="auto" w:fill="FFFFFF"/>
          <w:lang w:val="en-US" w:eastAsia="zh-CN"/>
        </w:rPr>
        <w:t>281.84</w:t>
      </w:r>
      <w:r>
        <w:rPr>
          <w:rFonts w:hint="eastAsia" w:ascii="仿宋_GB2312" w:hAnsi="宋体" w:cs="仿宋_GB2312"/>
          <w:color w:val="333333"/>
          <w:szCs w:val="32"/>
          <w:shd w:val="clear" w:color="auto" w:fill="FFFFFF"/>
        </w:rPr>
        <w:t>万元，主要用于法律援助办案、人民调解、普法宣传、社区矫正、安置帮教等方面。</w:t>
      </w:r>
    </w:p>
    <w:p>
      <w:pPr>
        <w:pStyle w:val="3"/>
        <w:numPr>
          <w:ilvl w:val="0"/>
          <w:numId w:val="0"/>
        </w:numPr>
        <w:ind w:left="640" w:leftChars="0"/>
      </w:pPr>
    </w:p>
    <w:p>
      <w:pPr>
        <w:numPr>
          <w:ilvl w:val="0"/>
          <w:numId w:val="3"/>
        </w:numPr>
        <w:spacing w:line="600" w:lineRule="exact"/>
        <w:ind w:firstLine="627" w:firstLineChars="196"/>
        <w:jc w:val="left"/>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基本支出情况</w:t>
      </w:r>
    </w:p>
    <w:p>
      <w:pPr>
        <w:spacing w:line="560" w:lineRule="exact"/>
        <w:ind w:firstLine="640" w:firstLineChars="200"/>
        <w:rPr>
          <w:rFonts w:ascii="仿宋_GB2312" w:hAnsi="微软雅黑" w:cs="仿宋_GB2312"/>
          <w:color w:val="333333"/>
          <w:szCs w:val="32"/>
          <w:shd w:val="clear" w:color="auto" w:fill="FFFFFF"/>
        </w:rPr>
      </w:pPr>
      <w:r>
        <w:rPr>
          <w:rFonts w:hint="eastAsia" w:ascii="仿宋_GB2312" w:hAnsi="宋体" w:cs="仿宋_GB2312"/>
          <w:color w:val="333333"/>
          <w:szCs w:val="32"/>
          <w:shd w:val="clear" w:color="auto" w:fill="FFFFFF"/>
        </w:rPr>
        <w:t>202</w:t>
      </w: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年基本支出</w:t>
      </w:r>
      <w:r>
        <w:rPr>
          <w:rFonts w:hint="eastAsia" w:ascii="仿宋_GB2312" w:hAnsi="宋体" w:cs="仿宋_GB2312"/>
          <w:color w:val="333333"/>
          <w:szCs w:val="32"/>
          <w:shd w:val="clear" w:color="auto" w:fill="FFFFFF"/>
          <w:lang w:val="en-US" w:eastAsia="zh-CN"/>
        </w:rPr>
        <w:t>854.31</w:t>
      </w:r>
      <w:r>
        <w:rPr>
          <w:rFonts w:hint="eastAsia" w:ascii="仿宋_GB2312" w:hAnsi="宋体" w:cs="仿宋_GB2312"/>
          <w:color w:val="333333"/>
          <w:szCs w:val="32"/>
          <w:shd w:val="clear" w:color="auto" w:fill="FFFFFF"/>
        </w:rPr>
        <w:t>万元，其中人员经费</w:t>
      </w:r>
      <w:r>
        <w:rPr>
          <w:rFonts w:hint="eastAsia" w:ascii="仿宋_GB2312" w:hAnsi="宋体" w:cs="仿宋_GB2312"/>
          <w:color w:val="333333"/>
          <w:szCs w:val="32"/>
          <w:shd w:val="clear" w:color="auto" w:fill="FFFFFF"/>
          <w:lang w:val="en-US" w:eastAsia="zh-CN"/>
        </w:rPr>
        <w:t>737.08</w:t>
      </w:r>
      <w:r>
        <w:rPr>
          <w:rFonts w:hint="eastAsia" w:ascii="仿宋_GB2312" w:hAnsi="宋体" w:cs="仿宋_GB2312"/>
          <w:color w:val="333333"/>
          <w:szCs w:val="32"/>
          <w:shd w:val="clear" w:color="auto" w:fill="FFFFFF"/>
        </w:rPr>
        <w:t>万元,主要用于单位的基本工资、津贴补贴、奖金、伙食补助费、绩效工资、机关事业单位基本养老保险缴费、职业年金缴费、</w:t>
      </w:r>
      <w:r>
        <w:rPr>
          <w:rFonts w:hint="eastAsia" w:ascii="仿宋_GB2312" w:hAnsi="宋体" w:cs="仿宋_GB2312"/>
          <w:color w:val="333333"/>
          <w:szCs w:val="32"/>
          <w:shd w:val="clear" w:color="auto" w:fill="FFFFFF"/>
          <w:lang w:eastAsia="zh-CN"/>
        </w:rPr>
        <w:t>职工基本医疗保险缴费、</w:t>
      </w:r>
      <w:r>
        <w:rPr>
          <w:rFonts w:hint="eastAsia" w:ascii="仿宋_GB2312" w:hAnsi="宋体" w:cs="仿宋_GB2312"/>
          <w:color w:val="333333"/>
          <w:szCs w:val="32"/>
          <w:shd w:val="clear" w:color="auto" w:fill="FFFFFF"/>
        </w:rPr>
        <w:t>公务员医疗补助缴费、住房公积金、</w:t>
      </w:r>
      <w:r>
        <w:rPr>
          <w:rFonts w:hint="eastAsia" w:ascii="仿宋_GB2312" w:hAnsi="宋体" w:cs="仿宋_GB2312"/>
          <w:color w:val="333333"/>
          <w:szCs w:val="32"/>
          <w:shd w:val="clear" w:color="auto" w:fill="FFFFFF"/>
          <w:lang w:eastAsia="zh-CN"/>
        </w:rPr>
        <w:t>其他工资福利支出，</w:t>
      </w:r>
      <w:r>
        <w:rPr>
          <w:rFonts w:hint="eastAsia" w:ascii="仿宋_GB2312" w:hAnsi="宋体" w:cs="仿宋_GB2312"/>
          <w:color w:val="333333"/>
          <w:szCs w:val="32"/>
          <w:shd w:val="clear" w:color="auto" w:fill="FFFFFF"/>
        </w:rPr>
        <w:t>抚恤金、生活补助</w:t>
      </w:r>
      <w:r>
        <w:rPr>
          <w:rFonts w:hint="eastAsia" w:ascii="仿宋_GB2312" w:hAnsi="宋体" w:cs="仿宋_GB2312"/>
          <w:color w:val="333333"/>
          <w:szCs w:val="32"/>
          <w:shd w:val="clear" w:color="auto" w:fill="FFFFFF"/>
          <w:lang w:eastAsia="zh-CN"/>
        </w:rPr>
        <w:t>、奖励金、代缴社会保险费、其他对个人和家庭的补助</w:t>
      </w:r>
      <w:r>
        <w:rPr>
          <w:rFonts w:hint="eastAsia" w:ascii="仿宋_GB2312" w:hAnsi="宋体" w:cs="仿宋_GB2312"/>
          <w:color w:val="333333"/>
          <w:szCs w:val="32"/>
          <w:shd w:val="clear" w:color="auto" w:fill="FFFFFF"/>
        </w:rPr>
        <w:t>等。日常公用经费支出</w:t>
      </w:r>
      <w:r>
        <w:rPr>
          <w:rFonts w:hint="eastAsia" w:ascii="仿宋_GB2312" w:hAnsi="宋体" w:cs="仿宋_GB2312"/>
          <w:color w:val="333333"/>
          <w:szCs w:val="32"/>
          <w:shd w:val="clear" w:color="auto" w:fill="FFFFFF"/>
          <w:lang w:val="en-US" w:eastAsia="zh-CN"/>
        </w:rPr>
        <w:t>117.23</w:t>
      </w:r>
      <w:r>
        <w:rPr>
          <w:rFonts w:hint="eastAsia" w:ascii="仿宋_GB2312" w:hAnsi="宋体" w:cs="仿宋_GB2312"/>
          <w:color w:val="333333"/>
          <w:szCs w:val="32"/>
          <w:shd w:val="clear" w:color="auto" w:fill="FFFFFF"/>
        </w:rPr>
        <w:t>万元，</w:t>
      </w:r>
      <w:r>
        <w:rPr>
          <w:rFonts w:hint="eastAsia" w:ascii="仿宋_GB2312" w:hAnsi="宋体" w:cs="仿宋_GB2312"/>
          <w:color w:val="333333"/>
          <w:szCs w:val="32"/>
          <w:shd w:val="clear" w:color="auto" w:fill="FFFFFF"/>
          <w:lang w:val="en-US" w:eastAsia="zh-CN"/>
        </w:rPr>
        <w:t>较年初预算67.04万元增加50.19万元，增加的主要原因是年初预算严格按预算编制要求，经费指标有限，实际支出时用单位资金进行弥补，以保各项工作正常运行。</w:t>
      </w:r>
      <w:bookmarkStart w:id="0" w:name="_GoBack"/>
      <w:bookmarkEnd w:id="0"/>
      <w:r>
        <w:rPr>
          <w:rFonts w:hint="eastAsia" w:ascii="仿宋_GB2312" w:hAnsi="宋体" w:cs="仿宋_GB2312"/>
          <w:color w:val="333333"/>
          <w:szCs w:val="32"/>
          <w:shd w:val="clear" w:color="auto" w:fill="FFFFFF"/>
        </w:rPr>
        <w:t>主要用于办公费、</w:t>
      </w:r>
      <w:r>
        <w:rPr>
          <w:rFonts w:hint="eastAsia" w:ascii="仿宋_GB2312" w:hAnsi="宋体" w:cs="仿宋_GB2312"/>
          <w:color w:val="333333"/>
          <w:szCs w:val="32"/>
          <w:shd w:val="clear" w:color="auto" w:fill="FFFFFF"/>
          <w:lang w:eastAsia="zh-CN"/>
        </w:rPr>
        <w:t>印刷费、</w:t>
      </w:r>
      <w:r>
        <w:rPr>
          <w:rFonts w:hint="eastAsia" w:ascii="仿宋_GB2312" w:hAnsi="宋体" w:cs="仿宋_GB2312"/>
          <w:color w:val="333333"/>
          <w:szCs w:val="32"/>
          <w:shd w:val="clear" w:color="auto" w:fill="FFFFFF"/>
        </w:rPr>
        <w:t>水费、电费、邮电费、</w:t>
      </w:r>
      <w:r>
        <w:rPr>
          <w:rFonts w:hint="eastAsia" w:ascii="仿宋_GB2312" w:hAnsi="宋体" w:cs="仿宋_GB2312"/>
          <w:color w:val="333333"/>
          <w:szCs w:val="32"/>
          <w:shd w:val="clear" w:color="auto" w:fill="FFFFFF"/>
          <w:lang w:eastAsia="zh-CN"/>
        </w:rPr>
        <w:t>差旅费、</w:t>
      </w:r>
      <w:r>
        <w:rPr>
          <w:rFonts w:hint="eastAsia" w:ascii="仿宋_GB2312" w:hAnsi="宋体" w:cs="仿宋_GB2312"/>
          <w:color w:val="333333"/>
          <w:szCs w:val="32"/>
          <w:shd w:val="clear" w:color="auto" w:fill="FFFFFF"/>
        </w:rPr>
        <w:t>维修（护）费、</w:t>
      </w:r>
      <w:r>
        <w:rPr>
          <w:rFonts w:hint="eastAsia" w:ascii="仿宋_GB2312" w:hAnsi="宋体" w:cs="仿宋_GB2312"/>
          <w:color w:val="333333"/>
          <w:szCs w:val="32"/>
          <w:shd w:val="clear" w:color="auto" w:fill="FFFFFF"/>
          <w:lang w:eastAsia="zh-CN"/>
        </w:rPr>
        <w:t>租赁费、</w:t>
      </w:r>
      <w:r>
        <w:rPr>
          <w:rFonts w:hint="eastAsia" w:ascii="仿宋_GB2312" w:hAnsi="宋体" w:cs="仿宋_GB2312"/>
          <w:color w:val="333333"/>
          <w:szCs w:val="32"/>
          <w:shd w:val="clear" w:color="auto" w:fill="FFFFFF"/>
        </w:rPr>
        <w:t>培训费、公务接待费、</w:t>
      </w:r>
      <w:r>
        <w:rPr>
          <w:rFonts w:hint="eastAsia" w:ascii="仿宋_GB2312" w:hAnsi="宋体" w:cs="仿宋_GB2312"/>
          <w:color w:val="333333"/>
          <w:szCs w:val="32"/>
          <w:shd w:val="clear" w:color="auto" w:fill="FFFFFF"/>
          <w:lang w:eastAsia="zh-CN"/>
        </w:rPr>
        <w:t>被装购置费、</w:t>
      </w:r>
      <w:r>
        <w:rPr>
          <w:rFonts w:hint="eastAsia" w:ascii="仿宋_GB2312" w:hAnsi="宋体" w:cs="仿宋_GB2312"/>
          <w:color w:val="333333"/>
          <w:szCs w:val="32"/>
          <w:shd w:val="clear" w:color="auto" w:fill="FFFFFF"/>
        </w:rPr>
        <w:t>劳务费、工会经费、公务用车运行维护费、</w:t>
      </w:r>
      <w:r>
        <w:rPr>
          <w:rFonts w:hint="eastAsia" w:ascii="仿宋_GB2312" w:hAnsi="宋体" w:cs="仿宋_GB2312"/>
          <w:color w:val="333333"/>
          <w:szCs w:val="32"/>
          <w:shd w:val="clear" w:color="auto" w:fill="FFFFFF"/>
          <w:lang w:eastAsia="zh-CN"/>
        </w:rPr>
        <w:t>其他交通费（含公务员车补）、</w:t>
      </w:r>
      <w:r>
        <w:rPr>
          <w:rFonts w:hint="eastAsia" w:ascii="仿宋_GB2312" w:hAnsi="宋体" w:cs="仿宋_GB2312"/>
          <w:color w:val="333333"/>
          <w:szCs w:val="32"/>
          <w:shd w:val="clear" w:color="auto" w:fill="FFFFFF"/>
        </w:rPr>
        <w:t>其他商品和服务支出等支出。</w:t>
      </w:r>
    </w:p>
    <w:p>
      <w:pPr>
        <w:pStyle w:val="3"/>
        <w:numPr>
          <w:ilvl w:val="0"/>
          <w:numId w:val="0"/>
        </w:numPr>
        <w:rPr>
          <w:rFonts w:hint="eastAsia"/>
          <w:lang w:val="en-US" w:eastAsia="zh-CN"/>
        </w:rPr>
      </w:pPr>
    </w:p>
    <w:p>
      <w:pPr>
        <w:spacing w:line="600" w:lineRule="exact"/>
        <w:ind w:firstLine="627" w:firstLineChars="196"/>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（二）项目支出情况</w:t>
      </w:r>
    </w:p>
    <w:p>
      <w:pPr>
        <w:spacing w:line="60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2023年度区级专项资金分配安排和使用管理情况</w:t>
      </w:r>
      <w:r>
        <w:rPr>
          <w:rFonts w:hint="eastAsia" w:ascii="仿宋_GB2312" w:hAnsi="仿宋_GB2312" w:cs="仿宋_GB2312"/>
          <w:kern w:val="0"/>
          <w:sz w:val="32"/>
          <w:szCs w:val="32"/>
          <w:lang w:val="en-US" w:eastAsia="zh-CN" w:bidi="ar-SA"/>
        </w:rPr>
        <w:t>,</w:t>
      </w:r>
      <w:r>
        <w:rPr>
          <w:rFonts w:hint="eastAsia" w:ascii="仿宋_GB2312" w:hAnsi="仿宋_GB2312" w:eastAsia="仿宋_GB2312" w:cs="仿宋_GB2312"/>
          <w:kern w:val="0"/>
          <w:sz w:val="32"/>
          <w:szCs w:val="32"/>
          <w:lang w:val="en-US" w:eastAsia="zh-CN" w:bidi="ar-SA"/>
        </w:rPr>
        <w:t>专项资金名称必须注明。</w:t>
      </w:r>
    </w:p>
    <w:p>
      <w:pPr>
        <w:spacing w:line="560" w:lineRule="exact"/>
        <w:ind w:left="320" w:leftChars="100" w:firstLine="640" w:firstLineChars="200"/>
        <w:rPr>
          <w:rFonts w:ascii="仿宋_GB2312" w:hAnsi="宋体" w:cs="仿宋_GB2312"/>
          <w:color w:val="333333"/>
          <w:szCs w:val="32"/>
          <w:shd w:val="clear" w:color="auto" w:fill="FFFFFF"/>
        </w:rPr>
      </w:pPr>
      <w:r>
        <w:rPr>
          <w:rFonts w:hint="eastAsia" w:ascii="仿宋_GB2312" w:hAnsi="宋体" w:cs="仿宋_GB2312"/>
          <w:color w:val="333333"/>
          <w:szCs w:val="32"/>
          <w:shd w:val="clear" w:color="auto" w:fill="FFFFFF"/>
        </w:rPr>
        <w:t>202</w:t>
      </w:r>
      <w:r>
        <w:rPr>
          <w:rFonts w:hint="eastAsia" w:ascii="仿宋_GB2312" w:hAnsi="宋体" w:cs="仿宋_GB2312"/>
          <w:color w:val="333333"/>
          <w:szCs w:val="32"/>
          <w:shd w:val="clear" w:color="auto" w:fill="FFFFFF"/>
          <w:lang w:val="en-US" w:eastAsia="zh-CN"/>
        </w:rPr>
        <w:t>3</w:t>
      </w:r>
      <w:r>
        <w:rPr>
          <w:rFonts w:hint="eastAsia" w:ascii="仿宋_GB2312" w:hAnsi="宋体" w:cs="仿宋_GB2312"/>
          <w:color w:val="333333"/>
          <w:szCs w:val="32"/>
          <w:shd w:val="clear" w:color="auto" w:fill="FFFFFF"/>
        </w:rPr>
        <w:t>年项目支出</w:t>
      </w:r>
      <w:r>
        <w:rPr>
          <w:rFonts w:hint="eastAsia" w:ascii="仿宋_GB2312" w:hAnsi="宋体" w:cs="仿宋_GB2312"/>
          <w:color w:val="333333"/>
          <w:szCs w:val="32"/>
          <w:shd w:val="clear" w:color="auto" w:fill="FFFFFF"/>
          <w:lang w:val="en-US" w:eastAsia="zh-CN"/>
        </w:rPr>
        <w:t>281.84</w:t>
      </w:r>
      <w:r>
        <w:rPr>
          <w:rFonts w:hint="eastAsia" w:ascii="仿宋_GB2312" w:hAnsi="宋体" w:cs="仿宋_GB2312"/>
          <w:color w:val="333333"/>
          <w:szCs w:val="32"/>
          <w:shd w:val="clear" w:color="auto" w:fill="FFFFFF"/>
        </w:rPr>
        <w:t>万元，主要用于</w:t>
      </w:r>
      <w:r>
        <w:rPr>
          <w:rFonts w:hint="eastAsia" w:ascii="仿宋_GB2312" w:hAnsi="宋体" w:cs="仿宋_GB2312"/>
          <w:color w:val="333333"/>
          <w:szCs w:val="32"/>
          <w:shd w:val="clear" w:color="auto" w:fill="FFFFFF"/>
          <w:lang w:eastAsia="zh-CN"/>
        </w:rPr>
        <w:t>安置帮教、法律援助、工业园司法、人民调解、三联调动、行政复议工作经费、政府法制工作经费、政府购买社区矫正服务、社区矫正、依治办工作经费、普法宣传等</w:t>
      </w:r>
      <w:r>
        <w:rPr>
          <w:rFonts w:hint="eastAsia" w:ascii="仿宋_GB2312" w:hAnsi="宋体" w:cs="仿宋_GB2312"/>
          <w:color w:val="333333"/>
          <w:szCs w:val="32"/>
          <w:shd w:val="clear" w:color="auto" w:fill="FFFFFF"/>
        </w:rPr>
        <w:t>方面。</w:t>
      </w:r>
    </w:p>
    <w:p>
      <w:pPr>
        <w:pStyle w:val="3"/>
        <w:rPr>
          <w:rFonts w:hint="eastAsia"/>
          <w:lang w:val="en-US" w:eastAsia="zh-CN"/>
        </w:rPr>
      </w:pPr>
    </w:p>
    <w:p>
      <w:pPr>
        <w:widowControl/>
        <w:numPr>
          <w:ilvl w:val="0"/>
          <w:numId w:val="1"/>
        </w:numPr>
        <w:autoSpaceDN w:val="0"/>
        <w:spacing w:line="540" w:lineRule="exact"/>
        <w:ind w:left="640" w:leftChars="0" w:firstLine="640" w:firstLineChars="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部门整体支出绩效情况</w:t>
      </w:r>
    </w:p>
    <w:p>
      <w:pPr>
        <w:keepNext w:val="0"/>
        <w:keepLines w:val="0"/>
        <w:pageBreakBefore w:val="0"/>
        <w:widowControl w:val="0"/>
        <w:kinsoku/>
        <w:wordWrap/>
        <w:overflowPunct w:val="0"/>
        <w:topLinePunct/>
        <w:autoSpaceDE/>
        <w:autoSpaceDN/>
        <w:bidi w:val="0"/>
        <w:spacing w:line="575" w:lineRule="exact"/>
        <w:ind w:firstLine="643" w:firstLineChars="200"/>
        <w:jc w:val="both"/>
        <w:textAlignment w:val="auto"/>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（一）强化担当，聚“党建</w:t>
      </w:r>
      <w:r>
        <w:rPr>
          <w:rFonts w:hint="eastAsia" w:ascii="楷体_GB2312" w:hAnsi="楷体_GB2312" w:eastAsia="楷体_GB2312" w:cs="楷体_GB2312"/>
          <w:b/>
          <w:color w:val="auto"/>
          <w:sz w:val="32"/>
          <w:szCs w:val="32"/>
          <w:lang w:eastAsia="zh-CN"/>
        </w:rPr>
        <w:t>＋</w:t>
      </w:r>
      <w:r>
        <w:rPr>
          <w:rFonts w:hint="eastAsia" w:ascii="楷体_GB2312" w:hAnsi="楷体_GB2312" w:eastAsia="楷体_GB2312" w:cs="楷体_GB2312"/>
          <w:b/>
          <w:color w:val="auto"/>
          <w:sz w:val="32"/>
          <w:szCs w:val="32"/>
        </w:rPr>
        <w:t>法治”焦点</w:t>
      </w:r>
    </w:p>
    <w:p>
      <w:pPr>
        <w:keepNext w:val="0"/>
        <w:keepLines w:val="0"/>
        <w:pageBreakBefore w:val="0"/>
        <w:widowControl w:val="0"/>
        <w:kinsoku/>
        <w:wordWrap/>
        <w:overflowPunct w:val="0"/>
        <w:topLinePunct/>
        <w:autoSpaceDE/>
        <w:autoSpaceDN/>
        <w:bidi w:val="0"/>
        <w:spacing w:line="575"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一是在思想上重视。</w:t>
      </w:r>
      <w:r>
        <w:rPr>
          <w:rFonts w:hint="eastAsia" w:ascii="仿宋_GB2312" w:hAnsi="仿宋_GB2312" w:eastAsia="仿宋_GB2312" w:cs="仿宋_GB2312"/>
          <w:color w:val="auto"/>
          <w:sz w:val="32"/>
          <w:szCs w:val="32"/>
        </w:rPr>
        <w:t>一年来，领导班子始终把抓好党建工作作为首要政治任务，切实将党建与法治建设紧密结合，做好“党建+法治”文章，做到“三同”。</w:t>
      </w:r>
      <w:r>
        <w:rPr>
          <w:rFonts w:hint="eastAsia" w:ascii="仿宋_GB2312" w:hAnsi="仿宋_GB2312" w:eastAsia="仿宋_GB2312" w:cs="仿宋_GB2312"/>
          <w:b/>
          <w:color w:val="auto"/>
          <w:sz w:val="32"/>
          <w:szCs w:val="32"/>
        </w:rPr>
        <w:t>思想上“同位”。</w:t>
      </w:r>
      <w:r>
        <w:rPr>
          <w:rFonts w:hint="eastAsia" w:ascii="仿宋_GB2312" w:hAnsi="仿宋_GB2312" w:eastAsia="仿宋_GB2312" w:cs="仿宋_GB2312"/>
          <w:color w:val="auto"/>
          <w:sz w:val="32"/>
          <w:szCs w:val="32"/>
        </w:rPr>
        <w:t>全年共专题研究党建工作9次，对党建工作计划安排、重大问题、重要活动进行具体指导。</w:t>
      </w:r>
      <w:r>
        <w:rPr>
          <w:rFonts w:hint="eastAsia" w:ascii="仿宋_GB2312" w:hAnsi="仿宋_GB2312" w:eastAsia="仿宋_GB2312" w:cs="仿宋_GB2312"/>
          <w:b/>
          <w:color w:val="auto"/>
          <w:sz w:val="32"/>
          <w:szCs w:val="32"/>
        </w:rPr>
        <w:t>行动上“同步”。</w:t>
      </w:r>
      <w:r>
        <w:rPr>
          <w:rFonts w:hint="eastAsia" w:ascii="仿宋_GB2312" w:hAnsi="仿宋_GB2312" w:eastAsia="仿宋_GB2312" w:cs="仿宋_GB2312"/>
          <w:color w:val="auto"/>
          <w:sz w:val="32"/>
          <w:szCs w:val="32"/>
        </w:rPr>
        <w:t>将党建工作与法治建设工作同研究、同部署、同落实、同推进，使党建工作与业务工作“同频共振”，相互促进。</w:t>
      </w:r>
      <w:r>
        <w:rPr>
          <w:rFonts w:hint="eastAsia" w:ascii="仿宋_GB2312" w:hAnsi="仿宋_GB2312" w:eastAsia="仿宋_GB2312" w:cs="仿宋_GB2312"/>
          <w:b/>
          <w:color w:val="auto"/>
          <w:sz w:val="32"/>
          <w:szCs w:val="32"/>
        </w:rPr>
        <w:t>干部使用上“同重”。</w:t>
      </w:r>
      <w:r>
        <w:rPr>
          <w:rFonts w:hint="eastAsia" w:ascii="仿宋_GB2312" w:hAnsi="仿宋_GB2312" w:eastAsia="仿宋_GB2312" w:cs="仿宋_GB2312"/>
          <w:color w:val="auto"/>
          <w:sz w:val="32"/>
          <w:szCs w:val="32"/>
        </w:rPr>
        <w:t>我局将履行基层党建工作责任和参加党的组织生活情况作为干部选拔任用的重要依据，把优秀年轻干部放到党务工作岗位来锻炼、培养。</w:t>
      </w:r>
    </w:p>
    <w:p>
      <w:pPr>
        <w:keepNext w:val="0"/>
        <w:keepLines w:val="0"/>
        <w:pageBreakBefore w:val="0"/>
        <w:widowControl w:val="0"/>
        <w:kinsoku/>
        <w:wordWrap/>
        <w:overflowPunct w:val="0"/>
        <w:topLinePunct/>
        <w:autoSpaceDE/>
        <w:autoSpaceDN/>
        <w:bidi w:val="0"/>
        <w:spacing w:line="575"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二是在机制上</w:t>
      </w:r>
      <w:r>
        <w:rPr>
          <w:rFonts w:hint="eastAsia" w:ascii="仿宋_GB2312" w:hAnsi="仿宋_GB2312" w:eastAsia="仿宋_GB2312" w:cs="仿宋_GB2312"/>
          <w:b/>
          <w:bCs/>
          <w:color w:val="auto"/>
          <w:sz w:val="32"/>
          <w:szCs w:val="32"/>
        </w:rPr>
        <w:t>机制完善。</w:t>
      </w:r>
      <w:r>
        <w:rPr>
          <w:rFonts w:hint="eastAsia" w:ascii="仿宋_GB2312" w:hAnsi="仿宋_GB2312" w:eastAsia="仿宋_GB2312" w:cs="仿宋_GB2312"/>
          <w:color w:val="auto"/>
          <w:sz w:val="32"/>
          <w:szCs w:val="32"/>
        </w:rPr>
        <w:t>高度重视制度建设，坚持用制度化、规范化来提升党建工作水平。</w:t>
      </w:r>
      <w:r>
        <w:rPr>
          <w:rFonts w:hint="eastAsia" w:ascii="仿宋_GB2312" w:hAnsi="仿宋_GB2312" w:eastAsia="仿宋_GB2312" w:cs="仿宋_GB2312"/>
          <w:b/>
          <w:color w:val="auto"/>
          <w:sz w:val="32"/>
          <w:szCs w:val="32"/>
        </w:rPr>
        <w:t>严格落实民主决策制度。</w:t>
      </w:r>
      <w:r>
        <w:rPr>
          <w:rFonts w:hint="eastAsia" w:ascii="仿宋_GB2312" w:hAnsi="仿宋_GB2312" w:eastAsia="仿宋_GB2312" w:cs="仿宋_GB2312"/>
          <w:color w:val="auto"/>
          <w:sz w:val="32"/>
          <w:szCs w:val="32"/>
        </w:rPr>
        <w:t>凡“三重一大”事项一律坚持集体领导、民主集中、个别酝酿、会议决定的原则，充分发挥集体智慧。</w:t>
      </w:r>
      <w:r>
        <w:rPr>
          <w:rFonts w:hint="eastAsia" w:ascii="仿宋_GB2312" w:hAnsi="仿宋_GB2312" w:eastAsia="仿宋_GB2312" w:cs="仿宋_GB2312"/>
          <w:b/>
          <w:color w:val="auto"/>
          <w:sz w:val="32"/>
          <w:szCs w:val="32"/>
        </w:rPr>
        <w:t>严格落实党建责任制。</w:t>
      </w:r>
      <w:r>
        <w:rPr>
          <w:rFonts w:hint="eastAsia" w:ascii="仿宋_GB2312" w:hAnsi="仿宋_GB2312" w:eastAsia="仿宋_GB2312" w:cs="仿宋_GB2312"/>
          <w:color w:val="auto"/>
          <w:sz w:val="32"/>
          <w:szCs w:val="32"/>
        </w:rPr>
        <w:t>把党建工作目标任务层层分解落实，有效形成了下级对上级负责、一级抓一级的党建工作体系，形成了党建工作合力。</w:t>
      </w:r>
    </w:p>
    <w:p>
      <w:pPr>
        <w:keepNext w:val="0"/>
        <w:keepLines w:val="0"/>
        <w:pageBreakBefore w:val="0"/>
        <w:widowControl w:val="0"/>
        <w:kinsoku/>
        <w:wordWrap/>
        <w:overflowPunct w:val="0"/>
        <w:topLinePunct/>
        <w:autoSpaceDE/>
        <w:autoSpaceDN/>
        <w:bidi w:val="0"/>
        <w:spacing w:line="575" w:lineRule="exact"/>
        <w:ind w:firstLine="643" w:firstLineChars="200"/>
        <w:jc w:val="both"/>
        <w:textAlignment w:val="auto"/>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（二）守土有责，抓“意识形态”要点</w:t>
      </w:r>
    </w:p>
    <w:p>
      <w:pPr>
        <w:pStyle w:val="3"/>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今年以来，我局共上报稿件188篇，采稿112篇，其中国家级媒体9篇、省级媒体44篇、市级媒体32篇、区级媒体27篇。积极组织转发跟评网络正面舆情，传播主旋律，弘扬正能量。我区选送的法治木雕《心中有法 方能远航》获评湖南省非物质文化遗产法治文化作品创作征集大赛“优胜奖”。将特殊人群管控、法律援助案件办理、矛盾纠纷化解、律师投诉案件处置、队伍建设情况、敏感时期越级上访隐患等六类情形作为舆情风险管控的重点，通过召开形势分析会、“一对一”走访、回访当事人等方式，定期对可能存在的舆情隐患进行了全面的摸排，最大限度地减少了不稳定因素。</w:t>
      </w:r>
    </w:p>
    <w:p>
      <w:pPr>
        <w:keepNext w:val="0"/>
        <w:keepLines w:val="0"/>
        <w:pageBreakBefore w:val="0"/>
        <w:widowControl w:val="0"/>
        <w:kinsoku/>
        <w:wordWrap/>
        <w:overflowPunct w:val="0"/>
        <w:topLinePunct/>
        <w:autoSpaceDE/>
        <w:autoSpaceDN/>
        <w:bidi w:val="0"/>
        <w:spacing w:line="575" w:lineRule="exact"/>
        <w:ind w:firstLine="643" w:firstLineChars="200"/>
        <w:jc w:val="both"/>
        <w:textAlignment w:val="auto"/>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w:t>
      </w:r>
      <w:r>
        <w:rPr>
          <w:rFonts w:hint="eastAsia" w:ascii="楷体_GB2312" w:hAnsi="楷体_GB2312" w:eastAsia="楷体_GB2312" w:cs="楷体_GB2312"/>
          <w:b/>
          <w:color w:val="auto"/>
          <w:sz w:val="32"/>
          <w:szCs w:val="32"/>
          <w:lang w:eastAsia="zh-CN"/>
        </w:rPr>
        <w:t>三</w:t>
      </w:r>
      <w:r>
        <w:rPr>
          <w:rFonts w:hint="eastAsia" w:ascii="楷体_GB2312" w:hAnsi="楷体_GB2312" w:eastAsia="楷体_GB2312" w:cs="楷体_GB2312"/>
          <w:b/>
          <w:color w:val="auto"/>
          <w:sz w:val="32"/>
          <w:szCs w:val="32"/>
        </w:rPr>
        <w:t>）示范引领，抓“法治建设”重点</w:t>
      </w:r>
    </w:p>
    <w:p>
      <w:pPr>
        <w:keepNext w:val="0"/>
        <w:keepLines w:val="0"/>
        <w:pageBreakBefore w:val="0"/>
        <w:widowControl w:val="0"/>
        <w:kinsoku/>
        <w:wordWrap/>
        <w:overflowPunct w:val="0"/>
        <w:topLinePunct/>
        <w:autoSpaceDE/>
        <w:autoSpaceDN/>
        <w:bidi w:val="0"/>
        <w:spacing w:line="575" w:lineRule="exact"/>
        <w:ind w:firstLine="640" w:firstLineChars="200"/>
        <w:jc w:val="both"/>
        <w:textAlignment w:val="auto"/>
        <w:rPr>
          <w:rFonts w:hint="eastAsia" w:ascii="仿宋_GB2312" w:hAnsi="仿宋_GB2312" w:eastAsia="仿宋_GB2312" w:cs="仿宋_GB2312"/>
          <w:b/>
          <w:bCs/>
          <w:color w:val="auto"/>
          <w:kern w:val="0"/>
          <w:sz w:val="32"/>
          <w:szCs w:val="32"/>
          <w:shd w:val="clear" w:color="auto" w:fill="FFFFFF"/>
        </w:rPr>
      </w:pPr>
      <w:r>
        <w:rPr>
          <w:rFonts w:hint="eastAsia" w:ascii="仿宋_GB2312" w:hAnsi="仿宋_GB2312" w:eastAsia="仿宋_GB2312" w:cs="仿宋_GB2312"/>
          <w:color w:val="auto"/>
          <w:sz w:val="32"/>
          <w:szCs w:val="32"/>
        </w:rPr>
        <w:t>2023年以来，共受理</w:t>
      </w:r>
      <w:r>
        <w:rPr>
          <w:rFonts w:hint="eastAsia" w:ascii="仿宋_GB2312" w:hAnsi="仿宋_GB2312" w:eastAsia="仿宋_GB2312" w:cs="仿宋_GB2312"/>
          <w:color w:val="auto"/>
          <w:sz w:val="32"/>
          <w:szCs w:val="32"/>
          <w:highlight w:val="none"/>
        </w:rPr>
        <w:t>行政复议案件71件，办结57件；行政应诉案件24件，行政负责人出庭率100%。</w:t>
      </w:r>
      <w:r>
        <w:rPr>
          <w:rFonts w:hint="eastAsia" w:ascii="仿宋_GB2312" w:hAnsi="仿宋_GB2312" w:eastAsia="仿宋_GB2312" w:cs="仿宋_GB2312"/>
          <w:color w:val="auto"/>
          <w:sz w:val="32"/>
          <w:szCs w:val="32"/>
        </w:rPr>
        <w:t>今年以来，共为我区259人发放行政执法证。</w:t>
      </w:r>
      <w:r>
        <w:rPr>
          <w:rFonts w:hint="eastAsia" w:ascii="仿宋_GB2312" w:hAnsi="仿宋_GB2312" w:eastAsia="仿宋_GB2312" w:cs="仿宋_GB2312"/>
          <w:b/>
          <w:color w:val="auto"/>
          <w:sz w:val="32"/>
          <w:szCs w:val="32"/>
        </w:rPr>
        <w:t>重联合，法治宣传“大融合”逐步完善。</w:t>
      </w:r>
      <w:r>
        <w:rPr>
          <w:rFonts w:hint="eastAsia" w:ascii="仿宋_GB2312" w:hAnsi="仿宋_GB2312" w:eastAsia="仿宋_GB2312" w:cs="仿宋_GB2312"/>
          <w:color w:val="auto"/>
          <w:sz w:val="32"/>
          <w:szCs w:val="32"/>
        </w:rPr>
        <w:t>依托“古城法治大讲堂”，通过结合“法律九进”，强化部门与部门、乡镇、村（社区）、企业、群众等主体的联动，将法律送进千家万户。同时，通过创新法治宣传方式，开展“线上+线下”“法治+文艺”“法治+实践”“法治+民俗”等宣传活动提升普法质效。</w:t>
      </w:r>
    </w:p>
    <w:p>
      <w:pPr>
        <w:keepNext w:val="0"/>
        <w:keepLines w:val="0"/>
        <w:pageBreakBefore w:val="0"/>
        <w:widowControl w:val="0"/>
        <w:kinsoku/>
        <w:wordWrap/>
        <w:overflowPunct w:val="0"/>
        <w:topLinePunct/>
        <w:autoSpaceDE/>
        <w:autoSpaceDN/>
        <w:bidi w:val="0"/>
        <w:spacing w:line="575" w:lineRule="exact"/>
        <w:ind w:firstLine="643" w:firstLineChars="200"/>
        <w:jc w:val="both"/>
        <w:textAlignment w:val="auto"/>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w:t>
      </w:r>
      <w:r>
        <w:rPr>
          <w:rFonts w:hint="eastAsia" w:ascii="楷体_GB2312" w:hAnsi="楷体_GB2312" w:eastAsia="楷体_GB2312" w:cs="楷体_GB2312"/>
          <w:b/>
          <w:color w:val="auto"/>
          <w:sz w:val="32"/>
          <w:szCs w:val="32"/>
          <w:lang w:eastAsia="zh-CN"/>
        </w:rPr>
        <w:t>四</w:t>
      </w:r>
      <w:r>
        <w:rPr>
          <w:rFonts w:hint="eastAsia" w:ascii="楷体_GB2312" w:hAnsi="楷体_GB2312" w:eastAsia="楷体_GB2312" w:cs="楷体_GB2312"/>
          <w:b/>
          <w:color w:val="auto"/>
          <w:sz w:val="32"/>
          <w:szCs w:val="32"/>
        </w:rPr>
        <w:t>）守正创新，强“法治惠民”亮点</w:t>
      </w:r>
    </w:p>
    <w:p>
      <w:pPr>
        <w:keepNext w:val="0"/>
        <w:keepLines w:val="0"/>
        <w:pageBreakBefore w:val="0"/>
        <w:widowControl w:val="0"/>
        <w:kinsoku/>
        <w:wordWrap/>
        <w:overflowPunct w:val="0"/>
        <w:topLinePunct/>
        <w:autoSpaceDE/>
        <w:autoSpaceDN/>
        <w:bidi w:val="0"/>
        <w:spacing w:line="575" w:lineRule="exact"/>
        <w:ind w:firstLine="640" w:firstLineChars="200"/>
        <w:jc w:val="both"/>
        <w:textAlignment w:val="auto"/>
        <w:rPr>
          <w:rFonts w:hint="eastAsia" w:ascii="楷体_GB2312" w:hAnsi="楷体_GB2312" w:eastAsia="楷体_GB2312" w:cs="楷体_GB2312"/>
          <w:b/>
          <w:color w:val="auto"/>
          <w:sz w:val="32"/>
          <w:szCs w:val="32"/>
          <w:highlight w:val="none"/>
        </w:rPr>
      </w:pPr>
      <w:r>
        <w:rPr>
          <w:rFonts w:hint="eastAsia" w:ascii="仿宋_GB2312" w:hAnsi="仿宋_GB2312" w:eastAsia="仿宋_GB2312" w:cs="仿宋_GB2312"/>
          <w:color w:val="auto"/>
          <w:sz w:val="32"/>
          <w:szCs w:val="32"/>
        </w:rPr>
        <w:t>2023年以来，</w:t>
      </w:r>
      <w:r>
        <w:rPr>
          <w:rFonts w:hint="eastAsia" w:ascii="仿宋_GB2312" w:hAnsi="仿宋_GB2312" w:eastAsia="仿宋_GB2312" w:cs="仿宋_GB2312"/>
          <w:bCs/>
          <w:color w:val="auto"/>
          <w:sz w:val="32"/>
          <w:szCs w:val="32"/>
        </w:rPr>
        <w:t>区司法局</w:t>
      </w:r>
      <w:r>
        <w:rPr>
          <w:rFonts w:hint="eastAsia" w:ascii="仿宋_GB2312" w:hAnsi="仿宋_GB2312" w:eastAsia="仿宋_GB2312" w:cs="仿宋_GB2312"/>
          <w:color w:val="auto"/>
          <w:sz w:val="32"/>
          <w:szCs w:val="32"/>
        </w:rPr>
        <w:t>充分发挥主观能动性，挖掘亮点，进一步增强公共法律服务水平。在维护弱势群体、覆盖广大群体、服务市场主体三方面为法治资阳增添了“亮色”。</w:t>
      </w:r>
      <w:r>
        <w:rPr>
          <w:rFonts w:hint="eastAsia" w:ascii="仿宋_GB2312" w:hAnsi="仿宋_GB2312" w:eastAsia="仿宋_GB2312" w:cs="仿宋_GB2312"/>
          <w:b/>
          <w:bCs/>
          <w:color w:val="auto"/>
          <w:sz w:val="32"/>
          <w:szCs w:val="32"/>
        </w:rPr>
        <w:t>展作为，为基层稳定彰显法治力量。</w:t>
      </w:r>
      <w:r>
        <w:rPr>
          <w:rFonts w:hint="eastAsia" w:ascii="仿宋_GB2312" w:hAnsi="仿宋_GB2312" w:eastAsia="仿宋_GB2312" w:cs="仿宋_GB2312"/>
          <w:color w:val="auto"/>
          <w:sz w:val="32"/>
          <w:szCs w:val="32"/>
        </w:rPr>
        <w:t>截止目前，</w:t>
      </w:r>
      <w:r>
        <w:rPr>
          <w:rFonts w:hint="eastAsia" w:ascii="仿宋_GB2312" w:hAnsi="仿宋_GB2312" w:eastAsia="仿宋_GB2312" w:cs="仿宋_GB2312"/>
          <w:color w:val="auto"/>
          <w:sz w:val="32"/>
          <w:szCs w:val="32"/>
          <w:highlight w:val="none"/>
        </w:rPr>
        <w:t>全区共受理各类民间纠纷1753件，调处成功1727件，调处成功率达98.5%。</w:t>
      </w:r>
      <w:r>
        <w:rPr>
          <w:rFonts w:hint="eastAsia" w:ascii="仿宋_GB2312" w:hAnsi="仿宋_GB2312" w:eastAsia="仿宋_GB2312" w:cs="仿宋_GB2312"/>
          <w:color w:val="auto"/>
          <w:sz w:val="32"/>
          <w:szCs w:val="32"/>
        </w:rPr>
        <w:t>2023年以来，以沙头镇为示范点，全面推进基层综合执法改革落地落实。今年以来，</w:t>
      </w:r>
      <w:r>
        <w:rPr>
          <w:rFonts w:hint="eastAsia" w:ascii="仿宋_GB2312" w:hAnsi="仿宋_GB2312" w:eastAsia="仿宋_GB2312" w:cs="仿宋_GB2312"/>
          <w:color w:val="auto"/>
          <w:sz w:val="32"/>
          <w:szCs w:val="32"/>
          <w:highlight w:val="none"/>
        </w:rPr>
        <w:t>共接收社区矫正对象189人，解除社区矫正对象169人，现在册社区矫正对象213人，安置帮教对象1395人。今年8月，我区“智慧矫正”中心顺利通过省司法厅的验收。</w:t>
      </w:r>
      <w:r>
        <w:rPr>
          <w:rFonts w:hint="eastAsia" w:ascii="仿宋_GB2312" w:hAnsi="仿宋_GB2312" w:eastAsia="仿宋_GB2312" w:cs="仿宋_GB2312"/>
          <w:b/>
          <w:color w:val="auto"/>
          <w:sz w:val="32"/>
          <w:szCs w:val="32"/>
          <w:highlight w:val="none"/>
        </w:rPr>
        <w:t>扶弱者，为弱势群体维权依法“撑腰”。</w:t>
      </w:r>
      <w:r>
        <w:rPr>
          <w:rFonts w:hint="eastAsia" w:ascii="仿宋_GB2312" w:hAnsi="仿宋_GB2312" w:eastAsia="仿宋_GB2312" w:cs="仿宋_GB2312"/>
          <w:color w:val="auto"/>
          <w:sz w:val="32"/>
          <w:szCs w:val="32"/>
          <w:highlight w:val="none"/>
        </w:rPr>
        <w:t>截止目前，资阳区办理法律援助案件277件。</w:t>
      </w:r>
    </w:p>
    <w:p>
      <w:pPr>
        <w:pStyle w:val="3"/>
        <w:numPr>
          <w:ilvl w:val="0"/>
          <w:numId w:val="0"/>
        </w:numPr>
        <w:ind w:firstLine="640" w:firstLineChars="200"/>
        <w:rPr>
          <w:rFonts w:hint="eastAsia" w:ascii="仿宋_GB2312" w:hAnsi="仿宋_GB2312" w:eastAsia="仿宋_GB2312" w:cs="仿宋_GB2312"/>
          <w:color w:val="auto"/>
          <w:sz w:val="32"/>
          <w:szCs w:val="32"/>
        </w:rPr>
      </w:pPr>
    </w:p>
    <w:p>
      <w:pPr>
        <w:widowControl/>
        <w:numPr>
          <w:ilvl w:val="0"/>
          <w:numId w:val="0"/>
        </w:numPr>
        <w:autoSpaceDN w:val="0"/>
        <w:spacing w:line="54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四、</w:t>
      </w:r>
      <w:r>
        <w:rPr>
          <w:rFonts w:hint="eastAsia" w:ascii="黑体" w:hAnsi="黑体" w:eastAsia="黑体" w:cs="宋体"/>
          <w:color w:val="000000"/>
          <w:kern w:val="0"/>
          <w:sz w:val="32"/>
          <w:szCs w:val="32"/>
        </w:rPr>
        <w:t>总体评价和自评得分情况</w:t>
      </w:r>
    </w:p>
    <w:p>
      <w:pPr>
        <w:widowControl/>
        <w:numPr>
          <w:ilvl w:val="0"/>
          <w:numId w:val="0"/>
        </w:numPr>
        <w:autoSpaceDN w:val="0"/>
        <w:spacing w:line="540" w:lineRule="exact"/>
        <w:ind w:firstLine="640" w:firstLineChars="200"/>
        <w:rPr>
          <w:rFonts w:hint="eastAsia"/>
          <w:lang w:val="en-US" w:eastAsia="zh-CN"/>
        </w:rPr>
      </w:pPr>
      <w:r>
        <w:rPr>
          <w:rFonts w:hint="eastAsia"/>
        </w:rPr>
        <w:t>按要求的时限和格式在规定公开门户网站及时完整公开绩效自评信息。完善相关管理办法，规范固定资产的采购、使用及处置。固定资产配置合理、账务管理规范、账实相符、处置规范。根据部门项目支出情况，制定完善项目资金管理办法，做到部门重点项目支出有据可依。</w:t>
      </w:r>
      <w:r>
        <w:rPr>
          <w:rFonts w:hint="eastAsia"/>
          <w:lang w:val="en-US" w:eastAsia="zh-CN"/>
        </w:rPr>
        <w:t>2023年度整体支出绩效</w:t>
      </w:r>
      <w:r>
        <w:rPr>
          <w:rFonts w:hint="eastAsia"/>
          <w:lang w:eastAsia="zh-CN"/>
        </w:rPr>
        <w:t>自评得分</w:t>
      </w:r>
      <w:r>
        <w:rPr>
          <w:rFonts w:hint="eastAsia"/>
          <w:lang w:val="en-US" w:eastAsia="zh-CN"/>
        </w:rPr>
        <w:t>99分。</w:t>
      </w:r>
    </w:p>
    <w:p>
      <w:pPr>
        <w:widowControl/>
        <w:numPr>
          <w:ilvl w:val="0"/>
          <w:numId w:val="0"/>
        </w:numPr>
        <w:autoSpaceDN w:val="0"/>
        <w:spacing w:line="540" w:lineRule="exact"/>
        <w:ind w:firstLine="640" w:firstLineChars="200"/>
        <w:rPr>
          <w:rFonts w:hint="eastAsia"/>
        </w:rPr>
      </w:pPr>
    </w:p>
    <w:p>
      <w:pPr>
        <w:pStyle w:val="9"/>
        <w:widowControl/>
        <w:spacing w:line="600" w:lineRule="exact"/>
        <w:ind w:left="0" w:leftChars="0" w:firstLine="640" w:firstLineChars="200"/>
        <w:jc w:val="left"/>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widowControl/>
        <w:numPr>
          <w:ilvl w:val="0"/>
          <w:numId w:val="0"/>
        </w:numPr>
        <w:autoSpaceDN w:val="0"/>
        <w:spacing w:line="540" w:lineRule="exact"/>
        <w:ind w:firstLine="640" w:firstLineChars="200"/>
        <w:rPr>
          <w:rFonts w:hint="eastAsia"/>
          <w:lang w:val="en-US" w:eastAsia="zh-CN"/>
        </w:rPr>
      </w:pPr>
      <w:r>
        <w:rPr>
          <w:rFonts w:hint="eastAsia"/>
        </w:rPr>
        <w:t>队伍建设有待于进一步加强。经费保障力度不足。工作保障经费、业务工作经费远不能满足工作需要。</w:t>
      </w:r>
    </w:p>
    <w:p>
      <w:pPr>
        <w:widowControl/>
        <w:numPr>
          <w:ilvl w:val="0"/>
          <w:numId w:val="4"/>
        </w:numPr>
        <w:spacing w:line="600" w:lineRule="exact"/>
        <w:ind w:firstLine="640" w:firstLineChars="200"/>
        <w:jc w:val="left"/>
        <w:rPr>
          <w:rFonts w:hint="eastAsia"/>
        </w:rPr>
      </w:pPr>
      <w:r>
        <w:rPr>
          <w:rFonts w:hint="eastAsia" w:eastAsia="黑体"/>
          <w:sz w:val="32"/>
          <w:szCs w:val="32"/>
        </w:rPr>
        <w:t>下一步改进措施</w:t>
      </w:r>
    </w:p>
    <w:p>
      <w:pPr>
        <w:widowControl/>
        <w:numPr>
          <w:ilvl w:val="0"/>
          <w:numId w:val="0"/>
        </w:numPr>
        <w:spacing w:line="600" w:lineRule="exact"/>
        <w:ind w:firstLine="640" w:firstLineChars="200"/>
        <w:jc w:val="left"/>
        <w:rPr>
          <w:rFonts w:hint="eastAsia"/>
        </w:rPr>
      </w:pPr>
      <w:r>
        <w:rPr>
          <w:rFonts w:hint="eastAsia"/>
        </w:rPr>
        <w:t>重视日常财务收支管理工作，收支管理是一个单位财务管理工作的重中之重，为加强收支管理，对一切开支严格按财务制度办理，既保障了工作的顺利开展，又使各项收支的安排提高资金的使用效益。加强资金的使用效率，才能够使有限的经费有效保障司法工作得顺利进行。</w:t>
      </w:r>
    </w:p>
    <w:p>
      <w:pPr>
        <w:widowControl/>
        <w:spacing w:line="600" w:lineRule="exact"/>
        <w:ind w:firstLine="645"/>
        <w:jc w:val="left"/>
        <w:rPr>
          <w:rFonts w:hint="eastAsia" w:eastAsia="黑体"/>
          <w:sz w:val="32"/>
          <w:szCs w:val="32"/>
          <w:lang w:eastAsia="zh-CN"/>
        </w:rPr>
      </w:pPr>
      <w:r>
        <w:rPr>
          <w:rFonts w:hint="eastAsia" w:eastAsia="黑体"/>
          <w:sz w:val="32"/>
          <w:szCs w:val="32"/>
        </w:rPr>
        <w:t>七、整体支出绩效自评结果拟应用</w:t>
      </w:r>
      <w:r>
        <w:rPr>
          <w:rFonts w:hint="eastAsia" w:eastAsia="黑体"/>
          <w:sz w:val="32"/>
          <w:szCs w:val="32"/>
          <w:lang w:eastAsia="zh-CN"/>
        </w:rPr>
        <w:t>和</w:t>
      </w:r>
      <w:r>
        <w:rPr>
          <w:rFonts w:hint="eastAsia" w:eastAsia="黑体"/>
          <w:sz w:val="32"/>
          <w:szCs w:val="32"/>
        </w:rPr>
        <w:t>公开</w:t>
      </w:r>
      <w:r>
        <w:rPr>
          <w:rFonts w:hint="eastAsia" w:eastAsia="黑体"/>
          <w:sz w:val="32"/>
          <w:szCs w:val="32"/>
          <w:lang w:eastAsia="zh-CN"/>
        </w:rPr>
        <w:t>情况。</w:t>
      </w:r>
    </w:p>
    <w:p>
      <w:pPr>
        <w:widowControl/>
        <w:spacing w:line="600" w:lineRule="exact"/>
        <w:ind w:firstLine="645"/>
        <w:jc w:val="left"/>
        <w:rPr>
          <w:rFonts w:hint="eastAsia" w:ascii="仿宋" w:hAnsi="仿宋" w:eastAsia="仿宋" w:cs="仿宋"/>
          <w:sz w:val="32"/>
          <w:szCs w:val="32"/>
        </w:rPr>
      </w:pPr>
      <w:r>
        <w:rPr>
          <w:rFonts w:hint="eastAsia"/>
        </w:rPr>
        <w:t>本自评结果拟用于今后进一步规范业务工作开展和经费使用行为，确保专项经费专款专用。加强资金使用管理，健全资金支出项目、提高资金绩效管理，加大资金同时作为完善工作的指导依据，为整改落实指明方向。此次绩效自评报告将在资阳区公众信息网上及时进行公开公示，接受群众监督。</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报告需要以下附件：</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部门整体支出绩效评价基础数据表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部门整体支出绩效自评表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项目支出绩效自评表</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4.其他必要材料（当年度预算绩效目标申报表、单位年度工作总结、预决算报表、有关表彰奖励复印件等）及与自评报告、基础表、自评表内容相符的相关佐证材料（佐证资料必须列目录，与自评表指标对应）</w:t>
      </w:r>
    </w:p>
    <w:p>
      <w:pPr>
        <w:pStyle w:val="7"/>
        <w:ind w:left="0" w:leftChars="0" w:firstLine="0" w:firstLineChars="0"/>
        <w:rPr>
          <w:rFonts w:hint="default" w:eastAsia="仿宋"/>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1BD561"/>
    <w:multiLevelType w:val="singleLevel"/>
    <w:tmpl w:val="E91BD561"/>
    <w:lvl w:ilvl="0" w:tentative="0">
      <w:start w:val="1"/>
      <w:numFmt w:val="chineseCounting"/>
      <w:suff w:val="nothing"/>
      <w:lvlText w:val="（%1）"/>
      <w:lvlJc w:val="left"/>
      <w:rPr>
        <w:rFonts w:hint="eastAsia"/>
      </w:rPr>
    </w:lvl>
  </w:abstractNum>
  <w:abstractNum w:abstractNumId="1">
    <w:nsid w:val="E9880F23"/>
    <w:multiLevelType w:val="singleLevel"/>
    <w:tmpl w:val="E9880F23"/>
    <w:lvl w:ilvl="0" w:tentative="0">
      <w:start w:val="6"/>
      <w:numFmt w:val="chineseCounting"/>
      <w:suff w:val="nothing"/>
      <w:lvlText w:val="%1、"/>
      <w:lvlJc w:val="left"/>
      <w:rPr>
        <w:rFonts w:hint="eastAsia"/>
      </w:rPr>
    </w:lvl>
  </w:abstractNum>
  <w:abstractNum w:abstractNumId="2">
    <w:nsid w:val="4F56086A"/>
    <w:multiLevelType w:val="singleLevel"/>
    <w:tmpl w:val="4F56086A"/>
    <w:lvl w:ilvl="0" w:tentative="0">
      <w:start w:val="1"/>
      <w:numFmt w:val="chineseCounting"/>
      <w:suff w:val="nothing"/>
      <w:lvlText w:val="（%1）"/>
      <w:lvlJc w:val="left"/>
      <w:rPr>
        <w:rFonts w:hint="eastAsia"/>
      </w:rPr>
    </w:lvl>
  </w:abstractNum>
  <w:abstractNum w:abstractNumId="3">
    <w:nsid w:val="51278474"/>
    <w:multiLevelType w:val="singleLevel"/>
    <w:tmpl w:val="51278474"/>
    <w:lvl w:ilvl="0" w:tentative="0">
      <w:start w:val="1"/>
      <w:numFmt w:val="chineseCounting"/>
      <w:suff w:val="nothing"/>
      <w:lvlText w:val="%1、"/>
      <w:lvlJc w:val="left"/>
      <w:pPr>
        <w:ind w:left="64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4Yzk4ODJmMGVmMGMwZTQyYzcyMjk1ZGFjMjNmNWEifQ=="/>
  </w:docVars>
  <w:rsids>
    <w:rsidRoot w:val="74182DFC"/>
    <w:rsid w:val="006C77D7"/>
    <w:rsid w:val="01003109"/>
    <w:rsid w:val="01964270"/>
    <w:rsid w:val="02704178"/>
    <w:rsid w:val="02E04B4E"/>
    <w:rsid w:val="042175E4"/>
    <w:rsid w:val="061B5A17"/>
    <w:rsid w:val="07D56EA5"/>
    <w:rsid w:val="082645E6"/>
    <w:rsid w:val="08CB20E8"/>
    <w:rsid w:val="09930467"/>
    <w:rsid w:val="0A9E7CF1"/>
    <w:rsid w:val="0B481FE1"/>
    <w:rsid w:val="0FB3423F"/>
    <w:rsid w:val="0FD43745"/>
    <w:rsid w:val="0FFC7994"/>
    <w:rsid w:val="12647A72"/>
    <w:rsid w:val="15BC0EB5"/>
    <w:rsid w:val="161B3208"/>
    <w:rsid w:val="16F863D8"/>
    <w:rsid w:val="183A6390"/>
    <w:rsid w:val="190D2C12"/>
    <w:rsid w:val="193A32DB"/>
    <w:rsid w:val="199A7A37"/>
    <w:rsid w:val="19B03E39"/>
    <w:rsid w:val="1AA94BBC"/>
    <w:rsid w:val="1E1B5C11"/>
    <w:rsid w:val="1E5767C3"/>
    <w:rsid w:val="1EFD7285"/>
    <w:rsid w:val="20CF69FF"/>
    <w:rsid w:val="22243886"/>
    <w:rsid w:val="22297444"/>
    <w:rsid w:val="223E3E3C"/>
    <w:rsid w:val="239C0ADB"/>
    <w:rsid w:val="26F12726"/>
    <w:rsid w:val="273C404C"/>
    <w:rsid w:val="297445E7"/>
    <w:rsid w:val="299A3B46"/>
    <w:rsid w:val="2BE07A80"/>
    <w:rsid w:val="2C1874AC"/>
    <w:rsid w:val="2E750BE6"/>
    <w:rsid w:val="2E7D7A9A"/>
    <w:rsid w:val="2E9F315C"/>
    <w:rsid w:val="35132FF0"/>
    <w:rsid w:val="35E548A3"/>
    <w:rsid w:val="379E1D6D"/>
    <w:rsid w:val="37E24DAB"/>
    <w:rsid w:val="38BD0102"/>
    <w:rsid w:val="38EA21D0"/>
    <w:rsid w:val="3BD32ECB"/>
    <w:rsid w:val="40B71192"/>
    <w:rsid w:val="429F402B"/>
    <w:rsid w:val="43C20BAC"/>
    <w:rsid w:val="44EA62E2"/>
    <w:rsid w:val="46115240"/>
    <w:rsid w:val="48A34513"/>
    <w:rsid w:val="49A8026C"/>
    <w:rsid w:val="4AD8632C"/>
    <w:rsid w:val="4B7F4E2F"/>
    <w:rsid w:val="4BF12C42"/>
    <w:rsid w:val="4E7B594C"/>
    <w:rsid w:val="4F8A3D9F"/>
    <w:rsid w:val="51840539"/>
    <w:rsid w:val="523934B4"/>
    <w:rsid w:val="5305612D"/>
    <w:rsid w:val="54AF6350"/>
    <w:rsid w:val="55D41A85"/>
    <w:rsid w:val="58920A6D"/>
    <w:rsid w:val="58B8779D"/>
    <w:rsid w:val="58EF1F5D"/>
    <w:rsid w:val="59B523E8"/>
    <w:rsid w:val="5ABB6DF4"/>
    <w:rsid w:val="5C341831"/>
    <w:rsid w:val="5E7B1376"/>
    <w:rsid w:val="62D41677"/>
    <w:rsid w:val="63FC70D8"/>
    <w:rsid w:val="65C459D3"/>
    <w:rsid w:val="66F05671"/>
    <w:rsid w:val="68F0545C"/>
    <w:rsid w:val="6A2D5F1B"/>
    <w:rsid w:val="6AE90161"/>
    <w:rsid w:val="704B1CC4"/>
    <w:rsid w:val="70FC4273"/>
    <w:rsid w:val="72515E1B"/>
    <w:rsid w:val="730C06EE"/>
    <w:rsid w:val="74024296"/>
    <w:rsid w:val="74182DFC"/>
    <w:rsid w:val="746B23D4"/>
    <w:rsid w:val="760D0B5E"/>
    <w:rsid w:val="77550B81"/>
    <w:rsid w:val="78B4669B"/>
    <w:rsid w:val="7ACB0B2F"/>
    <w:rsid w:val="7B950E80"/>
    <w:rsid w:val="7BD06A28"/>
    <w:rsid w:val="7EC04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ody Text"/>
    <w:basedOn w:val="1"/>
    <w:unhideWhenUsed/>
    <w:qFormat/>
    <w:uiPriority w:val="99"/>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BodyText1I2"/>
    <w:basedOn w:val="8"/>
    <w:qFormat/>
    <w:uiPriority w:val="0"/>
    <w:pPr>
      <w:ind w:firstLine="420"/>
    </w:pPr>
  </w:style>
  <w:style w:type="paragraph" w:customStyle="1" w:styleId="8">
    <w:name w:val="BodyTextIndent"/>
    <w:basedOn w:val="1"/>
    <w:qFormat/>
    <w:uiPriority w:val="0"/>
    <w:pPr>
      <w:spacing w:after="120"/>
      <w:ind w:left="420" w:leftChars="200" w:firstLine="200" w:firstLineChars="200"/>
      <w:textAlignment w:val="baseline"/>
    </w:pPr>
  </w:style>
  <w:style w:type="paragraph" w:styleId="9">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2320</Words>
  <Characters>2493</Characters>
  <Lines>0</Lines>
  <Paragraphs>0</Paragraphs>
  <TotalTime>28</TotalTime>
  <ScaleCrop>false</ScaleCrop>
  <LinksUpToDate>false</LinksUpToDate>
  <CharactersWithSpaces>2514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2024-05-24T15:13:00Z</dcterms:created>
  <dc:creator>Administrator</dc:creator>
  <cp:lastModifiedBy>Administrator</cp:lastModifiedBy>
  <dcterms:modified xsi:type="dcterms:W3CDTF">2024-06-21T02:36:33Z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E69864D472D543CEB70F25B914C99C3B_11</vt:lpwstr>
  </property>
</Properties>
</file>