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黑体"/>
          <w:b w:val="0"/>
          <w:bCs w:val="0"/>
          <w:kern w:val="0"/>
          <w:sz w:val="44"/>
          <w:szCs w:val="44"/>
          <w:lang w:val="en-US" w:eastAsia="zh-CN" w:bidi="ar-SA"/>
        </w:rPr>
      </w:pPr>
      <w:r>
        <w:rPr>
          <w:rFonts w:hint="eastAsia" w:ascii="黑体" w:hAnsi="黑体" w:eastAsia="黑体" w:cs="黑体"/>
          <w:b w:val="0"/>
          <w:bCs w:val="0"/>
          <w:kern w:val="0"/>
          <w:sz w:val="44"/>
          <w:szCs w:val="44"/>
          <w:lang w:val="en-US" w:eastAsia="zh-CN" w:bidi="ar-SA"/>
        </w:rPr>
        <w:t>2023年度资阳区财政局整体支出绩效自评报告</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p>
    <w:p>
      <w:pPr>
        <w:keepNext w:val="0"/>
        <w:keepLines w:val="0"/>
        <w:pageBreakBefore w:val="0"/>
        <w:widowControl/>
        <w:numPr>
          <w:ilvl w:val="0"/>
          <w:numId w:val="0"/>
        </w:numPr>
        <w:kinsoku/>
        <w:wordWrap/>
        <w:overflowPunct/>
        <w:topLinePunct w:val="0"/>
        <w:autoSpaceDE/>
        <w:autoSpaceDN w:val="0"/>
        <w:bidi w:val="0"/>
        <w:spacing w:line="600" w:lineRule="exact"/>
        <w:ind w:right="0" w:rightChars="0"/>
        <w:textAlignment w:val="auto"/>
        <w:outlineLvl w:val="9"/>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val="en-US" w:eastAsia="zh-CN"/>
        </w:rPr>
        <w:t xml:space="preserve">  </w:t>
      </w:r>
      <w:r>
        <w:rPr>
          <w:rFonts w:hint="eastAsia" w:ascii="黑体" w:hAnsi="黑体" w:eastAsia="黑体" w:cs="宋体"/>
          <w:color w:val="000000"/>
          <w:kern w:val="0"/>
          <w:sz w:val="32"/>
          <w:szCs w:val="32"/>
          <w:lang w:eastAsia="zh-CN"/>
        </w:rPr>
        <w:t>一、</w:t>
      </w:r>
      <w:r>
        <w:rPr>
          <w:rFonts w:hint="eastAsia" w:ascii="黑体" w:hAnsi="黑体" w:eastAsia="黑体" w:cs="宋体"/>
          <w:color w:val="000000"/>
          <w:kern w:val="0"/>
          <w:sz w:val="32"/>
          <w:szCs w:val="32"/>
        </w:rPr>
        <w:t>部门概况</w:t>
      </w:r>
    </w:p>
    <w:p>
      <w:pPr>
        <w:keepNext w:val="0"/>
        <w:keepLines w:val="0"/>
        <w:pageBreakBefore w:val="0"/>
        <w:numPr>
          <w:ilvl w:val="0"/>
          <w:numId w:val="0"/>
        </w:numPr>
        <w:kinsoku/>
        <w:wordWrap/>
        <w:overflowPunct/>
        <w:topLinePunct w:val="0"/>
        <w:autoSpaceDE/>
        <w:bidi w:val="0"/>
        <w:snapToGrid/>
        <w:spacing w:line="600" w:lineRule="exact"/>
        <w:ind w:right="0" w:rightChars="0"/>
        <w:textAlignment w:val="auto"/>
        <w:outlineLvl w:val="9"/>
        <w:rPr>
          <w:rFonts w:hint="eastAsia" w:ascii="仿宋_GB2312" w:hAnsi="仿宋_GB2312" w:eastAsia="仿宋_GB2312" w:cs="仿宋_GB2312"/>
          <w:sz w:val="32"/>
          <w:szCs w:val="32"/>
        </w:rPr>
      </w:pPr>
      <w:r>
        <w:rPr>
          <w:rFonts w:hint="eastAsia" w:ascii="仿宋" w:hAnsi="仿宋" w:eastAsia="仿宋" w:cs="仿宋"/>
          <w:lang w:val="en-US" w:eastAsia="zh-CN"/>
        </w:rPr>
        <w:t xml:space="preserve">  （一）重点工作计划。2023年，我局</w:t>
      </w:r>
      <w:r>
        <w:rPr>
          <w:rFonts w:hint="eastAsia" w:ascii="仿宋_GB2312" w:hAnsi="仿宋_GB2312" w:eastAsia="仿宋_GB2312" w:cs="仿宋_GB2312"/>
          <w:sz w:val="32"/>
          <w:szCs w:val="32"/>
        </w:rPr>
        <w:t>全面贯彻落实党的二十大精神，财政</w:t>
      </w:r>
      <w:r>
        <w:rPr>
          <w:rFonts w:hint="eastAsia" w:ascii="仿宋_GB2312" w:hAnsi="仿宋_GB2312" w:cs="仿宋_GB2312"/>
          <w:sz w:val="32"/>
          <w:szCs w:val="32"/>
          <w:lang w:eastAsia="zh-CN"/>
        </w:rPr>
        <w:t>绩效</w:t>
      </w:r>
      <w:r>
        <w:rPr>
          <w:rFonts w:hint="eastAsia" w:ascii="仿宋_GB2312" w:hAnsi="仿宋_GB2312" w:eastAsia="仿宋_GB2312" w:cs="仿宋_GB2312"/>
          <w:sz w:val="32"/>
          <w:szCs w:val="32"/>
        </w:rPr>
        <w:t>工作在</w:t>
      </w:r>
      <w:r>
        <w:rPr>
          <w:rFonts w:hint="eastAsia" w:ascii="仿宋_GB2312" w:hAnsi="仿宋_GB2312" w:cs="仿宋_GB2312"/>
          <w:sz w:val="32"/>
          <w:szCs w:val="32"/>
          <w:lang w:eastAsia="zh-CN"/>
        </w:rPr>
        <w:t>区委区政府</w:t>
      </w:r>
      <w:r>
        <w:rPr>
          <w:rFonts w:hint="eastAsia" w:ascii="仿宋_GB2312" w:hAnsi="仿宋_GB2312" w:eastAsia="仿宋_GB2312" w:cs="仿宋_GB2312"/>
          <w:sz w:val="32"/>
          <w:szCs w:val="32"/>
        </w:rPr>
        <w:t>和上级财政部门的指导下，主动作为、应变克难，加强经济形势和财政收支分析研判，强化财政资源统筹，多渠道盘活国有“三资”，科学调度国库库款，严格落实“过紧日子”要求，全力保障民生等重点支出需要，进一步严肃财经纪律，较好完成了年初确定的各项目标任务，预算执行情况良好，为资阳区经济社会发展提供了必要的财力支撑。</w:t>
      </w:r>
    </w:p>
    <w:p>
      <w:pPr>
        <w:pStyle w:val="2"/>
        <w:numPr>
          <w:ilvl w:val="0"/>
          <w:numId w:val="0"/>
        </w:numPr>
        <w:rPr>
          <w:rFonts w:hint="eastAsia"/>
          <w:lang w:val="en-US" w:eastAsia="zh-CN"/>
        </w:rPr>
      </w:pPr>
      <w:r>
        <w:rPr>
          <w:rFonts w:hint="eastAsia"/>
          <w:lang w:val="en-US" w:eastAsia="zh-CN"/>
        </w:rPr>
        <w:t xml:space="preserve">  （二）我局2023年整体预算支出1857.94万元，其中：基本支出1495.55万元，包括人员经费1122.06万元，公用经费支出182.22万元。项目支出362.39万元。</w:t>
      </w:r>
    </w:p>
    <w:p>
      <w:pPr>
        <w:keepNext w:val="0"/>
        <w:keepLines w:val="0"/>
        <w:pageBreakBefore w:val="0"/>
        <w:widowControl/>
        <w:kinsoku/>
        <w:wordWrap/>
        <w:overflowPunct/>
        <w:topLinePunct w:val="0"/>
        <w:autoSpaceDE/>
        <w:autoSpaceDN w:val="0"/>
        <w:bidi w:val="0"/>
        <w:spacing w:line="600" w:lineRule="exact"/>
        <w:ind w:left="0" w:leftChars="0" w:right="0" w:rightChars="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color w:val="000000"/>
          <w:kern w:val="0"/>
          <w:sz w:val="32"/>
          <w:szCs w:val="32"/>
          <w:lang w:val="en-US" w:eastAsia="zh-CN"/>
        </w:rPr>
        <w:t xml:space="preserve">  </w:t>
      </w:r>
      <w:r>
        <w:rPr>
          <w:rFonts w:hint="eastAsia" w:ascii="黑体" w:hAnsi="黑体" w:eastAsia="黑体" w:cs="黑体"/>
          <w:b w:val="0"/>
          <w:bCs w:val="0"/>
          <w:color w:val="000000"/>
          <w:kern w:val="0"/>
          <w:sz w:val="32"/>
          <w:szCs w:val="32"/>
        </w:rPr>
        <w:t>二、</w:t>
      </w:r>
      <w:r>
        <w:rPr>
          <w:rFonts w:hint="eastAsia" w:ascii="黑体" w:hAnsi="黑体" w:eastAsia="黑体" w:cs="黑体"/>
          <w:b w:val="0"/>
          <w:bCs w:val="0"/>
          <w:sz w:val="32"/>
          <w:szCs w:val="32"/>
        </w:rPr>
        <w:t>一般公共预算支出情况</w:t>
      </w:r>
      <w:bookmarkStart w:id="1" w:name="_GoBack"/>
      <w:bookmarkEnd w:id="1"/>
    </w:p>
    <w:p>
      <w:pPr>
        <w:keepNext w:val="0"/>
        <w:keepLines w:val="0"/>
        <w:pageBreakBefore w:val="0"/>
        <w:widowControl/>
        <w:kinsoku/>
        <w:wordWrap/>
        <w:overflowPunct/>
        <w:topLinePunct w:val="0"/>
        <w:autoSpaceDE/>
        <w:autoSpaceDN w:val="0"/>
        <w:bidi w:val="0"/>
        <w:spacing w:line="600" w:lineRule="exact"/>
        <w:ind w:left="0" w:leftChars="0" w:right="0" w:rightChars="0"/>
        <w:textAlignment w:val="auto"/>
        <w:outlineLvl w:val="9"/>
        <w:rPr>
          <w:rFonts w:hint="eastAsia" w:ascii="楷体_GB2312" w:hAnsi="Times New Roman" w:eastAsia="楷体_GB2312" w:cs="Times New Roman"/>
          <w:b/>
          <w:kern w:val="2"/>
          <w:sz w:val="32"/>
          <w:szCs w:val="32"/>
          <w:lang w:val="en-US" w:eastAsia="zh-CN" w:bidi="ar-SA"/>
        </w:rPr>
      </w:pPr>
      <w:r>
        <w:rPr>
          <w:rFonts w:hint="eastAsia" w:ascii="楷体_GB2312" w:hAnsi="Times New Roman" w:eastAsia="楷体_GB2312" w:cs="Times New Roman"/>
          <w:b/>
          <w:kern w:val="2"/>
          <w:sz w:val="32"/>
          <w:szCs w:val="32"/>
          <w:lang w:val="en-US" w:eastAsia="zh-CN" w:bidi="ar-SA"/>
        </w:rPr>
        <w:t xml:space="preserve">  （一）基本支出情况</w:t>
      </w:r>
    </w:p>
    <w:p>
      <w:pPr>
        <w:keepNext w:val="0"/>
        <w:keepLines w:val="0"/>
        <w:pageBreakBefore w:val="0"/>
        <w:numPr>
          <w:ilvl w:val="0"/>
          <w:numId w:val="0"/>
        </w:numPr>
        <w:kinsoku/>
        <w:wordWrap/>
        <w:overflowPunct/>
        <w:topLinePunct w:val="0"/>
        <w:autoSpaceDE/>
        <w:bidi w:val="0"/>
        <w:spacing w:line="600" w:lineRule="exact"/>
        <w:ind w:left="0" w:leftChars="0" w:right="0" w:rightChars="0" w:firstLine="632" w:firstLineChars="200"/>
        <w:textAlignment w:val="auto"/>
        <w:outlineLvl w:val="9"/>
        <w:rPr>
          <w:rFonts w:hint="eastAsia" w:ascii="仿宋_GB2312" w:hAnsi="微软雅黑" w:eastAsia="仿宋_GB2312" w:cs="仿宋_GB2312"/>
          <w:color w:val="000000"/>
          <w:kern w:val="0"/>
          <w:sz w:val="32"/>
          <w:szCs w:val="32"/>
          <w:highlight w:val="none"/>
          <w:shd w:val="clear" w:color="auto" w:fill="FFFFFF"/>
          <w:lang w:val="en-US" w:eastAsia="zh-CN"/>
        </w:rPr>
      </w:pPr>
      <w:r>
        <w:rPr>
          <w:rFonts w:hint="eastAsia" w:ascii="仿宋_GB2312" w:hAnsi="微软雅黑" w:eastAsia="仿宋_GB2312" w:cs="仿宋_GB2312"/>
          <w:color w:val="000000"/>
          <w:kern w:val="0"/>
          <w:sz w:val="32"/>
          <w:szCs w:val="32"/>
          <w:highlight w:val="none"/>
          <w:shd w:val="clear" w:color="auto" w:fill="FFFFFF"/>
          <w:lang w:val="en-US" w:eastAsia="zh-CN"/>
        </w:rPr>
        <w:t>202</w:t>
      </w:r>
      <w:r>
        <w:rPr>
          <w:rFonts w:hint="eastAsia" w:ascii="仿宋_GB2312" w:hAnsi="微软雅黑" w:cs="仿宋_GB2312"/>
          <w:color w:val="000000"/>
          <w:kern w:val="0"/>
          <w:sz w:val="32"/>
          <w:szCs w:val="32"/>
          <w:highlight w:val="none"/>
          <w:shd w:val="clear" w:color="auto" w:fill="FFFFFF"/>
          <w:lang w:val="en-US" w:eastAsia="zh-CN"/>
        </w:rPr>
        <w:t>3</w:t>
      </w:r>
      <w:r>
        <w:rPr>
          <w:rFonts w:hint="eastAsia" w:ascii="仿宋_GB2312" w:hAnsi="微软雅黑" w:eastAsia="仿宋_GB2312" w:cs="仿宋_GB2312"/>
          <w:color w:val="000000"/>
          <w:kern w:val="0"/>
          <w:sz w:val="32"/>
          <w:szCs w:val="32"/>
          <w:highlight w:val="none"/>
          <w:shd w:val="clear" w:color="auto" w:fill="FFFFFF"/>
          <w:lang w:val="en-US" w:eastAsia="zh-CN"/>
        </w:rPr>
        <w:t>年基本支出1495.55万元，其中人员经费</w:t>
      </w:r>
      <w:r>
        <w:rPr>
          <w:rFonts w:hint="eastAsia" w:ascii="仿宋_GB2312" w:hAnsi="微软雅黑" w:cs="仿宋_GB2312"/>
          <w:color w:val="000000"/>
          <w:kern w:val="0"/>
          <w:sz w:val="32"/>
          <w:szCs w:val="32"/>
          <w:highlight w:val="none"/>
          <w:shd w:val="clear" w:color="auto" w:fill="FFFFFF"/>
          <w:lang w:val="en-US" w:eastAsia="zh-CN"/>
        </w:rPr>
        <w:t>1122.06</w:t>
      </w:r>
      <w:r>
        <w:rPr>
          <w:rFonts w:hint="eastAsia" w:ascii="仿宋_GB2312" w:hAnsi="微软雅黑" w:eastAsia="仿宋_GB2312" w:cs="仿宋_GB2312"/>
          <w:color w:val="000000"/>
          <w:kern w:val="0"/>
          <w:sz w:val="32"/>
          <w:szCs w:val="32"/>
          <w:highlight w:val="none"/>
          <w:shd w:val="clear" w:color="auto" w:fill="FFFFFF"/>
          <w:lang w:val="en-US" w:eastAsia="zh-CN"/>
        </w:rPr>
        <w:t>万元，主要用于局机关及下属机构的基本工资、津贴补贴、绩效奖、机关事业单位基本养老保险缴费、其他社会保障缴费、其他工资福利支出等。公用经费</w:t>
      </w:r>
      <w:r>
        <w:rPr>
          <w:rFonts w:hint="eastAsia" w:ascii="仿宋_GB2312" w:hAnsi="微软雅黑" w:cs="仿宋_GB2312"/>
          <w:color w:val="000000"/>
          <w:kern w:val="0"/>
          <w:sz w:val="32"/>
          <w:szCs w:val="32"/>
          <w:highlight w:val="none"/>
          <w:shd w:val="clear" w:color="auto" w:fill="FFFFFF"/>
          <w:lang w:val="en-US" w:eastAsia="zh-CN"/>
        </w:rPr>
        <w:t>182.22</w:t>
      </w:r>
      <w:r>
        <w:rPr>
          <w:rFonts w:hint="eastAsia" w:ascii="仿宋_GB2312" w:hAnsi="微软雅黑" w:eastAsia="仿宋_GB2312" w:cs="仿宋_GB2312"/>
          <w:color w:val="000000"/>
          <w:kern w:val="0"/>
          <w:sz w:val="32"/>
          <w:szCs w:val="32"/>
          <w:highlight w:val="none"/>
          <w:shd w:val="clear" w:color="auto" w:fill="FFFFFF"/>
          <w:lang w:val="en-US" w:eastAsia="zh-CN"/>
        </w:rPr>
        <w:t>万元，主要包括：办公费、手续费、水费、电费、邮电费、差旅费、维修（护）费、培训费、公务接待费、劳务费、工会经费、福利费、其他交通费、其他商品和服务支出等。</w:t>
      </w:r>
    </w:p>
    <w:p>
      <w:pPr>
        <w:keepNext w:val="0"/>
        <w:keepLines w:val="0"/>
        <w:pageBreakBefore w:val="0"/>
        <w:numPr>
          <w:ilvl w:val="0"/>
          <w:numId w:val="0"/>
        </w:numPr>
        <w:kinsoku/>
        <w:wordWrap/>
        <w:overflowPunct/>
        <w:topLinePunct w:val="0"/>
        <w:autoSpaceDE/>
        <w:bidi w:val="0"/>
        <w:spacing w:line="600" w:lineRule="exact"/>
        <w:ind w:right="0" w:rightChars="0"/>
        <w:textAlignment w:val="auto"/>
        <w:outlineLvl w:val="9"/>
        <w:rPr>
          <w:rFonts w:ascii="仿宋_GB2312" w:hAnsi="微软雅黑" w:eastAsia="仿宋_GB2312" w:cs="仿宋_GB2312"/>
          <w:color w:val="000000"/>
          <w:kern w:val="0"/>
          <w:sz w:val="32"/>
          <w:szCs w:val="32"/>
          <w:shd w:val="clear" w:color="auto" w:fill="FFFFFF"/>
          <w:lang w:val="en-US" w:eastAsia="zh-CN"/>
        </w:rPr>
      </w:pPr>
      <w:r>
        <w:rPr>
          <w:rFonts w:hint="eastAsia" w:ascii="楷体_GB2312" w:hAnsi="Times New Roman" w:eastAsia="楷体_GB2312" w:cs="Times New Roman"/>
          <w:b/>
          <w:kern w:val="2"/>
          <w:sz w:val="32"/>
          <w:szCs w:val="32"/>
          <w:lang w:val="en-US" w:eastAsia="zh-CN" w:bidi="ar-SA"/>
        </w:rPr>
        <w:t xml:space="preserve">  （二）项目支出情况</w:t>
      </w:r>
    </w:p>
    <w:p>
      <w:pPr>
        <w:keepNext w:val="0"/>
        <w:keepLines w:val="0"/>
        <w:pageBreakBefore w:val="0"/>
        <w:numPr>
          <w:ilvl w:val="0"/>
          <w:numId w:val="0"/>
        </w:numPr>
        <w:kinsoku/>
        <w:wordWrap/>
        <w:overflowPunct/>
        <w:topLinePunct w:val="0"/>
        <w:autoSpaceDE/>
        <w:bidi w:val="0"/>
        <w:spacing w:line="600" w:lineRule="exact"/>
        <w:ind w:left="0" w:leftChars="0" w:right="0" w:rightChars="0" w:firstLine="632" w:firstLineChars="200"/>
        <w:textAlignment w:val="auto"/>
        <w:outlineLvl w:val="9"/>
        <w:rPr>
          <w:rFonts w:hint="eastAsia" w:ascii="仿宋_GB2312" w:hAnsi="微软雅黑" w:eastAsia="仿宋_GB2312" w:cs="仿宋_GB2312"/>
          <w:color w:val="000000"/>
          <w:kern w:val="0"/>
          <w:sz w:val="32"/>
          <w:szCs w:val="32"/>
          <w:shd w:val="clear" w:color="auto" w:fill="FFFFFF"/>
          <w:lang w:val="en-US" w:eastAsia="zh-CN"/>
        </w:rPr>
      </w:pPr>
      <w:r>
        <w:rPr>
          <w:rFonts w:hint="eastAsia" w:ascii="仿宋_GB2312" w:hAnsi="微软雅黑" w:eastAsia="仿宋_GB2312" w:cs="仿宋_GB2312"/>
          <w:color w:val="000000"/>
          <w:kern w:val="0"/>
          <w:sz w:val="32"/>
          <w:szCs w:val="32"/>
          <w:shd w:val="clear" w:color="auto" w:fill="FFFFFF"/>
          <w:lang w:val="en-US" w:eastAsia="zh-CN"/>
        </w:rPr>
        <w:t>202</w:t>
      </w:r>
      <w:r>
        <w:rPr>
          <w:rFonts w:hint="eastAsia" w:ascii="仿宋_GB2312" w:hAnsi="微软雅黑" w:cs="仿宋_GB2312"/>
          <w:color w:val="000000"/>
          <w:kern w:val="0"/>
          <w:sz w:val="32"/>
          <w:szCs w:val="32"/>
          <w:shd w:val="clear" w:color="auto" w:fill="FFFFFF"/>
          <w:lang w:val="en-US" w:eastAsia="zh-CN"/>
        </w:rPr>
        <w:t>3</w:t>
      </w:r>
      <w:r>
        <w:rPr>
          <w:rFonts w:hint="eastAsia" w:ascii="仿宋_GB2312" w:hAnsi="微软雅黑" w:eastAsia="仿宋_GB2312" w:cs="仿宋_GB2312"/>
          <w:color w:val="000000"/>
          <w:kern w:val="0"/>
          <w:sz w:val="32"/>
          <w:szCs w:val="32"/>
          <w:shd w:val="clear" w:color="auto" w:fill="FFFFFF"/>
          <w:lang w:val="en-US" w:eastAsia="zh-CN"/>
        </w:rPr>
        <w:t>年项目支出</w:t>
      </w:r>
      <w:r>
        <w:rPr>
          <w:rFonts w:hint="eastAsia" w:ascii="仿宋_GB2312" w:hAnsi="微软雅黑" w:cs="仿宋_GB2312"/>
          <w:color w:val="000000"/>
          <w:kern w:val="0"/>
          <w:sz w:val="32"/>
          <w:szCs w:val="32"/>
          <w:shd w:val="clear" w:color="auto" w:fill="FFFFFF"/>
          <w:lang w:val="en-US" w:eastAsia="zh-CN"/>
        </w:rPr>
        <w:t>362.39</w:t>
      </w:r>
      <w:r>
        <w:rPr>
          <w:rFonts w:hint="eastAsia" w:ascii="仿宋_GB2312" w:hAnsi="微软雅黑" w:eastAsia="仿宋_GB2312" w:cs="仿宋_GB2312"/>
          <w:color w:val="000000"/>
          <w:kern w:val="0"/>
          <w:sz w:val="32"/>
          <w:szCs w:val="32"/>
          <w:shd w:val="clear" w:color="auto" w:fill="FFFFFF"/>
          <w:lang w:val="en-US" w:eastAsia="zh-CN"/>
        </w:rPr>
        <w:t>万元，主要用于</w:t>
      </w:r>
      <w:r>
        <w:rPr>
          <w:rFonts w:hint="eastAsia" w:ascii="仿宋_GB2312" w:hAnsi="微软雅黑" w:cs="仿宋_GB2312"/>
          <w:color w:val="000000"/>
          <w:kern w:val="0"/>
          <w:sz w:val="32"/>
          <w:szCs w:val="32"/>
          <w:shd w:val="clear" w:color="auto" w:fill="FFFFFF"/>
          <w:lang w:val="en-US" w:eastAsia="zh-CN"/>
        </w:rPr>
        <w:t>部门预算、财政法治宣传教育、财政监察、</w:t>
      </w:r>
      <w:r>
        <w:rPr>
          <w:rFonts w:hint="eastAsia" w:ascii="仿宋_GB2312" w:hAnsi="微软雅黑" w:eastAsia="仿宋_GB2312" w:cs="仿宋_GB2312"/>
          <w:color w:val="000000"/>
          <w:kern w:val="0"/>
          <w:sz w:val="32"/>
          <w:szCs w:val="32"/>
          <w:shd w:val="clear" w:color="auto" w:fill="FFFFFF"/>
          <w:lang w:val="en-US" w:eastAsia="zh-CN"/>
        </w:rPr>
        <w:t>财政信息化建设及维护、非税票据工本费、国有资产管理、</w:t>
      </w:r>
      <w:r>
        <w:rPr>
          <w:rFonts w:hint="eastAsia" w:ascii="仿宋_GB2312" w:hAnsi="微软雅黑" w:cs="仿宋_GB2312"/>
          <w:color w:val="000000"/>
          <w:kern w:val="0"/>
          <w:sz w:val="32"/>
          <w:szCs w:val="32"/>
          <w:shd w:val="clear" w:color="auto" w:fill="FFFFFF"/>
          <w:lang w:val="en-US" w:eastAsia="zh-CN"/>
        </w:rPr>
        <w:t>政府采购业务</w:t>
      </w:r>
      <w:r>
        <w:rPr>
          <w:rFonts w:hint="eastAsia" w:ascii="仿宋_GB2312" w:hAnsi="微软雅黑" w:eastAsia="仿宋_GB2312" w:cs="仿宋_GB2312"/>
          <w:color w:val="000000"/>
          <w:kern w:val="0"/>
          <w:sz w:val="32"/>
          <w:szCs w:val="32"/>
          <w:shd w:val="clear" w:color="auto" w:fill="FFFFFF"/>
          <w:lang w:val="en-US" w:eastAsia="zh-CN"/>
        </w:rPr>
        <w:t>、地方政府性债务</w:t>
      </w:r>
      <w:r>
        <w:rPr>
          <w:rFonts w:hint="eastAsia" w:ascii="仿宋_GB2312" w:hAnsi="微软雅黑" w:cs="仿宋_GB2312"/>
          <w:color w:val="000000"/>
          <w:kern w:val="0"/>
          <w:sz w:val="32"/>
          <w:szCs w:val="32"/>
          <w:shd w:val="clear" w:color="auto" w:fill="FFFFFF"/>
          <w:lang w:val="en-US" w:eastAsia="zh-CN"/>
        </w:rPr>
        <w:t>管理工作经费、非税网络维护、国库集中支付、国有资产管理、绩效评价工作经费、预决算汇编、预算基本数据库</w:t>
      </w:r>
      <w:r>
        <w:rPr>
          <w:rFonts w:hint="eastAsia" w:ascii="仿宋_GB2312" w:hAnsi="微软雅黑" w:eastAsia="仿宋_GB2312" w:cs="仿宋_GB2312"/>
          <w:color w:val="000000"/>
          <w:kern w:val="0"/>
          <w:sz w:val="32"/>
          <w:szCs w:val="32"/>
          <w:shd w:val="clear" w:color="auto" w:fill="FFFFFF"/>
          <w:lang w:val="en-US" w:eastAsia="zh-CN"/>
        </w:rPr>
        <w:t>支出等项目</w:t>
      </w:r>
      <w:r>
        <w:rPr>
          <w:rFonts w:hint="eastAsia" w:ascii="仿宋_GB2312" w:hAnsi="微软雅黑" w:cs="仿宋_GB2312"/>
          <w:color w:val="000000"/>
          <w:kern w:val="0"/>
          <w:sz w:val="32"/>
          <w:szCs w:val="32"/>
          <w:shd w:val="clear" w:color="auto" w:fill="FFFFFF"/>
          <w:lang w:val="en-US" w:eastAsia="zh-CN"/>
        </w:rPr>
        <w:t>支出</w:t>
      </w:r>
      <w:r>
        <w:rPr>
          <w:rFonts w:hint="eastAsia" w:ascii="仿宋_GB2312" w:hAnsi="微软雅黑" w:eastAsia="仿宋_GB2312" w:cs="仿宋_GB2312"/>
          <w:color w:val="000000"/>
          <w:kern w:val="0"/>
          <w:sz w:val="32"/>
          <w:szCs w:val="32"/>
          <w:shd w:val="clear" w:color="auto" w:fill="FFFFFF"/>
          <w:lang w:val="en-US" w:eastAsia="zh-CN"/>
        </w:rPr>
        <w:t>。</w:t>
      </w:r>
    </w:p>
    <w:p>
      <w:pPr>
        <w:keepNext w:val="0"/>
        <w:keepLines w:val="0"/>
        <w:pageBreakBefore w:val="0"/>
        <w:widowControl/>
        <w:numPr>
          <w:ilvl w:val="0"/>
          <w:numId w:val="0"/>
        </w:numPr>
        <w:kinsoku/>
        <w:wordWrap/>
        <w:overflowPunct/>
        <w:topLinePunct w:val="0"/>
        <w:autoSpaceDE/>
        <w:autoSpaceDN w:val="0"/>
        <w:bidi w:val="0"/>
        <w:spacing w:line="600" w:lineRule="exact"/>
        <w:ind w:right="0" w:rightChars="0"/>
        <w:textAlignment w:val="auto"/>
        <w:outlineLvl w:val="9"/>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val="en-US" w:eastAsia="zh-CN"/>
        </w:rPr>
        <w:t xml:space="preserve">  三、</w:t>
      </w:r>
      <w:r>
        <w:rPr>
          <w:rFonts w:hint="eastAsia" w:ascii="黑体" w:hAnsi="黑体" w:eastAsia="黑体" w:cs="宋体"/>
          <w:color w:val="000000"/>
          <w:kern w:val="0"/>
          <w:sz w:val="32"/>
          <w:szCs w:val="32"/>
        </w:rPr>
        <w:t>部门整体支出绩效情况</w:t>
      </w:r>
    </w:p>
    <w:p>
      <w:pPr>
        <w:keepNext w:val="0"/>
        <w:keepLines w:val="0"/>
        <w:pageBreakBefore w:val="0"/>
        <w:numPr>
          <w:ilvl w:val="0"/>
          <w:numId w:val="0"/>
        </w:numPr>
        <w:kinsoku/>
        <w:wordWrap/>
        <w:overflowPunct/>
        <w:topLinePunct w:val="0"/>
        <w:autoSpaceDE/>
        <w:bidi w:val="0"/>
        <w:adjustRightInd w:val="0"/>
        <w:snapToGrid w:val="0"/>
        <w:spacing w:line="600" w:lineRule="exact"/>
        <w:ind w:right="0" w:rightChars="0"/>
        <w:textAlignment w:val="auto"/>
        <w:outlineLvl w:val="9"/>
        <w:rPr>
          <w:rFonts w:hint="eastAsia" w:ascii="仿宋_GB2312" w:hAnsi="仿宋" w:eastAsia="仿宋_GB2312" w:cs="仿宋"/>
          <w:sz w:val="32"/>
          <w:szCs w:val="32"/>
        </w:rPr>
      </w:pPr>
      <w:r>
        <w:rPr>
          <w:rFonts w:hint="eastAsia" w:ascii="仿宋_GB2312" w:hAnsi="仿宋" w:cs="仿宋"/>
          <w:sz w:val="32"/>
          <w:szCs w:val="32"/>
          <w:lang w:val="en-US" w:eastAsia="zh-CN"/>
        </w:rPr>
        <w:t xml:space="preserve">    2023年我局</w:t>
      </w:r>
      <w:r>
        <w:rPr>
          <w:rFonts w:hint="eastAsia" w:ascii="仿宋_GB2312" w:hAnsi="仿宋" w:eastAsia="仿宋_GB2312" w:cs="仿宋"/>
          <w:sz w:val="32"/>
          <w:szCs w:val="32"/>
        </w:rPr>
        <w:t>整体支出成果及效益情况分析如下：</w:t>
      </w:r>
    </w:p>
    <w:p>
      <w:pPr>
        <w:keepNext w:val="0"/>
        <w:keepLines w:val="0"/>
        <w:pageBreakBefore w:val="0"/>
        <w:kinsoku/>
        <w:wordWrap/>
        <w:overflowPunct/>
        <w:topLinePunct w:val="0"/>
        <w:autoSpaceDE/>
        <w:bidi w:val="0"/>
        <w:snapToGrid/>
        <w:spacing w:line="600" w:lineRule="exact"/>
        <w:ind w:right="0" w:rightChars="0"/>
        <w:textAlignment w:val="auto"/>
        <w:outlineLvl w:val="9"/>
        <w:rPr>
          <w:rFonts w:hint="eastAsia" w:ascii="仿宋_GB2312" w:hAnsi="仿宋_GB2312" w:eastAsia="仿宋_GB2312" w:cs="仿宋_GB2312"/>
          <w:b/>
          <w:bCs/>
          <w:sz w:val="32"/>
          <w:szCs w:val="32"/>
        </w:rPr>
      </w:pPr>
      <w:r>
        <w:rPr>
          <w:rFonts w:hint="eastAsia" w:ascii="仿宋" w:hAnsi="仿宋" w:eastAsia="仿宋"/>
          <w:b w:val="0"/>
          <w:bCs w:val="0"/>
          <w:sz w:val="32"/>
          <w:szCs w:val="32"/>
          <w:highlight w:val="none"/>
          <w:lang w:val="en-US" w:eastAsia="zh-CN"/>
        </w:rPr>
        <w:t xml:space="preserve">  </w:t>
      </w:r>
      <w:r>
        <w:rPr>
          <w:rFonts w:hint="eastAsia" w:ascii="仿宋" w:hAnsi="仿宋" w:eastAsia="仿宋"/>
          <w:b/>
          <w:bCs/>
          <w:sz w:val="32"/>
          <w:szCs w:val="32"/>
          <w:highlight w:val="none"/>
          <w:lang w:eastAsia="zh-CN"/>
        </w:rPr>
        <w:t>（一）</w:t>
      </w:r>
      <w:r>
        <w:rPr>
          <w:rFonts w:hint="eastAsia" w:ascii="仿宋_GB2312" w:hAnsi="仿宋_GB2312" w:eastAsia="仿宋_GB2312" w:cs="仿宋_GB2312"/>
          <w:b/>
          <w:bCs/>
          <w:sz w:val="32"/>
          <w:szCs w:val="32"/>
        </w:rPr>
        <w:t>强化资金支撑，推进高质量发展</w:t>
      </w:r>
    </w:p>
    <w:p>
      <w:pPr>
        <w:keepNext w:val="0"/>
        <w:keepLines w:val="0"/>
        <w:pageBreakBefore w:val="0"/>
        <w:kinsoku/>
        <w:wordWrap/>
        <w:overflowPunct/>
        <w:topLinePunct w:val="0"/>
        <w:autoSpaceDE/>
        <w:bidi w:val="0"/>
        <w:snapToGrid/>
        <w:spacing w:line="600" w:lineRule="exact"/>
        <w:ind w:right="0" w:rightChars="0" w:firstLine="64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加快主导产业发展。围绕PCB产业延链、补链、强链精准招商，扩增量。二是壮大骨干税源企业。加大资金投入，强存量。实施工业企业入规专项行动，对入库企业进行重点扶持和跟踪服务，动态掌握入库企业情况。三是提升园区发展质量。以“五好”园区建设为抓手，明确了“一主一特”的发展思路，以电子电路板为主导产业，以装备制造为特色产业，以食品加工为优势产业，辅以新材料、新能源等新兴产业。四是加快国有“三资”清查处置。规范国有资产管理，明晰权属，通过账、卡、物全面清理、核对，清理闲置的房屋、土地资产，规范闲置资产管理，提高闲置资产使用率，将闲置资产调剂、依规转让给利用率高的单位，合理利用国有资产，土地资产、房屋资产、车辆资产三类重点资产使用率平均高于95%。有效盘活</w:t>
      </w:r>
      <w:r>
        <w:rPr>
          <w:rFonts w:hint="eastAsia" w:ascii="仿宋_GB2312" w:hAnsi="仿宋_GB2312" w:cs="仿宋_GB2312"/>
          <w:b w:val="0"/>
          <w:bCs w:val="0"/>
          <w:sz w:val="32"/>
          <w:szCs w:val="32"/>
          <w:lang w:eastAsia="zh-CN"/>
        </w:rPr>
        <w:t>了</w:t>
      </w:r>
      <w:r>
        <w:rPr>
          <w:rFonts w:hint="eastAsia" w:ascii="仿宋_GB2312" w:hAnsi="仿宋_GB2312" w:eastAsia="仿宋_GB2312" w:cs="仿宋_GB2312"/>
          <w:b w:val="0"/>
          <w:bCs w:val="0"/>
          <w:sz w:val="32"/>
          <w:szCs w:val="32"/>
        </w:rPr>
        <w:t xml:space="preserve">资源，进一步增强了财政统筹能力。盘活财政存量资金，提高资金使用效率。 </w:t>
      </w:r>
    </w:p>
    <w:p>
      <w:pPr>
        <w:keepNext w:val="0"/>
        <w:keepLines w:val="0"/>
        <w:pageBreakBefore w:val="0"/>
        <w:kinsoku/>
        <w:wordWrap/>
        <w:overflowPunct/>
        <w:topLinePunct w:val="0"/>
        <w:autoSpaceDE/>
        <w:bidi w:val="0"/>
        <w:snapToGrid/>
        <w:spacing w:line="600" w:lineRule="exact"/>
        <w:ind w:right="0" w:rightChars="0" w:firstLine="640"/>
        <w:textAlignment w:val="auto"/>
        <w:outlineLvl w:val="9"/>
        <w:rPr>
          <w:rFonts w:hint="eastAsia" w:ascii="仿宋_GB2312" w:hAnsi="仿宋_GB2312" w:eastAsia="仿宋_GB2312" w:cs="仿宋_GB2312"/>
          <w:b w:val="0"/>
          <w:bCs w:val="0"/>
          <w:sz w:val="32"/>
          <w:szCs w:val="32"/>
        </w:rPr>
      </w:pPr>
      <w:r>
        <w:rPr>
          <w:rFonts w:hint="eastAsia" w:ascii="仿宋" w:hAnsi="仿宋" w:eastAsia="仿宋"/>
          <w:b w:val="0"/>
          <w:bCs w:val="0"/>
          <w:sz w:val="32"/>
          <w:szCs w:val="32"/>
          <w:highlight w:val="none"/>
          <w:lang w:eastAsia="zh-CN"/>
        </w:rPr>
        <w:t>（二）</w:t>
      </w:r>
      <w:r>
        <w:rPr>
          <w:rFonts w:hint="eastAsia" w:ascii="仿宋_GB2312" w:hAnsi="仿宋_GB2312" w:eastAsia="仿宋_GB2312" w:cs="仿宋_GB2312"/>
          <w:b w:val="0"/>
          <w:bCs w:val="0"/>
          <w:sz w:val="32"/>
          <w:szCs w:val="32"/>
        </w:rPr>
        <w:t>优化基本公共服务，切实保障民生民利</w:t>
      </w:r>
    </w:p>
    <w:p>
      <w:pPr>
        <w:keepNext w:val="0"/>
        <w:keepLines w:val="0"/>
        <w:pageBreakBefore w:val="0"/>
        <w:kinsoku/>
        <w:wordWrap/>
        <w:overflowPunct/>
        <w:topLinePunct w:val="0"/>
        <w:autoSpaceDE/>
        <w:bidi w:val="0"/>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一是健全广覆盖社会保障体系。</w:t>
      </w:r>
      <w:r>
        <w:rPr>
          <w:rFonts w:hint="eastAsia" w:ascii="仿宋_GB2312" w:eastAsia="仿宋_GB2312"/>
          <w:b w:val="0"/>
          <w:bCs w:val="0"/>
          <w:sz w:val="32"/>
          <w:szCs w:val="32"/>
        </w:rPr>
        <w:t>稳步提高社会救助保障标准，及时拨付资金支持稳岗就业</w:t>
      </w:r>
      <w:r>
        <w:rPr>
          <w:rFonts w:hint="eastAsia" w:ascii="仿宋_GB2312" w:eastAsia="仿宋_GB2312"/>
          <w:b w:val="0"/>
          <w:bCs w:val="0"/>
          <w:sz w:val="32"/>
          <w:szCs w:val="32"/>
          <w:lang w:eastAsia="zh-CN"/>
        </w:rPr>
        <w:t>。</w:t>
      </w:r>
      <w:r>
        <w:rPr>
          <w:rFonts w:hint="eastAsia" w:ascii="仿宋_GB2312" w:hAnsi="仿宋_GB2312" w:eastAsia="仿宋_GB2312" w:cs="仿宋_GB2312"/>
          <w:b w:val="0"/>
          <w:bCs w:val="0"/>
          <w:sz w:val="32"/>
          <w:szCs w:val="32"/>
        </w:rPr>
        <w:t>二是推动建设高质量教育体系。</w:t>
      </w:r>
      <w:r>
        <w:rPr>
          <w:rFonts w:hint="eastAsia" w:ascii="仿宋_GB2312" w:eastAsia="仿宋_GB2312"/>
          <w:b w:val="0"/>
          <w:bCs w:val="0"/>
          <w:sz w:val="32"/>
          <w:szCs w:val="32"/>
        </w:rPr>
        <w:t>不断优化农村学校基本办学条件，统筹资金巩固“民转公”成果，足额安排预算，满足教师待遇、教师培养等方面资金需求</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加大保障性住房供应力度，解决教师队伍住房难问题。</w:t>
      </w:r>
      <w:r>
        <w:rPr>
          <w:rFonts w:hint="eastAsia" w:ascii="仿宋_GB2312" w:hAnsi="仿宋_GB2312" w:eastAsia="仿宋_GB2312" w:cs="仿宋_GB2312"/>
          <w:b w:val="0"/>
          <w:bCs w:val="0"/>
          <w:sz w:val="32"/>
          <w:szCs w:val="32"/>
        </w:rPr>
        <w:t>三是构建立体式医疗服务体系。</w:t>
      </w:r>
      <w:r>
        <w:rPr>
          <w:rFonts w:hint="eastAsia" w:ascii="仿宋_GB2312" w:hAnsi="仿宋_GB2312" w:eastAsia="仿宋_GB2312" w:cs="仿宋_GB2312"/>
          <w:b w:val="0"/>
          <w:bCs w:val="0"/>
          <w:sz w:val="32"/>
          <w:szCs w:val="32"/>
          <w:lang w:eastAsia="zh-CN"/>
        </w:rPr>
        <w:t>足额安排财政资金，</w:t>
      </w:r>
      <w:r>
        <w:rPr>
          <w:rFonts w:hint="eastAsia" w:ascii="仿宋_GB2312" w:eastAsia="仿宋_GB2312"/>
          <w:b w:val="0"/>
          <w:bCs w:val="0"/>
          <w:sz w:val="32"/>
          <w:szCs w:val="32"/>
        </w:rPr>
        <w:t>持续推进探索区域内公立医院和基层医疗卫生机构资源整合和特色管理模式。</w:t>
      </w:r>
      <w:r>
        <w:rPr>
          <w:rFonts w:hint="eastAsia" w:ascii="仿宋_GB2312" w:hAnsi="仿宋_GB2312" w:eastAsia="仿宋_GB2312" w:cs="仿宋_GB2312"/>
          <w:b w:val="0"/>
          <w:bCs w:val="0"/>
          <w:sz w:val="32"/>
          <w:szCs w:val="32"/>
        </w:rPr>
        <w:t>四是完善多层次住房保障体系。</w:t>
      </w:r>
      <w:r>
        <w:rPr>
          <w:rFonts w:hint="eastAsia" w:ascii="仿宋_GB2312" w:hAnsi="仿宋_GB2312" w:eastAsia="仿宋_GB2312" w:cs="仿宋_GB2312"/>
          <w:b w:val="0"/>
          <w:bCs w:val="0"/>
          <w:kern w:val="2"/>
          <w:sz w:val="32"/>
          <w:szCs w:val="32"/>
        </w:rPr>
        <w:t>继续实施中心城区购房补贴，引导有需求的市民改善住房条件。</w:t>
      </w:r>
      <w:r>
        <w:rPr>
          <w:rFonts w:hint="eastAsia" w:ascii="仿宋_GB2312" w:hAnsi="仿宋_GB2312" w:eastAsia="仿宋_GB2312" w:cs="仿宋_GB2312"/>
          <w:b w:val="0"/>
          <w:bCs w:val="0"/>
          <w:sz w:val="32"/>
          <w:szCs w:val="32"/>
        </w:rPr>
        <w:t>五是发展有特色文旅事业。</w:t>
      </w:r>
    </w:p>
    <w:p>
      <w:pPr>
        <w:keepNext w:val="0"/>
        <w:keepLines w:val="0"/>
        <w:pageBreakBefore w:val="0"/>
        <w:numPr>
          <w:ilvl w:val="0"/>
          <w:numId w:val="1"/>
        </w:numPr>
        <w:kinsoku/>
        <w:wordWrap/>
        <w:overflowPunct/>
        <w:topLinePunct w:val="0"/>
        <w:autoSpaceDE/>
        <w:bidi w:val="0"/>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控增量、减存量，有效防范地方政府债务风险</w:t>
      </w:r>
    </w:p>
    <w:p>
      <w:pPr>
        <w:keepNext w:val="0"/>
        <w:keepLines w:val="0"/>
        <w:pageBreakBefore w:val="0"/>
        <w:numPr>
          <w:ilvl w:val="0"/>
          <w:numId w:val="0"/>
        </w:numPr>
        <w:kinsoku/>
        <w:wordWrap/>
        <w:overflowPunct/>
        <w:topLinePunct w:val="0"/>
        <w:autoSpaceDE/>
        <w:bidi w:val="0"/>
        <w:snapToGrid/>
        <w:spacing w:line="600" w:lineRule="exact"/>
        <w:ind w:right="0" w:rightChars="0"/>
        <w:textAlignment w:val="auto"/>
        <w:outlineLvl w:val="9"/>
        <w:rPr>
          <w:rFonts w:hint="eastAsia" w:ascii="仿宋_GB2312" w:hAnsi="仿宋_GB2312" w:cs="仿宋_GB2312"/>
          <w:b w:val="0"/>
          <w:bCs w:val="0"/>
          <w:sz w:val="32"/>
          <w:szCs w:val="32"/>
          <w:lang w:eastAsia="zh-CN"/>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一是坚持无资金来源不立项，严控政府债务规模。从严从紧对立项项目进行可行性论证，严把资金来源审核关，从源头防范债务风险。二是精准把控、动态监测债务风险。提前三个月进行还本付息调度，从严从紧对立项项目进行可行性论证，严把资金来源审核关。三是按计划化解隐性债务存量。将全年化债任务分解到月、到单位、到项目。持续推进隐性债务化解工作，确保地方债务风险等级稳定在</w:t>
      </w:r>
      <w:r>
        <w:rPr>
          <w:rFonts w:hint="eastAsia" w:ascii="仿宋_GB2312" w:hAnsi="仿宋_GB2312" w:eastAsia="仿宋_GB2312" w:cs="仿宋_GB2312"/>
          <w:b w:val="0"/>
          <w:bCs w:val="0"/>
          <w:sz w:val="32"/>
          <w:szCs w:val="32"/>
          <w:lang w:eastAsia="zh-CN"/>
        </w:rPr>
        <w:t>合理区间</w:t>
      </w:r>
      <w:r>
        <w:rPr>
          <w:rFonts w:hint="eastAsia" w:ascii="仿宋_GB2312" w:hAnsi="仿宋_GB2312" w:cs="仿宋_GB2312"/>
          <w:b w:val="0"/>
          <w:bCs w:val="0"/>
          <w:sz w:val="32"/>
          <w:szCs w:val="32"/>
          <w:lang w:eastAsia="zh-CN"/>
        </w:rPr>
        <w:t>。</w:t>
      </w:r>
    </w:p>
    <w:p>
      <w:pPr>
        <w:keepNext w:val="0"/>
        <w:keepLines w:val="0"/>
        <w:pageBreakBefore w:val="0"/>
        <w:numPr>
          <w:ilvl w:val="0"/>
          <w:numId w:val="0"/>
        </w:numPr>
        <w:kinsoku/>
        <w:wordWrap/>
        <w:overflowPunct/>
        <w:topLinePunct w:val="0"/>
        <w:autoSpaceDE/>
        <w:bidi w:val="0"/>
        <w:snapToGrid/>
        <w:spacing w:line="600" w:lineRule="exact"/>
        <w:ind w:right="0" w:rightChars="0"/>
        <w:textAlignment w:val="auto"/>
        <w:outlineLvl w:val="9"/>
        <w:rPr>
          <w:rFonts w:hint="eastAsia" w:ascii="仿宋_GB2312" w:hAnsi="仿宋_GB2312" w:eastAsia="仿宋_GB2312" w:cs="仿宋_GB2312"/>
          <w:b w:val="0"/>
          <w:bCs w:val="0"/>
          <w:sz w:val="32"/>
          <w:szCs w:val="32"/>
        </w:rPr>
      </w:pPr>
      <w:r>
        <w:rPr>
          <w:rFonts w:hint="eastAsia" w:ascii="仿宋" w:hAnsi="仿宋" w:eastAsia="仿宋"/>
          <w:b w:val="0"/>
          <w:bCs w:val="0"/>
          <w:sz w:val="32"/>
          <w:szCs w:val="32"/>
          <w:highlight w:val="none"/>
          <w:lang w:val="en-US" w:eastAsia="zh-CN"/>
        </w:rPr>
        <w:t xml:space="preserve">    </w:t>
      </w:r>
      <w:r>
        <w:rPr>
          <w:rFonts w:hint="eastAsia" w:ascii="仿宋" w:hAnsi="仿宋" w:eastAsia="仿宋"/>
          <w:b w:val="0"/>
          <w:bCs w:val="0"/>
          <w:sz w:val="32"/>
          <w:szCs w:val="32"/>
          <w:highlight w:val="none"/>
          <w:lang w:eastAsia="zh-CN"/>
        </w:rPr>
        <w:t>（四）</w:t>
      </w:r>
      <w:r>
        <w:rPr>
          <w:rFonts w:hint="eastAsia" w:ascii="仿宋_GB2312" w:hAnsi="仿宋_GB2312" w:eastAsia="仿宋_GB2312" w:cs="仿宋_GB2312"/>
          <w:b w:val="0"/>
          <w:bCs w:val="0"/>
          <w:sz w:val="32"/>
          <w:szCs w:val="32"/>
        </w:rPr>
        <w:t>推进乡村振兴，增强区域发展平衡性协调性</w:t>
      </w:r>
    </w:p>
    <w:p>
      <w:pPr>
        <w:keepNext w:val="0"/>
        <w:keepLines w:val="0"/>
        <w:pageBreakBefore w:val="0"/>
        <w:kinsoku/>
        <w:wordWrap/>
        <w:overflowPunct/>
        <w:topLinePunct w:val="0"/>
        <w:autoSpaceDE/>
        <w:bidi w:val="0"/>
        <w:snapToGrid/>
        <w:spacing w:line="600" w:lineRule="exact"/>
        <w:ind w:right="0" w:rightChars="0"/>
        <w:textAlignment w:val="auto"/>
        <w:outlineLvl w:val="9"/>
        <w:rPr>
          <w:rFonts w:hint="eastAsia" w:ascii="仿宋_GB2312" w:hAnsi="仿宋_GB2312" w:eastAsia="仿宋_GB2312" w:cs="仿宋_GB2312"/>
          <w:b w:val="0"/>
          <w:bCs w:val="0"/>
          <w:sz w:val="32"/>
          <w:szCs w:val="32"/>
        </w:rPr>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一是全方位夯实粮食安全根基。坚决把耕地保有量和永久基本农田保护目标任务足额带位置落实到位。二是巩固拓展脱贫攻坚成果。积极筹措资金投入乡村振兴发展，对照国家脱贫攻坚成果后评估要求，扎实做好有效衔接工作。三是推进宜居宜业和美</w:t>
      </w:r>
      <w:r>
        <w:rPr>
          <w:rFonts w:hint="eastAsia" w:ascii="仿宋_GB2312" w:hAnsi="仿宋_GB2312" w:eastAsia="仿宋_GB2312" w:cs="仿宋_GB2312"/>
          <w:b w:val="0"/>
          <w:bCs w:val="0"/>
          <w:sz w:val="32"/>
          <w:szCs w:val="32"/>
          <w:lang w:eastAsia="zh-CN"/>
        </w:rPr>
        <w:t>丽</w:t>
      </w:r>
      <w:r>
        <w:rPr>
          <w:rFonts w:hint="eastAsia" w:ascii="仿宋_GB2312" w:hAnsi="仿宋_GB2312" w:eastAsia="仿宋_GB2312" w:cs="仿宋_GB2312"/>
          <w:b w:val="0"/>
          <w:bCs w:val="0"/>
          <w:sz w:val="32"/>
          <w:szCs w:val="32"/>
        </w:rPr>
        <w:t>乡村建设。</w:t>
      </w:r>
    </w:p>
    <w:p>
      <w:pPr>
        <w:keepNext w:val="0"/>
        <w:keepLines w:val="0"/>
        <w:pageBreakBefore w:val="0"/>
        <w:kinsoku/>
        <w:wordWrap/>
        <w:overflowPunct/>
        <w:topLinePunct w:val="0"/>
        <w:autoSpaceDE/>
        <w:bidi w:val="0"/>
        <w:snapToGrid/>
        <w:spacing w:line="600" w:lineRule="exact"/>
        <w:ind w:right="0" w:rightChars="0"/>
        <w:textAlignment w:val="auto"/>
        <w:outlineLvl w:val="9"/>
        <w:rPr>
          <w:rFonts w:ascii="仿宋_GB2312" w:hAnsi="仿宋_GB2312" w:eastAsia="仿宋_GB2312" w:cs="仿宋_GB2312"/>
          <w:b w:val="0"/>
          <w:bCs w:val="0"/>
          <w:sz w:val="32"/>
          <w:szCs w:val="32"/>
        </w:rPr>
      </w:pPr>
      <w:bookmarkStart w:id="0" w:name="_Hlk108386387"/>
      <w:r>
        <w:rPr>
          <w:rFonts w:hint="eastAsia" w:ascii="仿宋" w:hAnsi="仿宋" w:eastAsia="仿宋"/>
          <w:b w:val="0"/>
          <w:bCs w:val="0"/>
          <w:sz w:val="32"/>
          <w:szCs w:val="32"/>
          <w:highlight w:val="none"/>
          <w:lang w:val="en-US" w:eastAsia="zh-CN"/>
        </w:rPr>
        <w:t xml:space="preserve">    </w:t>
      </w:r>
      <w:r>
        <w:rPr>
          <w:rFonts w:hint="eastAsia" w:ascii="仿宋" w:hAnsi="仿宋" w:eastAsia="仿宋"/>
          <w:b w:val="0"/>
          <w:bCs w:val="0"/>
          <w:sz w:val="32"/>
          <w:szCs w:val="32"/>
          <w:highlight w:val="none"/>
          <w:lang w:eastAsia="zh-CN"/>
        </w:rPr>
        <w:t>（五）</w:t>
      </w:r>
      <w:r>
        <w:rPr>
          <w:rFonts w:hint="eastAsia" w:ascii="仿宋_GB2312" w:hAnsi="仿宋_GB2312" w:eastAsia="仿宋_GB2312" w:cs="仿宋_GB2312"/>
          <w:b w:val="0"/>
          <w:bCs w:val="0"/>
          <w:sz w:val="32"/>
          <w:szCs w:val="32"/>
        </w:rPr>
        <w:t>深化财政改革，提高财政管理水平</w:t>
      </w:r>
    </w:p>
    <w:p>
      <w:pPr>
        <w:keepNext w:val="0"/>
        <w:keepLines w:val="0"/>
        <w:pageBreakBefore w:val="0"/>
        <w:kinsoku/>
        <w:wordWrap/>
        <w:overflowPunct/>
        <w:topLinePunct w:val="0"/>
        <w:autoSpaceDE/>
        <w:bidi w:val="0"/>
        <w:snapToGrid/>
        <w:spacing w:line="600" w:lineRule="exact"/>
        <w:ind w:right="0" w:rightChars="0"/>
        <w:textAlignment w:val="auto"/>
        <w:outlineLvl w:val="9"/>
      </w:pPr>
      <w:r>
        <w:rPr>
          <w:rFonts w:hint="eastAsia" w:ascii="仿宋_GB2312" w:hAnsi="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财政改革工作连续多年获省</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市肯定，财政管理不断规范。一是严格落实政府“过紧日子”要求。</w:t>
      </w:r>
      <w:bookmarkEnd w:id="0"/>
      <w:r>
        <w:rPr>
          <w:rFonts w:hint="eastAsia" w:ascii="仿宋_GB2312" w:hAnsi="仿宋_GB2312" w:eastAsia="仿宋_GB2312" w:cs="仿宋_GB2312"/>
          <w:b w:val="0"/>
          <w:bCs w:val="0"/>
          <w:sz w:val="32"/>
          <w:szCs w:val="32"/>
          <w:lang w:eastAsia="zh-CN"/>
        </w:rPr>
        <w:t>一</w:t>
      </w:r>
      <w:r>
        <w:rPr>
          <w:rFonts w:hint="eastAsia" w:ascii="仿宋_GB2312" w:hAnsi="仿宋_GB2312" w:eastAsia="仿宋_GB2312" w:cs="仿宋_GB2312"/>
          <w:b w:val="0"/>
          <w:bCs w:val="0"/>
          <w:sz w:val="32"/>
          <w:szCs w:val="32"/>
        </w:rPr>
        <w:t>般性支出持续压减，建立节约型财政保障机制。二是积极打造国库集中支付管理新模式。三是进一步规范</w:t>
      </w:r>
      <w:r>
        <w:rPr>
          <w:rFonts w:hint="eastAsia" w:ascii="仿宋_GB2312" w:hAnsi="仿宋_GB2312" w:eastAsia="仿宋_GB2312" w:cs="仿宋_GB2312"/>
          <w:b w:val="0"/>
          <w:bCs w:val="0"/>
          <w:sz w:val="32"/>
          <w:szCs w:val="32"/>
          <w:lang w:eastAsia="zh-CN"/>
        </w:rPr>
        <w:t>财评</w:t>
      </w:r>
      <w:r>
        <w:rPr>
          <w:rFonts w:hint="eastAsia" w:ascii="仿宋_GB2312" w:hAnsi="仿宋_GB2312" w:eastAsia="仿宋_GB2312" w:cs="仿宋_GB2312"/>
          <w:b w:val="0"/>
          <w:bCs w:val="0"/>
          <w:sz w:val="32"/>
          <w:szCs w:val="32"/>
        </w:rPr>
        <w:t>流程。发挥评审作用，服务财政管理和改革。四是实现政府采购项目全方位监管。五是强化预算绩效管理。六是加强财会监督职能。</w:t>
      </w:r>
    </w:p>
    <w:p>
      <w:pPr>
        <w:keepNext w:val="0"/>
        <w:keepLines w:val="0"/>
        <w:pageBreakBefore w:val="0"/>
        <w:widowControl/>
        <w:kinsoku/>
        <w:wordWrap/>
        <w:overflowPunct/>
        <w:topLinePunct w:val="0"/>
        <w:autoSpaceDE/>
        <w:autoSpaceDN w:val="0"/>
        <w:bidi w:val="0"/>
        <w:spacing w:line="600" w:lineRule="exact"/>
        <w:ind w:left="0" w:leftChars="0" w:right="0" w:rightChars="0"/>
        <w:textAlignment w:val="auto"/>
        <w:outlineLvl w:val="9"/>
        <w:rPr>
          <w:rFonts w:ascii="黑体" w:hAnsi="黑体" w:eastAsia="黑体" w:cs="宋体"/>
          <w:color w:val="000000"/>
          <w:kern w:val="0"/>
          <w:sz w:val="32"/>
          <w:szCs w:val="32"/>
        </w:rPr>
      </w:pPr>
      <w:r>
        <w:rPr>
          <w:rFonts w:ascii="??_GB2312" w:hAnsi="仿宋" w:eastAsia="Times New Roman" w:cs="宋体"/>
          <w:color w:val="000000"/>
          <w:kern w:val="0"/>
          <w:sz w:val="32"/>
          <w:szCs w:val="32"/>
        </w:rPr>
        <w:t xml:space="preserve">    </w:t>
      </w:r>
      <w:r>
        <w:rPr>
          <w:rFonts w:hint="eastAsia" w:ascii="??_GB2312" w:hAnsi="仿宋" w:cs="宋体"/>
          <w:color w:val="000000"/>
          <w:kern w:val="0"/>
          <w:sz w:val="32"/>
          <w:szCs w:val="32"/>
        </w:rPr>
        <w:t xml:space="preserve"> </w:t>
      </w:r>
      <w:r>
        <w:rPr>
          <w:rFonts w:hint="eastAsia" w:ascii="黑体" w:hAnsi="黑体" w:eastAsia="黑体" w:cs="宋体"/>
          <w:color w:val="000000"/>
          <w:kern w:val="0"/>
          <w:sz w:val="32"/>
          <w:szCs w:val="32"/>
        </w:rPr>
        <w:t>四、总体评价和自评得分情况</w:t>
      </w:r>
    </w:p>
    <w:p>
      <w:pPr>
        <w:pStyle w:val="8"/>
        <w:keepNext w:val="0"/>
        <w:keepLines w:val="0"/>
        <w:pageBreakBefore w:val="0"/>
        <w:widowControl/>
        <w:kinsoku/>
        <w:wordWrap/>
        <w:overflowPunct/>
        <w:topLinePunct w:val="0"/>
        <w:autoSpaceDE/>
        <w:bidi w:val="0"/>
        <w:spacing w:line="600" w:lineRule="exact"/>
        <w:ind w:left="0" w:leftChars="0" w:right="0" w:rightChars="0" w:firstLine="640"/>
        <w:jc w:val="left"/>
        <w:textAlignment w:val="auto"/>
        <w:outlineLvl w:val="9"/>
        <w:rPr>
          <w:rFonts w:hint="eastAsia" w:ascii="仿宋_GB2312" w:hAnsi="仿宋" w:eastAsia="仿宋_GB2312" w:cs="仿宋"/>
          <w:sz w:val="32"/>
          <w:szCs w:val="32"/>
        </w:rPr>
      </w:pPr>
      <w:r>
        <w:rPr>
          <w:rFonts w:hint="eastAsia" w:ascii="仿宋_GB2312" w:hAnsi="仿宋" w:eastAsia="仿宋_GB2312" w:cs="仿宋"/>
          <w:sz w:val="32"/>
          <w:szCs w:val="32"/>
        </w:rPr>
        <w:t>根据部门整体支出绩效评价指标体系和绩效</w:t>
      </w:r>
      <w:r>
        <w:rPr>
          <w:rFonts w:hint="eastAsia" w:ascii="仿宋_GB2312" w:hAnsi="仿宋" w:eastAsia="仿宋_GB2312" w:cs="仿宋"/>
          <w:sz w:val="32"/>
          <w:szCs w:val="32"/>
          <w:lang w:eastAsia="zh-CN"/>
        </w:rPr>
        <w:t>自</w:t>
      </w:r>
      <w:r>
        <w:rPr>
          <w:rFonts w:hint="eastAsia" w:ascii="仿宋_GB2312" w:hAnsi="仿宋" w:eastAsia="仿宋_GB2312" w:cs="仿宋"/>
          <w:sz w:val="32"/>
          <w:szCs w:val="32"/>
        </w:rPr>
        <w:t>查情况，我们对</w:t>
      </w:r>
      <w:r>
        <w:rPr>
          <w:rFonts w:hint="eastAsia" w:ascii="仿宋_GB2312" w:hAnsi="仿宋" w:cs="仿宋"/>
          <w:sz w:val="32"/>
          <w:szCs w:val="32"/>
          <w:lang w:val="en-US" w:eastAsia="zh-CN"/>
        </w:rPr>
        <w:t>2023</w:t>
      </w:r>
      <w:r>
        <w:rPr>
          <w:rFonts w:hint="eastAsia" w:ascii="仿宋_GB2312" w:hAnsi="仿宋" w:eastAsia="仿宋_GB2312" w:cs="仿宋"/>
          <w:sz w:val="32"/>
          <w:szCs w:val="32"/>
        </w:rPr>
        <w:t>年度整体支出绩效进行了综合评分，</w:t>
      </w:r>
      <w:r>
        <w:rPr>
          <w:rFonts w:hint="eastAsia" w:ascii="仿宋_GB2312" w:hAnsi="仿宋" w:eastAsia="仿宋_GB2312" w:cs="仿宋"/>
          <w:sz w:val="32"/>
          <w:szCs w:val="32"/>
          <w:lang w:val="en-US" w:eastAsia="zh-CN"/>
        </w:rPr>
        <w:t>202</w:t>
      </w:r>
      <w:r>
        <w:rPr>
          <w:rFonts w:hint="eastAsia" w:ascii="仿宋_GB2312" w:hAnsi="仿宋" w:cs="仿宋"/>
          <w:sz w:val="32"/>
          <w:szCs w:val="32"/>
          <w:lang w:val="en-US" w:eastAsia="zh-CN"/>
        </w:rPr>
        <w:t>3</w:t>
      </w:r>
      <w:r>
        <w:rPr>
          <w:rFonts w:hint="eastAsia" w:ascii="仿宋_GB2312" w:hAnsi="仿宋" w:eastAsia="仿宋_GB2312" w:cs="仿宋"/>
          <w:sz w:val="32"/>
          <w:szCs w:val="32"/>
        </w:rPr>
        <w:t>年部门整体支出重点绩效评价指标总分值100分，实</w:t>
      </w:r>
      <w:r>
        <w:rPr>
          <w:rFonts w:hint="eastAsia" w:ascii="仿宋_GB2312" w:hAnsi="仿宋" w:cs="仿宋"/>
          <w:sz w:val="32"/>
          <w:szCs w:val="32"/>
          <w:lang w:eastAsia="zh-CN"/>
        </w:rPr>
        <w:t>得</w:t>
      </w:r>
      <w:r>
        <w:rPr>
          <w:rFonts w:hint="eastAsia" w:ascii="仿宋_GB2312" w:hAnsi="仿宋" w:cs="仿宋"/>
          <w:sz w:val="32"/>
          <w:szCs w:val="32"/>
          <w:lang w:val="en-US" w:eastAsia="zh-CN"/>
        </w:rPr>
        <w:t>100</w:t>
      </w:r>
      <w:r>
        <w:rPr>
          <w:rFonts w:hint="eastAsia" w:ascii="仿宋_GB2312" w:hAnsi="仿宋" w:eastAsia="仿宋_GB2312" w:cs="仿宋"/>
          <w:sz w:val="32"/>
          <w:szCs w:val="32"/>
        </w:rPr>
        <w:t>分，评价等级“</w:t>
      </w:r>
      <w:r>
        <w:rPr>
          <w:rFonts w:hint="eastAsia" w:ascii="仿宋_GB2312" w:hAnsi="仿宋" w:eastAsia="仿宋_GB2312" w:cs="仿宋"/>
          <w:sz w:val="32"/>
          <w:szCs w:val="32"/>
          <w:lang w:val="en-US" w:eastAsia="zh-CN"/>
        </w:rPr>
        <w:t xml:space="preserve"> </w:t>
      </w:r>
      <w:r>
        <w:rPr>
          <w:rFonts w:hint="eastAsia" w:ascii="仿宋_GB2312" w:hAnsi="仿宋" w:cs="仿宋"/>
          <w:sz w:val="32"/>
          <w:szCs w:val="32"/>
          <w:lang w:val="en-US" w:eastAsia="zh-CN"/>
        </w:rPr>
        <w:t>优秀</w:t>
      </w:r>
      <w:r>
        <w:rPr>
          <w:rFonts w:hint="eastAsia" w:ascii="仿宋_GB2312" w:hAnsi="仿宋" w:eastAsia="仿宋_GB2312" w:cs="仿宋"/>
          <w:sz w:val="32"/>
          <w:szCs w:val="32"/>
        </w:rPr>
        <w:t>”。</w:t>
      </w:r>
    </w:p>
    <w:p>
      <w:pPr>
        <w:pStyle w:val="8"/>
        <w:keepNext w:val="0"/>
        <w:keepLines w:val="0"/>
        <w:pageBreakBefore w:val="0"/>
        <w:widowControl/>
        <w:kinsoku/>
        <w:wordWrap/>
        <w:overflowPunct/>
        <w:topLinePunct w:val="0"/>
        <w:autoSpaceDE/>
        <w:bidi w:val="0"/>
        <w:spacing w:line="600" w:lineRule="exact"/>
        <w:ind w:left="0" w:leftChars="0" w:right="0" w:rightChars="0" w:firstLine="640"/>
        <w:jc w:val="left"/>
        <w:textAlignment w:val="auto"/>
        <w:outlineLvl w:val="9"/>
        <w:rPr>
          <w:rFonts w:ascii="Times New Roman" w:hAnsi="Times New Roman" w:eastAsia="黑体"/>
          <w:sz w:val="32"/>
          <w:szCs w:val="32"/>
        </w:rPr>
      </w:pPr>
      <w:r>
        <w:rPr>
          <w:rFonts w:hint="eastAsia" w:ascii="黑体" w:hAnsi="黑体" w:eastAsia="黑体" w:cs="宋体"/>
          <w:color w:val="000000"/>
          <w:kern w:val="0"/>
          <w:sz w:val="32"/>
          <w:szCs w:val="32"/>
        </w:rPr>
        <w:t>五、</w:t>
      </w:r>
      <w:r>
        <w:rPr>
          <w:rFonts w:hint="eastAsia" w:ascii="Times New Roman" w:hAnsi="Times New Roman" w:eastAsia="黑体"/>
          <w:sz w:val="32"/>
          <w:szCs w:val="32"/>
        </w:rPr>
        <w:t>存在的问题及原因分析</w:t>
      </w:r>
    </w:p>
    <w:p>
      <w:pPr>
        <w:keepNext w:val="0"/>
        <w:keepLines w:val="0"/>
        <w:pageBreakBefore w:val="0"/>
        <w:widowControl/>
        <w:kinsoku/>
        <w:wordWrap/>
        <w:overflowPunct/>
        <w:topLinePunct w:val="0"/>
        <w:autoSpaceDE/>
        <w:bidi w:val="0"/>
        <w:spacing w:line="600" w:lineRule="exact"/>
        <w:ind w:left="0" w:leftChars="0" w:right="0" w:rightChars="0" w:firstLine="632" w:firstLineChars="200"/>
        <w:jc w:val="left"/>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对绩效管理的相关规定掌握的不够熟悉，绩效管理目标要求不够细化，绩效工作需进一步完善。</w:t>
      </w:r>
    </w:p>
    <w:p>
      <w:pPr>
        <w:keepNext w:val="0"/>
        <w:keepLines w:val="0"/>
        <w:pageBreakBefore w:val="0"/>
        <w:widowControl/>
        <w:numPr>
          <w:ilvl w:val="0"/>
          <w:numId w:val="2"/>
        </w:numPr>
        <w:kinsoku/>
        <w:wordWrap/>
        <w:overflowPunct/>
        <w:topLinePunct w:val="0"/>
        <w:autoSpaceDE/>
        <w:bidi w:val="0"/>
        <w:spacing w:line="600" w:lineRule="exact"/>
        <w:ind w:left="0" w:leftChars="0" w:right="0" w:rightChars="0" w:firstLine="640" w:firstLineChars="200"/>
        <w:jc w:val="left"/>
        <w:textAlignment w:val="auto"/>
        <w:outlineLvl w:val="9"/>
        <w:rPr>
          <w:rFonts w:hint="eastAsia" w:eastAsia="黑体"/>
          <w:sz w:val="32"/>
          <w:szCs w:val="32"/>
        </w:rPr>
      </w:pPr>
      <w:r>
        <w:rPr>
          <w:rFonts w:hint="eastAsia" w:eastAsia="黑体"/>
          <w:sz w:val="32"/>
          <w:szCs w:val="32"/>
        </w:rPr>
        <w:t>下一步改进措施</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bidi w:val="0"/>
        <w:spacing w:before="0" w:beforeAutospacing="0" w:after="0" w:afterAutospacing="0" w:line="600" w:lineRule="exact"/>
        <w:ind w:left="0" w:leftChars="0" w:right="0" w:rightChars="0" w:firstLine="632" w:firstLineChars="200"/>
        <w:jc w:val="both"/>
        <w:textAlignment w:val="auto"/>
        <w:outlineLvl w:val="9"/>
        <w:rPr>
          <w:rFonts w:hint="eastAsia" w:ascii="仿宋" w:hAnsi="仿宋" w:eastAsia="仿宋" w:cs="仿宋"/>
          <w:sz w:val="32"/>
          <w:szCs w:val="32"/>
          <w:lang w:val="en-US" w:eastAsia="zh-CN"/>
        </w:rPr>
      </w:pPr>
      <w:r>
        <w:rPr>
          <w:rFonts w:ascii="仿宋" w:hAnsi="仿宋" w:eastAsia="仿宋" w:cs="仿宋"/>
          <w:i w:val="0"/>
          <w:caps w:val="0"/>
          <w:color w:val="333333"/>
          <w:spacing w:val="0"/>
          <w:kern w:val="0"/>
          <w:sz w:val="32"/>
          <w:szCs w:val="32"/>
          <w:shd w:val="clear" w:color="auto" w:fill="FFFFFF"/>
          <w:lang w:val="en-US" w:eastAsia="zh-CN" w:bidi="ar"/>
        </w:rPr>
        <w:t>加强岗位实务学习与培训工作。加强新政策新规定等业务学习培训，让财务人员通过学习能够准确地根据年度内单位可预见的工作任务细化预算目标，科学合理地编制部门预算</w:t>
      </w:r>
      <w:r>
        <w:rPr>
          <w:rFonts w:hint="eastAsia" w:ascii="仿宋" w:hAnsi="仿宋" w:eastAsia="仿宋" w:cs="仿宋"/>
          <w:sz w:val="32"/>
          <w:szCs w:val="32"/>
          <w:lang w:eastAsia="zh-CN"/>
        </w:rPr>
        <w:t>，进一步提高预算编制的科学性、严谨性和可控性。</w:t>
      </w:r>
      <w:r>
        <w:rPr>
          <w:rFonts w:hint="eastAsia" w:ascii="仿宋" w:hAnsi="仿宋" w:eastAsia="仿宋" w:cs="仿宋"/>
          <w:sz w:val="32"/>
          <w:szCs w:val="32"/>
          <w:lang w:val="en-US" w:eastAsia="zh-CN"/>
        </w:rPr>
        <w:t xml:space="preserve"> </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bidi w:val="0"/>
        <w:spacing w:before="0" w:beforeAutospacing="0" w:after="0" w:afterAutospacing="0" w:line="600" w:lineRule="exact"/>
        <w:ind w:left="0" w:leftChars="0" w:right="0" w:right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1.进一步细化预算编制。注重加强收支预测，提高预算准确性，科学合理编制部门预算，推进预算编制科学化、准确化。</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bidi w:val="0"/>
        <w:spacing w:before="0" w:beforeAutospacing="0" w:after="0" w:afterAutospacing="0" w:line="600" w:lineRule="exact"/>
        <w:ind w:left="0" w:leftChars="0" w:right="0" w:rightChars="0"/>
        <w:jc w:val="both"/>
        <w:textAlignment w:val="auto"/>
        <w:outlineLvl w:val="9"/>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2.进一步严控预算执行。定期分析预算执行，</w:t>
      </w:r>
      <w:r>
        <w:rPr>
          <w:rFonts w:ascii="仿宋" w:hAnsi="仿宋" w:eastAsia="仿宋" w:cs="仿宋"/>
          <w:i w:val="0"/>
          <w:caps w:val="0"/>
          <w:color w:val="333333"/>
          <w:spacing w:val="0"/>
          <w:kern w:val="0"/>
          <w:sz w:val="32"/>
          <w:szCs w:val="32"/>
          <w:shd w:val="clear" w:color="auto" w:fill="FFFFFF"/>
          <w:lang w:val="en-US" w:eastAsia="zh-CN" w:bidi="ar"/>
        </w:rPr>
        <w:t>规范部门预算收支核算，</w:t>
      </w:r>
      <w:r>
        <w:rPr>
          <w:rFonts w:hint="eastAsia" w:ascii="仿宋" w:hAnsi="仿宋" w:eastAsia="仿宋" w:cs="仿宋"/>
          <w:sz w:val="32"/>
          <w:szCs w:val="32"/>
          <w:lang w:val="en-US" w:eastAsia="zh-CN"/>
        </w:rPr>
        <w:t>掌握预算执行进度，</w:t>
      </w:r>
      <w:r>
        <w:rPr>
          <w:rFonts w:ascii="仿宋" w:hAnsi="仿宋" w:eastAsia="仿宋" w:cs="仿宋"/>
          <w:i w:val="0"/>
          <w:caps w:val="0"/>
          <w:color w:val="333333"/>
          <w:spacing w:val="0"/>
          <w:kern w:val="0"/>
          <w:sz w:val="32"/>
          <w:szCs w:val="32"/>
          <w:shd w:val="clear" w:color="auto" w:fill="FFFFFF"/>
          <w:lang w:val="en-US" w:eastAsia="zh-CN" w:bidi="ar"/>
        </w:rPr>
        <w:t>及时了解预算执行差异，合理调整、纠正预算执行偏差</w:t>
      </w:r>
      <w:r>
        <w:rPr>
          <w:rFonts w:hint="eastAsia" w:ascii="仿宋" w:hAnsi="仿宋" w:eastAsia="仿宋" w:cs="仿宋"/>
          <w:sz w:val="32"/>
          <w:szCs w:val="32"/>
          <w:lang w:val="en-US" w:eastAsia="zh-CN"/>
        </w:rPr>
        <w:t>，增强财务人员的预算意识和内控管理，坚持先有预算，后有支出。</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bidi w:val="0"/>
        <w:spacing w:before="0" w:beforeAutospacing="0" w:after="0" w:afterAutospacing="0" w:line="600" w:lineRule="exact"/>
        <w:ind w:left="0" w:leftChars="0" w:right="0" w:rightChars="0"/>
        <w:jc w:val="both"/>
        <w:textAlignment w:val="auto"/>
        <w:outlineLvl w:val="9"/>
      </w:pPr>
      <w:r>
        <w:rPr>
          <w:rFonts w:hint="eastAsia" w:ascii="仿宋" w:hAnsi="仿宋" w:eastAsia="仿宋" w:cs="仿宋"/>
          <w:sz w:val="32"/>
          <w:szCs w:val="32"/>
          <w:lang w:val="en-US" w:eastAsia="zh-CN"/>
        </w:rPr>
        <w:t xml:space="preserve">  3.进一步优化绩效管理。优化预算绩效指标的设置，细化绩效管理目标，确保数据可测、分值合理、结果可观。持续推进预算绩效管理与内部管理制度相融合，进一步提升绩效管理效能。</w:t>
      </w:r>
    </w:p>
    <w:p>
      <w:pPr>
        <w:keepNext w:val="0"/>
        <w:keepLines w:val="0"/>
        <w:pageBreakBefore w:val="0"/>
        <w:kinsoku/>
        <w:wordWrap/>
        <w:overflowPunct/>
        <w:topLinePunct w:val="0"/>
        <w:autoSpaceDE/>
        <w:bidi w:val="0"/>
        <w:spacing w:line="600" w:lineRule="exact"/>
        <w:ind w:left="0" w:leftChars="0" w:right="0" w:rightChars="0"/>
        <w:textAlignment w:val="auto"/>
        <w:outlineLvl w:val="9"/>
        <w:rPr>
          <w:rFonts w:hint="eastAsia"/>
          <w:lang w:val="en-US" w:eastAsia="zh-CN"/>
        </w:rPr>
      </w:pPr>
      <w:r>
        <w:rPr>
          <w:rFonts w:hint="eastAsia"/>
          <w:lang w:eastAsia="zh-CN"/>
        </w:rPr>
        <w:t>附：</w:t>
      </w:r>
      <w:r>
        <w:rPr>
          <w:rFonts w:hint="eastAsia"/>
          <w:lang w:val="en-US" w:eastAsia="zh-CN"/>
        </w:rPr>
        <w:t>1.部门整体支出绩效评价基础数据表</w:t>
      </w:r>
    </w:p>
    <w:p>
      <w:pPr>
        <w:pStyle w:val="2"/>
        <w:ind w:firstLine="640"/>
        <w:rPr>
          <w:rFonts w:hint="eastAsia"/>
          <w:lang w:val="en-US" w:eastAsia="zh-CN"/>
        </w:rPr>
      </w:pPr>
      <w:r>
        <w:rPr>
          <w:rFonts w:hint="eastAsia"/>
          <w:lang w:val="en-US" w:eastAsia="zh-CN"/>
        </w:rPr>
        <w:t>2.部门整体支出自评表</w:t>
      </w:r>
    </w:p>
    <w:p>
      <w:pPr>
        <w:ind w:firstLine="640"/>
        <w:rPr>
          <w:rFonts w:hint="eastAsia"/>
          <w:lang w:val="en-US" w:eastAsia="zh-CN"/>
        </w:rPr>
      </w:pPr>
      <w:r>
        <w:rPr>
          <w:rFonts w:hint="eastAsia"/>
          <w:lang w:val="en-US" w:eastAsia="zh-CN"/>
        </w:rPr>
        <w:t>3.项目支出绩效自评表</w:t>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w:altName w:val="Courier New"/>
    <w:panose1 w:val="00000000000000000000"/>
    <w:charset w:val="00"/>
    <w:family w:val="auto"/>
    <w:pitch w:val="default"/>
    <w:sig w:usb0="00000000" w:usb1="00000000" w:usb2="00000000" w:usb3="00000000" w:csb0="00040001"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Microsoft YaHei U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55A858"/>
    <w:multiLevelType w:val="singleLevel"/>
    <w:tmpl w:val="6655A858"/>
    <w:lvl w:ilvl="0" w:tentative="0">
      <w:start w:val="6"/>
      <w:numFmt w:val="chineseCounting"/>
      <w:suff w:val="nothing"/>
      <w:lvlText w:val="%1、"/>
      <w:lvlJc w:val="left"/>
    </w:lvl>
  </w:abstractNum>
  <w:abstractNum w:abstractNumId="1">
    <w:nsid w:val="6655A99F"/>
    <w:multiLevelType w:val="singleLevel"/>
    <w:tmpl w:val="6655A99F"/>
    <w:lvl w:ilvl="0" w:tentative="0">
      <w:start w:val="3"/>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02773"/>
    <w:rsid w:val="066D0524"/>
    <w:rsid w:val="06747577"/>
    <w:rsid w:val="0C67222F"/>
    <w:rsid w:val="105E0ADD"/>
    <w:rsid w:val="22FE3772"/>
    <w:rsid w:val="23CB6AC9"/>
    <w:rsid w:val="2C2F65B8"/>
    <w:rsid w:val="2E123BEA"/>
    <w:rsid w:val="382E4D31"/>
    <w:rsid w:val="3D7B64C1"/>
    <w:rsid w:val="3F0D7A44"/>
    <w:rsid w:val="3F26610A"/>
    <w:rsid w:val="403D7F27"/>
    <w:rsid w:val="404A2755"/>
    <w:rsid w:val="434B666F"/>
    <w:rsid w:val="462E0BE7"/>
    <w:rsid w:val="4F9502D4"/>
    <w:rsid w:val="5AE547C2"/>
    <w:rsid w:val="5CC05E75"/>
    <w:rsid w:val="65261587"/>
    <w:rsid w:val="6AB156D6"/>
    <w:rsid w:val="6FB7538D"/>
    <w:rsid w:val="706422E2"/>
    <w:rsid w:val="75302EF0"/>
    <w:rsid w:val="75FF6A6A"/>
    <w:rsid w:val="77AB7E97"/>
    <w:rsid w:val="78060C93"/>
    <w:rsid w:val="792E20A2"/>
    <w:rsid w:val="7C68099F"/>
    <w:rsid w:val="7CC130AB"/>
    <w:rsid w:val="7DAE1182"/>
    <w:rsid w:val="7E9B653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toc 1"/>
    <w:basedOn w:val="1"/>
    <w:next w:val="1"/>
    <w:qFormat/>
    <w:uiPriority w:val="0"/>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6">
    <w:name w:val="BodyText1I2"/>
    <w:basedOn w:val="7"/>
    <w:qFormat/>
    <w:uiPriority w:val="0"/>
    <w:pPr>
      <w:ind w:firstLine="420"/>
    </w:pPr>
  </w:style>
  <w:style w:type="paragraph" w:customStyle="1" w:styleId="7">
    <w:name w:val="BodyTextIndent"/>
    <w:basedOn w:val="1"/>
    <w:qFormat/>
    <w:uiPriority w:val="0"/>
    <w:pPr>
      <w:spacing w:after="120"/>
      <w:ind w:left="420" w:leftChars="200" w:firstLine="200" w:firstLineChars="200"/>
      <w:textAlignment w:val="baseline"/>
    </w:pPr>
  </w:style>
  <w:style w:type="paragraph" w:customStyle="1" w:styleId="8">
    <w:name w:val="_Style 3"/>
    <w:basedOn w:val="1"/>
    <w:qFormat/>
    <w:uiPriority w:val="99"/>
    <w:pPr>
      <w:ind w:firstLine="420" w:firstLineChars="200"/>
    </w:pPr>
    <w:rPr>
      <w:rFonts w:ascii="Calibri" w:hAnsi="Calibri"/>
      <w:szCs w:val="22"/>
    </w:rPr>
  </w:style>
  <w:style w:type="character" w:customStyle="1" w:styleId="9">
    <w:name w:val="font31"/>
    <w:basedOn w:val="4"/>
    <w:uiPriority w:val="0"/>
    <w:rPr>
      <w:rFonts w:hint="eastAsia" w:ascii="宋体" w:hAnsi="宋体" w:eastAsia="宋体" w:cs="宋体"/>
      <w:color w:val="000000"/>
      <w:sz w:val="20"/>
      <w:szCs w:val="20"/>
      <w:u w:val="none"/>
    </w:rPr>
  </w:style>
  <w:style w:type="character" w:customStyle="1" w:styleId="10">
    <w:name w:val="font101"/>
    <w:basedOn w:val="4"/>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2024-06-03T09:44:00Z</cp:lastPrinted>
  <dcterms:modified xsi:type="dcterms:W3CDTF">2024-06-06T01:23:04Z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