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5</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2023</w:t>
      </w:r>
      <w:r>
        <w:rPr>
          <w:rFonts w:hint="eastAsia" w:ascii="方正小标宋简体" w:hAnsi="方正小标宋简体" w:eastAsia="方正小标宋简体" w:cs="方正小标宋简体"/>
          <w:sz w:val="48"/>
          <w:szCs w:val="48"/>
        </w:rPr>
        <w:t>年度</w:t>
      </w:r>
      <w:r>
        <w:rPr>
          <w:rFonts w:hint="eastAsia" w:ascii="方正小标宋简体" w:hAnsi="方正小标宋简体" w:eastAsia="方正小标宋简体" w:cs="方正小标宋简体"/>
          <w:sz w:val="48"/>
          <w:szCs w:val="48"/>
          <w:lang w:val="en-US" w:eastAsia="zh-CN"/>
        </w:rPr>
        <w:t>妇联</w:t>
      </w:r>
      <w:r>
        <w:rPr>
          <w:rFonts w:hint="eastAsia" w:ascii="方正小标宋简体" w:hAnsi="方正小标宋简体" w:eastAsia="方正小标宋简体" w:cs="方正小标宋简体"/>
          <w:sz w:val="48"/>
          <w:szCs w:val="48"/>
        </w:rPr>
        <w:t>整体支出</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72" w:firstLineChars="200"/>
        <w:jc w:val="center"/>
        <w:rPr>
          <w:rFonts w:hint="eastAsia" w:ascii="仿宋" w:hAnsi="仿宋" w:eastAsia="仿宋" w:cs="仿宋"/>
          <w:sz w:val="44"/>
          <w:szCs w:val="44"/>
        </w:rPr>
      </w:pPr>
    </w:p>
    <w:p>
      <w:pPr>
        <w:ind w:firstLine="872" w:firstLineChars="200"/>
        <w:jc w:val="center"/>
        <w:rPr>
          <w:rFonts w:hint="eastAsia" w:ascii="仿宋" w:hAnsi="仿宋" w:eastAsia="仿宋" w:cs="仿宋"/>
          <w:sz w:val="44"/>
          <w:szCs w:val="44"/>
        </w:rPr>
      </w:pPr>
    </w:p>
    <w:p>
      <w:pPr>
        <w:ind w:firstLine="872" w:firstLineChars="200"/>
        <w:jc w:val="center"/>
        <w:rPr>
          <w:rFonts w:hint="eastAsia" w:ascii="仿宋" w:hAnsi="仿宋" w:eastAsia="仿宋" w:cs="仿宋"/>
          <w:sz w:val="44"/>
          <w:szCs w:val="44"/>
        </w:rPr>
      </w:pPr>
    </w:p>
    <w:p>
      <w:pPr>
        <w:ind w:firstLine="712" w:firstLineChars="200"/>
        <w:jc w:val="both"/>
        <w:rPr>
          <w:rFonts w:hint="eastAsia" w:ascii="仿宋" w:hAnsi="仿宋" w:eastAsia="仿宋" w:cs="仿宋"/>
          <w:sz w:val="36"/>
          <w:szCs w:val="36"/>
          <w:lang w:eastAsia="zh-CN"/>
        </w:rPr>
      </w:pPr>
    </w:p>
    <w:p>
      <w:pPr>
        <w:ind w:firstLine="712" w:firstLineChars="200"/>
        <w:jc w:val="both"/>
        <w:rPr>
          <w:rFonts w:hint="eastAsia" w:ascii="仿宋" w:hAnsi="仿宋" w:eastAsia="仿宋" w:cs="仿宋"/>
          <w:sz w:val="36"/>
          <w:szCs w:val="36"/>
          <w:lang w:eastAsia="zh-CN"/>
        </w:rPr>
      </w:pPr>
    </w:p>
    <w:p>
      <w:pPr>
        <w:ind w:firstLine="712"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rPr>
        <w:t>（盖章）</w:t>
      </w:r>
      <w:r>
        <w:rPr>
          <w:rFonts w:hint="eastAsia" w:ascii="仿宋" w:hAnsi="仿宋" w:eastAsia="仿宋" w:cs="仿宋"/>
          <w:sz w:val="36"/>
          <w:szCs w:val="36"/>
          <w:u w:val="single"/>
          <w:lang w:val="en-US" w:eastAsia="zh-CN"/>
        </w:rPr>
        <w:t xml:space="preserve">       </w:t>
      </w:r>
    </w:p>
    <w:p>
      <w:pPr>
        <w:ind w:firstLine="3204" w:firstLineChars="900"/>
        <w:jc w:val="both"/>
        <w:rPr>
          <w:rFonts w:hint="eastAsia" w:ascii="仿宋" w:hAnsi="仿宋" w:eastAsia="仿宋" w:cs="仿宋"/>
          <w:sz w:val="36"/>
          <w:szCs w:val="36"/>
          <w:u w:val="none"/>
          <w:lang w:val="en-US" w:eastAsia="zh-CN"/>
        </w:rPr>
      </w:pPr>
    </w:p>
    <w:p>
      <w:pPr>
        <w:ind w:firstLine="3204" w:firstLineChars="900"/>
        <w:jc w:val="both"/>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年   月   日</w:t>
      </w:r>
    </w:p>
    <w:p>
      <w:pPr>
        <w:jc w:val="center"/>
        <w:rPr>
          <w:rFonts w:hint="eastAsia" w:ascii="仿宋" w:hAnsi="仿宋" w:eastAsia="仿宋" w:cs="仿宋"/>
          <w:sz w:val="32"/>
          <w:szCs w:val="32"/>
        </w:rPr>
      </w:pPr>
    </w:p>
    <w:p>
      <w:pPr>
        <w:jc w:val="center"/>
        <w:rPr>
          <w:rFonts w:hint="eastAsia" w:ascii="黑体" w:hAnsi="黑体" w:eastAsia="黑体" w:cs="黑体"/>
          <w:b/>
          <w:bCs/>
          <w:kern w:val="0"/>
          <w:sz w:val="44"/>
          <w:szCs w:val="44"/>
          <w:lang w:val="en-US" w:eastAsia="zh-CN" w:bidi="ar-SA"/>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（此页为封面）</w:t>
      </w:r>
    </w:p>
    <w:p>
      <w:pPr>
        <w:spacing w:line="600" w:lineRule="exact"/>
        <w:jc w:val="center"/>
        <w:rPr>
          <w:rFonts w:hint="eastAsia" w:ascii="黑体" w:hAnsi="黑体" w:eastAsia="黑体" w:cs="黑体"/>
          <w:b w:val="0"/>
          <w:bCs w:val="0"/>
          <w:kern w:val="0"/>
          <w:sz w:val="44"/>
          <w:szCs w:val="44"/>
          <w:lang w:val="en-US" w:eastAsia="zh-CN" w:bidi="ar-SA"/>
        </w:rPr>
      </w:pPr>
      <w:r>
        <w:rPr>
          <w:rFonts w:hint="eastAsia" w:ascii="黑体" w:hAnsi="黑体" w:eastAsia="黑体" w:cs="黑体"/>
          <w:b w:val="0"/>
          <w:bCs w:val="0"/>
          <w:kern w:val="0"/>
          <w:sz w:val="44"/>
          <w:szCs w:val="44"/>
          <w:lang w:val="en-US" w:eastAsia="zh-CN" w:bidi="ar-SA"/>
        </w:rPr>
        <w:t>2023年度妇联整体支出绩效自评报告</w:t>
      </w:r>
    </w:p>
    <w:p>
      <w:pPr>
        <w:spacing w:line="600" w:lineRule="exact"/>
        <w:ind w:firstLine="620" w:firstLineChars="196"/>
        <w:rPr>
          <w:rFonts w:hint="eastAsia" w:ascii="仿宋_GB2312" w:hAnsi="仿宋_GB2312" w:eastAsia="仿宋_GB2312" w:cs="仿宋_GB2312"/>
          <w:kern w:val="0"/>
          <w:sz w:val="32"/>
          <w:szCs w:val="32"/>
          <w:lang w:val="en-US" w:eastAsia="zh-CN" w:bidi="ar-SA"/>
        </w:rPr>
      </w:pPr>
    </w:p>
    <w:p>
      <w:pPr>
        <w:widowControl/>
        <w:numPr>
          <w:ilvl w:val="0"/>
          <w:numId w:val="0"/>
        </w:numPr>
        <w:autoSpaceDN w:val="0"/>
        <w:spacing w:line="540" w:lineRule="exact"/>
        <w:ind w:firstLine="640" w:firstLineChars="0"/>
        <w:rPr>
          <w:rFonts w:hint="eastAsia" w:ascii="黑体" w:hAnsi="黑体" w:eastAsia="黑体" w:cs="黑体"/>
        </w:rPr>
      </w:pPr>
      <w:r>
        <w:rPr>
          <w:rFonts w:hint="eastAsia" w:ascii="黑体" w:hAnsi="黑体" w:eastAsia="黑体" w:cs="黑体"/>
          <w:kern w:val="2"/>
          <w:sz w:val="32"/>
          <w:lang w:val="en-US" w:eastAsia="zh-CN" w:bidi="ar-SA"/>
        </w:rPr>
        <w:t>一、</w:t>
      </w:r>
      <w:r>
        <w:rPr>
          <w:rFonts w:hint="eastAsia" w:ascii="黑体" w:hAnsi="黑体" w:eastAsia="黑体" w:cs="黑体"/>
          <w:color w:val="000000"/>
          <w:kern w:val="0"/>
          <w:sz w:val="32"/>
          <w:szCs w:val="32"/>
        </w:rPr>
        <w:t>部门概况</w:t>
      </w:r>
    </w:p>
    <w:p>
      <w:pPr>
        <w:spacing w:line="600" w:lineRule="exact"/>
        <w:ind w:firstLine="620" w:firstLineChars="196"/>
        <w:rPr>
          <w:rFonts w:hint="eastAsia" w:ascii="楷体_GB2312" w:hAnsi="楷体_GB2312" w:eastAsia="楷体_GB2312" w:cs="楷体_GB2312"/>
          <w:kern w:val="0"/>
          <w:sz w:val="32"/>
          <w:szCs w:val="32"/>
          <w:lang w:val="en-US" w:eastAsia="zh-CN" w:bidi="ar-SA"/>
        </w:rPr>
      </w:pPr>
      <w:r>
        <w:rPr>
          <w:rFonts w:hint="eastAsia" w:ascii="楷体_GB2312" w:hAnsi="楷体_GB2312" w:eastAsia="楷体_GB2312" w:cs="楷体_GB2312"/>
          <w:kern w:val="0"/>
          <w:sz w:val="32"/>
          <w:szCs w:val="32"/>
          <w:lang w:val="en-US" w:eastAsia="zh-CN" w:bidi="ar-SA"/>
        </w:rPr>
        <w:t>（一）2023年度重点工作计划</w:t>
      </w:r>
    </w:p>
    <w:p>
      <w:pPr>
        <w:pageBreakBefore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1、重引领，进一步团结凝聚妇女力量</w:t>
      </w:r>
    </w:p>
    <w:p>
      <w:pPr>
        <w:pageBreakBefore w:val="0"/>
        <w:kinsoku/>
        <w:wordWrap/>
        <w:overflowPunct/>
        <w:topLinePunct w:val="0"/>
        <w:autoSpaceDE/>
        <w:autoSpaceDN/>
        <w:bidi w:val="0"/>
        <w:adjustRightInd/>
        <w:snapToGrid/>
        <w:spacing w:line="600" w:lineRule="exact"/>
        <w:ind w:firstLine="620" w:firstLineChars="196"/>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面贯彻习近平总书记关于“把妇联改革进行到底”的重要指示精神、全国妇联和省妇联关于妇联改革的决策部署，深刻把握妇联组织建设改革的任务要求，解放思想、转变观念，着力破解妇女工作难题、攻克妇联改革难关，不断提高引领、服务联系妇女群众的能力水平，将妇联组织建设改革工作向纵深推进。将党建带妇建纳入年终绩效考核内容，强化区级层面的具体工作指导以及基层妇联工作的督促与落实。</w:t>
      </w:r>
    </w:p>
    <w:p>
      <w:pPr>
        <w:pageBreakBefore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2、勇担当，进一步服务大局主动作为</w:t>
      </w:r>
    </w:p>
    <w:p>
      <w:pPr>
        <w:pageBreakBefore w:val="0"/>
        <w:kinsoku/>
        <w:wordWrap/>
        <w:overflowPunct/>
        <w:topLinePunct w:val="0"/>
        <w:autoSpaceDE/>
        <w:autoSpaceDN/>
        <w:bidi w:val="0"/>
        <w:adjustRightInd/>
        <w:snapToGrid/>
        <w:spacing w:line="600" w:lineRule="exact"/>
        <w:ind w:firstLine="620" w:firstLineChars="196"/>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围绕区委区政府中心工作，立足于 “党政所急、妇儿所需、妇联所能” 的职能定位，紧扣服务关键词，助推 “三高四新”发展战略资阳篇章谱写。继续实施“湘女素质提升工程”，会同人社等部门办好妇女就业技能培训班，助力乡村振兴。持续开展巾帼文明岗创建活动，引导妇女岗位建功、成长成才。积极挖掘各行各业优秀的女性带头人，加大对女性创业创新的支持。</w:t>
      </w:r>
    </w:p>
    <w:p>
      <w:pPr>
        <w:pageBreakBefore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3、强家教，进一步深化家庭文明建设</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注重家庭、注重家教、注重家风，推动形成社会主义家庭文明新风尚。大力宣传《中华人民共和国家庭教育促进法》《湖南省家庭教育促进条例》，培养一批家庭教育指导服务师和志愿者队伍，</w:t>
      </w:r>
      <w:r>
        <w:rPr>
          <w:rFonts w:hint="eastAsia" w:ascii="仿宋_GB2312" w:hAnsi="仿宋_GB2312" w:eastAsia="仿宋_GB2312" w:cs="仿宋_GB2312"/>
          <w:sz w:val="32"/>
          <w:szCs w:val="32"/>
          <w:lang w:val="en-US" w:eastAsia="zh-CN"/>
        </w:rPr>
        <w:t>协同联动社会、学校、家庭三方力量推动家庭教育工作。推进社区与家庭的互补，依托社区家长学校、网格微信群、“资阳妇联”公众号等平台，为家长提供内容丰富、实用性高的教育信息；推动家庭与社会各界的互助，邀请家庭教育方面的专家学者以及热心家庭教育的志愿者参与社区家长学校的授课和心理咨询，丰富社区家庭教育内涵。</w:t>
      </w:r>
      <w:r>
        <w:rPr>
          <w:rFonts w:hint="eastAsia" w:ascii="仿宋_GB2312" w:hAnsi="仿宋_GB2312" w:eastAsia="仿宋_GB2312" w:cs="仿宋_GB2312"/>
          <w:sz w:val="32"/>
          <w:szCs w:val="32"/>
        </w:rPr>
        <w:t>充分发挥妇女在家庭生活中的独特作用，常态化推进创建“最美家庭”等活动，</w:t>
      </w:r>
      <w:r>
        <w:rPr>
          <w:rFonts w:hint="eastAsia" w:ascii="仿宋_GB2312" w:hAnsi="仿宋_GB2312" w:eastAsia="仿宋_GB2312" w:cs="仿宋_GB2312"/>
          <w:sz w:val="32"/>
          <w:szCs w:val="32"/>
          <w:lang w:val="en-US" w:eastAsia="zh-CN"/>
        </w:rPr>
        <w:t>抓住“家”字品牌，拓展和丰富家庭文明内涵，持续推进家庭典范选树，做大做亮寻找“最美家庭”工作品牌，吸引更多家庭踊跃参与，充分发挥妇女独特作用，以家庭平安和睦文明促进社会和谐稳定发展。</w:t>
      </w:r>
    </w:p>
    <w:p>
      <w:pPr>
        <w:pageBreakBefore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4、促民生，进一步持续关爱妇女儿童</w:t>
      </w:r>
    </w:p>
    <w:p>
      <w:pPr>
        <w:pageBreakBefore w:val="0"/>
        <w:kinsoku/>
        <w:wordWrap/>
        <w:overflowPunct/>
        <w:topLinePunct w:val="0"/>
        <w:autoSpaceDE/>
        <w:autoSpaceDN/>
        <w:bidi w:val="0"/>
        <w:adjustRightInd/>
        <w:snapToGrid/>
        <w:spacing w:line="600" w:lineRule="exact"/>
        <w:ind w:firstLine="64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问题为导向，以务实作风深入开展“我为妇女群众办实事”活动，积极回应妇女和家庭的需求和关切，有针对性地解决妇女儿童“急难愁盼”问题。继续开展农村和城镇低保适龄妇女“两癌”免费筛查工作，提高广大妇女两癌防控健康意识。继续开展贫困母亲“两癌”救助工作，让更多的困难患病妇女感受到各级政府的关心关爱。整合社会力量，壮大巾帼志愿者队伍，继续开展困难帮扶、关爱留守儿童等活动，巩固脱贫攻坚成果。</w:t>
      </w:r>
    </w:p>
    <w:p>
      <w:pPr>
        <w:pageBreakBefore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5、抓维权，进一步提升妇儿幸福指数</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源头参与。有效借助网格化畅通妇女儿童利益诉求、矛盾调解和权益保障通道。引领广大妇女树立法治理念，自觉做到学法守法、办事依法、遇事找法、解决问题靠法。加强妇女法治宣传，学习民法典。认真接待妇女来信来访，寻找症结、疏导情绪、化解矛盾。依托社区婚姻家庭纠纷调解工作室，探索集矛盾调解、法律咨询、法律援助和帮扶救助为一体的基层维权工作模式，推进维权服务下沉到基层，建立联动合作工作机制，推动维权服务社会化。</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32" w:firstLineChars="200"/>
        <w:jc w:val="left"/>
        <w:textAlignment w:val="auto"/>
        <w:rPr>
          <w:rFonts w:hint="eastAsia" w:ascii="仿宋" w:hAnsi="仿宋" w:eastAsia="仿宋"/>
          <w:sz w:val="32"/>
          <w:szCs w:val="32"/>
        </w:rPr>
      </w:pPr>
      <w:r>
        <w:rPr>
          <w:rFonts w:hint="eastAsia" w:ascii="仿宋_GB2312" w:hAnsi="仿宋_GB2312" w:eastAsia="仿宋_GB2312" w:cs="仿宋_GB2312"/>
          <w:sz w:val="32"/>
          <w:szCs w:val="32"/>
        </w:rPr>
        <w:t>加强与各部门联系和合作，推动《反家庭暴力法》的实施。同时，将民法典的集中宣讲与常态普法宣传教育相结合，充分利用各种新媒体平台，多渠道、多载体、多角度地宣传法典中婚姻家庭编内容，增强家庭成员尊法、学法、守法、用法的意识。发挥基层网格员的作用，结合婚姻家庭矛盾纠纷排查化解过程，引导妇女群众学法用法，用法律维护保障自身权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32"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kern w:val="2"/>
          <w:sz w:val="32"/>
          <w:lang w:val="en-US" w:eastAsia="zh-CN" w:bidi="ar-SA"/>
        </w:rPr>
        <w:t>（二）</w:t>
      </w:r>
      <w:r>
        <w:rPr>
          <w:rFonts w:hint="eastAsia" w:ascii="楷体_GB2312" w:hAnsi="楷体_GB2312" w:eastAsia="楷体_GB2312" w:cs="楷体_GB2312"/>
          <w:kern w:val="0"/>
          <w:sz w:val="32"/>
          <w:szCs w:val="32"/>
          <w:lang w:val="en-US" w:eastAsia="zh-CN" w:bidi="ar-SA"/>
        </w:rPr>
        <w:t>部门整体支出规模、使用方向、主要内容和涉及范围</w:t>
      </w:r>
    </w:p>
    <w:p>
      <w:pPr>
        <w:widowControl/>
        <w:autoSpaceDN w:val="0"/>
        <w:spacing w:line="240" w:lineRule="auto"/>
        <w:ind w:firstLine="616" w:firstLineChars="200"/>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spacing w:val="11"/>
          <w:kern w:val="0"/>
          <w:sz w:val="29"/>
          <w:szCs w:val="29"/>
        </w:rPr>
        <w:t>2023年度收入总额154.52万元，</w:t>
      </w:r>
      <w:r>
        <w:rPr>
          <w:rFonts w:hint="eastAsia" w:ascii="仿宋_GB2312" w:hAnsi="仿宋_GB2312" w:eastAsia="仿宋_GB2312" w:cs="仿宋_GB2312"/>
          <w:spacing w:val="11"/>
          <w:kern w:val="0"/>
          <w:sz w:val="29"/>
          <w:szCs w:val="29"/>
          <w:lang w:eastAsia="zh-CN"/>
        </w:rPr>
        <w:t>支出</w:t>
      </w:r>
      <w:r>
        <w:rPr>
          <w:rFonts w:hint="eastAsia" w:ascii="仿宋_GB2312" w:hAnsi="仿宋_GB2312" w:eastAsia="仿宋_GB2312" w:cs="仿宋_GB2312"/>
          <w:spacing w:val="11"/>
          <w:kern w:val="0"/>
          <w:sz w:val="29"/>
          <w:szCs w:val="29"/>
        </w:rPr>
        <w:t>总额154.</w:t>
      </w:r>
      <w:r>
        <w:rPr>
          <w:rFonts w:hint="eastAsia" w:ascii="仿宋_GB2312" w:hAnsi="仿宋_GB2312" w:cs="仿宋_GB2312"/>
          <w:spacing w:val="11"/>
          <w:kern w:val="0"/>
          <w:sz w:val="29"/>
          <w:szCs w:val="29"/>
          <w:lang w:val="en-US" w:eastAsia="zh-CN"/>
        </w:rPr>
        <w:t>52</w:t>
      </w:r>
      <w:r>
        <w:rPr>
          <w:rFonts w:hint="eastAsia" w:ascii="仿宋_GB2312" w:hAnsi="仿宋_GB2312" w:eastAsia="仿宋_GB2312" w:cs="仿宋_GB2312"/>
          <w:spacing w:val="11"/>
          <w:kern w:val="0"/>
          <w:sz w:val="29"/>
          <w:szCs w:val="29"/>
        </w:rPr>
        <w:t>万元</w:t>
      </w:r>
      <w:r>
        <w:rPr>
          <w:rFonts w:hint="eastAsia" w:ascii="仿宋_GB2312" w:hAnsi="仿宋_GB2312" w:cs="仿宋_GB2312"/>
          <w:spacing w:val="11"/>
          <w:kern w:val="0"/>
          <w:sz w:val="29"/>
          <w:szCs w:val="29"/>
          <w:lang w:eastAsia="zh-CN"/>
        </w:rPr>
        <w:t>。</w:t>
      </w:r>
      <w:r>
        <w:rPr>
          <w:rFonts w:hint="eastAsia" w:ascii="仿宋_GB2312" w:hAnsi="仿宋_GB2312" w:cs="仿宋_GB2312"/>
          <w:spacing w:val="11"/>
          <w:kern w:val="0"/>
          <w:sz w:val="29"/>
          <w:szCs w:val="29"/>
          <w:lang w:eastAsia="zh-CN"/>
        </w:rPr>
        <w:br w:type="textWrapping"/>
      </w:r>
      <w:r>
        <w:rPr>
          <w:rFonts w:hint="eastAsia" w:ascii="仿宋_GB2312" w:hAnsi="仿宋_GB2312" w:cs="仿宋_GB2312"/>
          <w:spacing w:val="11"/>
          <w:kern w:val="0"/>
          <w:sz w:val="29"/>
          <w:szCs w:val="29"/>
          <w:lang w:val="en-US" w:eastAsia="zh-CN"/>
        </w:rPr>
        <w:t xml:space="preserve">    </w:t>
      </w:r>
      <w:r>
        <w:rPr>
          <w:rFonts w:hint="eastAsia" w:ascii="仿宋_GB2312" w:hAnsi="仿宋_GB2312" w:eastAsia="仿宋_GB2312" w:cs="仿宋_GB2312"/>
          <w:b w:val="0"/>
          <w:bCs w:val="0"/>
          <w:color w:val="000000"/>
          <w:kern w:val="0"/>
          <w:sz w:val="32"/>
          <w:szCs w:val="32"/>
          <w:lang w:val="en-US" w:eastAsia="zh-CN"/>
        </w:rPr>
        <w:t>1、2023年资阳区妇联基本支出8</w:t>
      </w:r>
      <w:r>
        <w:rPr>
          <w:rFonts w:hint="eastAsia" w:ascii="仿宋_GB2312" w:hAnsi="仿宋_GB2312" w:cs="仿宋_GB2312"/>
          <w:b w:val="0"/>
          <w:bCs w:val="0"/>
          <w:color w:val="000000"/>
          <w:kern w:val="0"/>
          <w:sz w:val="32"/>
          <w:szCs w:val="32"/>
          <w:lang w:val="en-US" w:eastAsia="zh-CN"/>
        </w:rPr>
        <w:t>0.84</w:t>
      </w:r>
      <w:r>
        <w:rPr>
          <w:rFonts w:hint="eastAsia" w:ascii="仿宋_GB2312" w:hAnsi="仿宋_GB2312" w:eastAsia="仿宋_GB2312" w:cs="仿宋_GB2312"/>
          <w:b w:val="0"/>
          <w:bCs w:val="0"/>
          <w:color w:val="000000"/>
          <w:kern w:val="0"/>
          <w:sz w:val="32"/>
          <w:szCs w:val="32"/>
          <w:lang w:val="en-US" w:eastAsia="zh-CN"/>
        </w:rPr>
        <w:t>万元，主要用于人员工资支出和日常公用经费支出。</w:t>
      </w:r>
    </w:p>
    <w:p>
      <w:pPr>
        <w:numPr>
          <w:ilvl w:val="0"/>
          <w:numId w:val="0"/>
        </w:numPr>
        <w:spacing w:line="600" w:lineRule="exact"/>
        <w:jc w:val="left"/>
        <w:rPr>
          <w:rFonts w:hint="default"/>
          <w:lang w:val="en-US" w:eastAsia="zh-CN"/>
        </w:rPr>
      </w:pPr>
      <w:r>
        <w:rPr>
          <w:rFonts w:hint="eastAsia" w:ascii="仿宋_GB2312" w:hAnsi="仿宋_GB2312" w:eastAsia="仿宋_GB2312" w:cs="仿宋_GB2312"/>
          <w:b w:val="0"/>
          <w:bCs w:val="0"/>
          <w:color w:val="000000"/>
          <w:kern w:val="0"/>
          <w:sz w:val="32"/>
          <w:szCs w:val="32"/>
          <w:lang w:val="en-US" w:eastAsia="zh-CN"/>
        </w:rPr>
        <w:t>　　2、2023年资阳区妇联项目经费支出73.68万元，主要用于妇女儿童事业发展支出、三八节活</w:t>
      </w:r>
      <w:bookmarkStart w:id="0" w:name="_GoBack"/>
      <w:bookmarkEnd w:id="0"/>
      <w:r>
        <w:rPr>
          <w:rFonts w:hint="eastAsia" w:ascii="仿宋_GB2312" w:hAnsi="仿宋_GB2312" w:eastAsia="仿宋_GB2312" w:cs="仿宋_GB2312"/>
          <w:b w:val="0"/>
          <w:bCs w:val="0"/>
          <w:color w:val="000000"/>
          <w:kern w:val="0"/>
          <w:sz w:val="32"/>
          <w:szCs w:val="32"/>
          <w:lang w:val="en-US" w:eastAsia="zh-CN"/>
        </w:rPr>
        <w:t>动支出、阳光解语婚调支出、公益性岗位补助支出、清廉资阳建设支出、出手吧姐姐项目支出、“两癌”救助支出、留守（困境）儿童帮扶、资阳推荐官培训以及其他中心工作费用支出。</w:t>
      </w:r>
    </w:p>
    <w:p>
      <w:pPr>
        <w:widowControl/>
        <w:autoSpaceDN w:val="0"/>
        <w:spacing w:line="560" w:lineRule="exact"/>
        <w:ind w:firstLine="645"/>
        <w:rPr>
          <w:rFonts w:ascii="黑体" w:hAnsi="黑体" w:eastAsia="黑体" w:cs="黑体"/>
          <w:b w:val="0"/>
          <w:bCs w:val="0"/>
          <w:sz w:val="32"/>
          <w:szCs w:val="32"/>
        </w:rPr>
      </w:pP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p>
    <w:p>
      <w:pPr>
        <w:snapToGrid w:val="0"/>
        <w:spacing w:line="520" w:lineRule="exact"/>
        <w:ind w:firstLine="158" w:firstLineChars="50"/>
        <w:rPr>
          <w:rFonts w:hint="eastAsia" w:ascii="楷体_GB2312" w:hAnsi="楷体_GB2312" w:eastAsia="楷体_GB2312" w:cs="楷体_GB2312"/>
          <w:b w:val="0"/>
          <w:bCs w:val="0"/>
          <w:kern w:val="0"/>
          <w:sz w:val="32"/>
          <w:szCs w:val="32"/>
          <w:lang w:val="en-US" w:eastAsia="zh-CN" w:bidi="ar-SA"/>
        </w:rPr>
      </w:pPr>
      <w:r>
        <w:rPr>
          <w:rFonts w:hint="eastAsia" w:ascii="楷体_GB2312" w:hAnsi="楷体_GB2312" w:eastAsia="楷体_GB2312" w:cs="楷体_GB2312"/>
          <w:b w:val="0"/>
          <w:bCs w:val="0"/>
          <w:kern w:val="0"/>
          <w:sz w:val="32"/>
          <w:szCs w:val="32"/>
          <w:lang w:val="en-US" w:eastAsia="zh-CN" w:bidi="ar-SA"/>
        </w:rPr>
        <w:t>　（一）基本支出情况</w:t>
      </w:r>
    </w:p>
    <w:p>
      <w:pPr>
        <w:snapToGrid w:val="0"/>
        <w:spacing w:line="520" w:lineRule="exact"/>
        <w:ind w:firstLine="790" w:firstLineChars="25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sz w:val="32"/>
          <w:szCs w:val="24"/>
        </w:rPr>
        <w:t>2023年本部门</w:t>
      </w:r>
      <w:r>
        <w:rPr>
          <w:rFonts w:hint="eastAsia" w:ascii="仿宋_GB2312" w:hAnsi="仿宋_GB2312" w:eastAsia="仿宋_GB2312" w:cs="仿宋_GB2312"/>
          <w:sz w:val="32"/>
          <w:szCs w:val="24"/>
          <w:lang w:val="en-US" w:eastAsia="zh-CN"/>
        </w:rPr>
        <w:t>一般公共</w:t>
      </w:r>
      <w:r>
        <w:rPr>
          <w:rFonts w:hint="eastAsia" w:ascii="仿宋_GB2312" w:hAnsi="仿宋_GB2312" w:eastAsia="仿宋_GB2312" w:cs="仿宋_GB2312"/>
          <w:sz w:val="32"/>
          <w:szCs w:val="24"/>
        </w:rPr>
        <w:t>财政拨款支出为</w:t>
      </w:r>
      <w:r>
        <w:rPr>
          <w:rFonts w:hint="eastAsia" w:ascii="仿宋_GB2312" w:hAnsi="仿宋_GB2312" w:eastAsia="仿宋_GB2312" w:cs="仿宋_GB2312"/>
          <w:sz w:val="28"/>
          <w:szCs w:val="24"/>
        </w:rPr>
        <w:t>123.03</w:t>
      </w:r>
      <w:r>
        <w:rPr>
          <w:rFonts w:hint="eastAsia" w:ascii="仿宋_GB2312" w:hAnsi="仿宋_GB2312" w:eastAsia="仿宋_GB2312" w:cs="仿宋_GB2312"/>
          <w:sz w:val="32"/>
          <w:szCs w:val="24"/>
        </w:rPr>
        <w:t>万元</w:t>
      </w:r>
      <w:r>
        <w:rPr>
          <w:rFonts w:hint="eastAsia" w:ascii="仿宋_GB2312" w:hAnsi="仿宋_GB2312" w:eastAsia="仿宋_GB2312" w:cs="仿宋_GB2312"/>
          <w:sz w:val="32"/>
          <w:szCs w:val="24"/>
          <w:lang w:eastAsia="zh-CN"/>
        </w:rPr>
        <w:t>，</w:t>
      </w:r>
      <w:r>
        <w:rPr>
          <w:rFonts w:hint="eastAsia" w:ascii="仿宋_GB2312" w:hAnsi="仿宋_GB2312" w:eastAsia="仿宋_GB2312" w:cs="仿宋_GB2312"/>
          <w:sz w:val="32"/>
          <w:szCs w:val="24"/>
        </w:rPr>
        <w:t>基本支出为77.57万元，其中</w:t>
      </w:r>
      <w:r>
        <w:rPr>
          <w:rFonts w:hint="eastAsia" w:ascii="仿宋_GB2312" w:hAnsi="仿宋_GB2312" w:eastAsia="仿宋_GB2312" w:cs="仿宋_GB2312"/>
          <w:sz w:val="32"/>
          <w:szCs w:val="24"/>
          <w:lang w:eastAsia="zh-CN"/>
        </w:rPr>
        <w:t>：</w:t>
      </w:r>
      <w:r>
        <w:rPr>
          <w:rFonts w:hint="eastAsia" w:ascii="仿宋_GB2312" w:hAnsi="仿宋_GB2312" w:eastAsia="仿宋_GB2312" w:cs="仿宋_GB2312"/>
          <w:sz w:val="32"/>
          <w:szCs w:val="24"/>
        </w:rPr>
        <w:t>人员经费支出为</w:t>
      </w:r>
      <w:r>
        <w:rPr>
          <w:rFonts w:hint="eastAsia" w:ascii="仿宋_GB2312" w:hAnsi="仿宋_GB2312" w:eastAsia="仿宋_GB2312" w:cs="仿宋_GB2312"/>
          <w:sz w:val="32"/>
          <w:szCs w:val="24"/>
          <w:lang w:val="en-US" w:eastAsia="zh-CN"/>
        </w:rPr>
        <w:t>67.64</w:t>
      </w:r>
      <w:r>
        <w:rPr>
          <w:rFonts w:hint="eastAsia" w:ascii="仿宋_GB2312" w:hAnsi="仿宋_GB2312" w:eastAsia="仿宋_GB2312" w:cs="仿宋_GB2312"/>
          <w:sz w:val="32"/>
          <w:szCs w:val="24"/>
        </w:rPr>
        <w:t>万元，</w:t>
      </w:r>
      <w:r>
        <w:rPr>
          <w:rFonts w:hint="eastAsia" w:ascii="仿宋_GB2312" w:hAnsi="仿宋_GB2312" w:eastAsia="仿宋_GB2312" w:cs="仿宋_GB2312"/>
          <w:sz w:val="32"/>
          <w:szCs w:val="24"/>
          <w:lang w:val="en-US" w:eastAsia="zh-CN"/>
        </w:rPr>
        <w:t>对个人家庭补助支出0.54万元，</w:t>
      </w:r>
      <w:r>
        <w:rPr>
          <w:rFonts w:hint="eastAsia" w:ascii="仿宋_GB2312" w:hAnsi="仿宋_GB2312" w:eastAsia="仿宋_GB2312" w:cs="仿宋_GB2312"/>
          <w:sz w:val="32"/>
          <w:szCs w:val="24"/>
        </w:rPr>
        <w:t>公用经费</w:t>
      </w:r>
      <w:r>
        <w:rPr>
          <w:rFonts w:hint="eastAsia" w:ascii="仿宋_GB2312" w:hAnsi="仿宋_GB2312" w:eastAsia="仿宋_GB2312" w:cs="仿宋_GB2312"/>
          <w:sz w:val="32"/>
          <w:szCs w:val="24"/>
          <w:lang w:val="en-US" w:eastAsia="zh-CN"/>
        </w:rPr>
        <w:t>9.39</w:t>
      </w:r>
      <w:r>
        <w:rPr>
          <w:rFonts w:hint="eastAsia" w:ascii="仿宋_GB2312" w:hAnsi="仿宋_GB2312" w:eastAsia="仿宋_GB2312" w:cs="仿宋_GB2312"/>
          <w:sz w:val="32"/>
          <w:szCs w:val="24"/>
        </w:rPr>
        <w:t>万元</w:t>
      </w:r>
      <w:r>
        <w:rPr>
          <w:rFonts w:hint="eastAsia" w:ascii="仿宋_GB2312" w:hAnsi="仿宋_GB2312" w:eastAsia="仿宋_GB2312" w:cs="仿宋_GB2312"/>
          <w:sz w:val="32"/>
          <w:szCs w:val="24"/>
          <w:lang w:eastAsia="zh-CN"/>
        </w:rPr>
        <w:t>，</w:t>
      </w:r>
      <w:r>
        <w:rPr>
          <w:rFonts w:hint="eastAsia" w:ascii="仿宋_GB2312" w:hAnsi="仿宋_GB2312" w:eastAsia="仿宋_GB2312" w:cs="仿宋_GB2312"/>
          <w:sz w:val="32"/>
          <w:szCs w:val="24"/>
          <w:lang w:val="en-US" w:eastAsia="zh-CN"/>
        </w:rPr>
        <w:t>主要为办公费1.35万元，印刷费0.88万元，邮电费0.12万元，电费0.34万元，会议费0.06万元，劳务费1.61万元，福利费0.59万元，其他交通费用3.9万元，其他0.52万元。</w:t>
      </w:r>
    </w:p>
    <w:p>
      <w:pPr>
        <w:numPr>
          <w:ilvl w:val="0"/>
          <w:numId w:val="0"/>
        </w:numPr>
        <w:spacing w:line="600" w:lineRule="exact"/>
        <w:ind w:firstLine="620" w:firstLineChars="196"/>
        <w:jc w:val="left"/>
        <w:rPr>
          <w:rFonts w:hint="eastAsia" w:ascii="楷体_GB2312" w:hAnsi="楷体_GB2312" w:eastAsia="楷体_GB2312" w:cs="楷体_GB2312"/>
          <w:b w:val="0"/>
          <w:bCs w:val="0"/>
          <w:kern w:val="0"/>
          <w:sz w:val="32"/>
          <w:szCs w:val="32"/>
          <w:lang w:val="en-US" w:eastAsia="zh-CN" w:bidi="ar-SA"/>
        </w:rPr>
      </w:pPr>
      <w:r>
        <w:rPr>
          <w:rFonts w:hint="eastAsia" w:ascii="楷体_GB2312" w:hAnsi="楷体_GB2312" w:eastAsia="楷体_GB2312" w:cs="楷体_GB2312"/>
          <w:b w:val="0"/>
          <w:bCs w:val="0"/>
          <w:kern w:val="0"/>
          <w:sz w:val="32"/>
          <w:szCs w:val="32"/>
          <w:lang w:val="en-US" w:eastAsia="zh-CN" w:bidi="ar-SA"/>
        </w:rPr>
        <w:t>（二）项目支出情况</w:t>
      </w:r>
    </w:p>
    <w:p>
      <w:pPr>
        <w:numPr>
          <w:ilvl w:val="0"/>
          <w:numId w:val="0"/>
        </w:numPr>
        <w:spacing w:line="600" w:lineRule="exact"/>
        <w:jc w:val="left"/>
        <w:rPr>
          <w:rFonts w:hint="eastAsia" w:ascii="仿宋_GB2312" w:hAnsi="仿宋_GB2312" w:eastAsia="仿宋_GB2312" w:cs="仿宋_GB2312"/>
          <w:b w:val="0"/>
          <w:bCs w:val="0"/>
          <w:kern w:val="0"/>
          <w:sz w:val="32"/>
          <w:szCs w:val="32"/>
          <w:lang w:val="en-US" w:eastAsia="zh-CN" w:bidi="ar-SA"/>
        </w:rPr>
      </w:pPr>
      <w:r>
        <w:rPr>
          <w:rFonts w:hint="eastAsia" w:ascii="仿宋" w:hAnsi="仿宋" w:eastAsia="仿宋"/>
          <w:sz w:val="32"/>
          <w:szCs w:val="24"/>
          <w:lang w:eastAsia="zh-CN"/>
        </w:rPr>
        <w:t>　</w:t>
      </w:r>
      <w:r>
        <w:rPr>
          <w:rFonts w:hint="eastAsia" w:ascii="仿宋_GB2312" w:hAnsi="仿宋_GB2312" w:eastAsia="仿宋_GB2312" w:cs="仿宋_GB2312"/>
          <w:sz w:val="32"/>
          <w:szCs w:val="24"/>
          <w:lang w:eastAsia="zh-CN"/>
        </w:rPr>
        <w:t>　</w:t>
      </w:r>
      <w:r>
        <w:rPr>
          <w:rFonts w:hint="eastAsia" w:ascii="仿宋_GB2312" w:hAnsi="仿宋_GB2312" w:eastAsia="仿宋_GB2312" w:cs="仿宋_GB2312"/>
          <w:sz w:val="32"/>
          <w:szCs w:val="24"/>
        </w:rPr>
        <w:t>2023年本部门</w:t>
      </w:r>
      <w:r>
        <w:rPr>
          <w:rFonts w:hint="eastAsia" w:ascii="仿宋_GB2312" w:hAnsi="仿宋_GB2312" w:eastAsia="仿宋_GB2312" w:cs="仿宋_GB2312"/>
          <w:sz w:val="32"/>
          <w:szCs w:val="24"/>
          <w:lang w:val="en-US" w:eastAsia="zh-CN"/>
        </w:rPr>
        <w:t>一般公共</w:t>
      </w:r>
      <w:r>
        <w:rPr>
          <w:rFonts w:hint="eastAsia" w:ascii="仿宋_GB2312" w:hAnsi="仿宋_GB2312" w:eastAsia="仿宋_GB2312" w:cs="仿宋_GB2312"/>
          <w:sz w:val="32"/>
          <w:szCs w:val="24"/>
        </w:rPr>
        <w:t>财政拨款支出为</w:t>
      </w:r>
      <w:r>
        <w:rPr>
          <w:rFonts w:hint="eastAsia" w:ascii="仿宋_GB2312" w:hAnsi="仿宋_GB2312" w:eastAsia="仿宋_GB2312" w:cs="仿宋_GB2312"/>
          <w:sz w:val="28"/>
          <w:szCs w:val="24"/>
        </w:rPr>
        <w:t>123.03</w:t>
      </w:r>
      <w:r>
        <w:rPr>
          <w:rFonts w:hint="eastAsia" w:ascii="仿宋_GB2312" w:hAnsi="仿宋_GB2312" w:eastAsia="仿宋_GB2312" w:cs="仿宋_GB2312"/>
          <w:sz w:val="32"/>
          <w:szCs w:val="24"/>
        </w:rPr>
        <w:t>万元</w:t>
      </w:r>
      <w:r>
        <w:rPr>
          <w:rFonts w:hint="eastAsia" w:ascii="仿宋_GB2312" w:hAnsi="仿宋_GB2312" w:eastAsia="仿宋_GB2312" w:cs="仿宋_GB2312"/>
          <w:sz w:val="32"/>
          <w:szCs w:val="24"/>
          <w:lang w:eastAsia="zh-CN"/>
        </w:rPr>
        <w:t>，</w:t>
      </w:r>
      <w:r>
        <w:rPr>
          <w:rFonts w:hint="eastAsia" w:ascii="仿宋_GB2312" w:hAnsi="仿宋_GB2312" w:eastAsia="仿宋_GB2312" w:cs="仿宋_GB2312"/>
          <w:sz w:val="32"/>
          <w:szCs w:val="24"/>
        </w:rPr>
        <w:t>项目支出为45.46万元</w:t>
      </w:r>
      <w:r>
        <w:rPr>
          <w:rFonts w:hint="eastAsia" w:ascii="仿宋_GB2312" w:hAnsi="仿宋_GB2312" w:eastAsia="仿宋_GB2312" w:cs="仿宋_GB2312"/>
          <w:sz w:val="32"/>
          <w:szCs w:val="24"/>
          <w:lang w:eastAsia="zh-CN"/>
        </w:rPr>
        <w:t>，其中：</w:t>
      </w:r>
      <w:r>
        <w:rPr>
          <w:rFonts w:hint="eastAsia" w:ascii="仿宋_GB2312" w:hAnsi="仿宋_GB2312" w:eastAsia="仿宋_GB2312" w:cs="仿宋_GB2312"/>
          <w:sz w:val="32"/>
          <w:szCs w:val="24"/>
        </w:rPr>
        <w:t>一般行政管理事务支出28.89万元，</w:t>
      </w:r>
      <w:r>
        <w:rPr>
          <w:rFonts w:hint="eastAsia" w:ascii="仿宋_GB2312" w:hAnsi="仿宋_GB2312" w:eastAsia="仿宋_GB2312" w:cs="仿宋_GB2312"/>
          <w:sz w:val="32"/>
          <w:szCs w:val="24"/>
          <w:lang w:val="en-US" w:eastAsia="zh-CN"/>
        </w:rPr>
        <w:t>主要</w:t>
      </w:r>
      <w:r>
        <w:rPr>
          <w:rFonts w:hint="eastAsia" w:ascii="仿宋_GB2312" w:hAnsi="仿宋_GB2312" w:eastAsia="仿宋_GB2312" w:cs="仿宋_GB2312"/>
          <w:sz w:val="32"/>
          <w:szCs w:val="24"/>
        </w:rPr>
        <w:t>用于妇女儿童发展事业支出，其他文化事业支出</w:t>
      </w:r>
      <w:r>
        <w:rPr>
          <w:rFonts w:hint="eastAsia" w:ascii="仿宋_GB2312" w:hAnsi="仿宋_GB2312" w:eastAsia="仿宋_GB2312" w:cs="仿宋_GB2312"/>
          <w:sz w:val="32"/>
          <w:szCs w:val="24"/>
          <w:lang w:val="en-US" w:eastAsia="zh-CN"/>
        </w:rPr>
        <w:t>5.18</w:t>
      </w:r>
      <w:r>
        <w:rPr>
          <w:rFonts w:hint="eastAsia" w:ascii="仿宋_GB2312" w:hAnsi="仿宋_GB2312" w:eastAsia="仿宋_GB2312" w:cs="仿宋_GB2312"/>
          <w:sz w:val="32"/>
          <w:szCs w:val="24"/>
        </w:rPr>
        <w:t>万元</w:t>
      </w:r>
      <w:r>
        <w:rPr>
          <w:rFonts w:hint="eastAsia" w:ascii="仿宋_GB2312" w:hAnsi="仿宋_GB2312" w:eastAsia="仿宋_GB2312" w:cs="仿宋_GB2312"/>
          <w:sz w:val="32"/>
          <w:szCs w:val="24"/>
          <w:lang w:val="en-US" w:eastAsia="zh-CN"/>
        </w:rPr>
        <w:t>主要用于推荐官文化活动支出及创园花展文旅消费节支出，</w:t>
      </w:r>
      <w:r>
        <w:rPr>
          <w:rFonts w:hint="eastAsia" w:ascii="仿宋_GB2312" w:hAnsi="仿宋_GB2312" w:eastAsia="仿宋_GB2312" w:cs="仿宋_GB2312"/>
          <w:sz w:val="32"/>
          <w:szCs w:val="24"/>
        </w:rPr>
        <w:t>其他就业</w:t>
      </w:r>
      <w:r>
        <w:rPr>
          <w:rFonts w:hint="eastAsia" w:ascii="仿宋_GB2312" w:hAnsi="仿宋_GB2312" w:eastAsia="仿宋_GB2312" w:cs="仿宋_GB2312"/>
          <w:sz w:val="32"/>
          <w:szCs w:val="24"/>
          <w:lang w:val="en-US" w:eastAsia="zh-CN"/>
        </w:rPr>
        <w:t>补助支出</w:t>
      </w:r>
      <w:r>
        <w:rPr>
          <w:rFonts w:hint="eastAsia" w:ascii="仿宋_GB2312" w:hAnsi="仿宋_GB2312" w:eastAsia="仿宋_GB2312" w:cs="仿宋_GB2312"/>
          <w:sz w:val="32"/>
          <w:szCs w:val="24"/>
        </w:rPr>
        <w:t>3.31万元用于公益性岗位补助，其他城乡社区事务支出8.06万元用于社区创文</w:t>
      </w:r>
      <w:r>
        <w:rPr>
          <w:rFonts w:hint="eastAsia" w:ascii="仿宋_GB2312" w:hAnsi="仿宋_GB2312" w:eastAsia="仿宋_GB2312" w:cs="仿宋_GB2312"/>
          <w:sz w:val="32"/>
          <w:szCs w:val="24"/>
          <w:lang w:val="en-US" w:eastAsia="zh-CN"/>
        </w:rPr>
        <w:t>等</w:t>
      </w:r>
      <w:r>
        <w:rPr>
          <w:rFonts w:hint="eastAsia" w:ascii="仿宋_GB2312" w:hAnsi="仿宋_GB2312" w:eastAsia="仿宋_GB2312" w:cs="仿宋_GB2312"/>
          <w:sz w:val="32"/>
          <w:szCs w:val="24"/>
        </w:rPr>
        <w:t>日常公用经费支出；</w:t>
      </w:r>
    </w:p>
    <w:p>
      <w:pPr>
        <w:widowControl/>
        <w:autoSpaceDN w:val="0"/>
        <w:spacing w:line="540" w:lineRule="exact"/>
        <w:ind w:firstLine="316" w:firstLineChars="100"/>
        <w:rPr>
          <w:rFonts w:hint="eastAsia" w:ascii="仿宋_GB2312" w:hAnsi="仿宋_GB2312" w:eastAsia="仿宋_GB2312" w:cs="仿宋_GB2312"/>
          <w:kern w:val="0"/>
          <w:sz w:val="32"/>
          <w:szCs w:val="32"/>
          <w:lang w:val="en-US" w:eastAsia="zh-CN" w:bidi="ar-SA"/>
        </w:rPr>
      </w:pPr>
      <w:r>
        <w:rPr>
          <w:rFonts w:hint="eastAsia" w:ascii="黑体" w:hAnsi="黑体" w:eastAsia="黑体" w:cs="宋体"/>
          <w:color w:val="000000"/>
          <w:kern w:val="0"/>
          <w:sz w:val="32"/>
          <w:szCs w:val="32"/>
          <w:lang w:eastAsia="zh-CN"/>
        </w:rPr>
        <w:t>　</w:t>
      </w:r>
      <w:r>
        <w:rPr>
          <w:rFonts w:hint="eastAsia" w:ascii="黑体" w:hAnsi="黑体" w:eastAsia="黑体" w:cs="宋体"/>
          <w:color w:val="000000"/>
          <w:kern w:val="0"/>
          <w:sz w:val="32"/>
          <w:szCs w:val="32"/>
        </w:rPr>
        <w:t>三、部门整体支出绩效情况</w:t>
      </w:r>
    </w:p>
    <w:p>
      <w:pPr>
        <w:widowControl/>
        <w:spacing w:line="600" w:lineRule="exact"/>
        <w:ind w:firstLine="631"/>
        <w:jc w:val="left"/>
        <w:rPr>
          <w:rFonts w:hint="eastAsia" w:ascii="仿宋" w:hAnsi="仿宋" w:eastAsia="仿宋"/>
          <w:sz w:val="32"/>
          <w:szCs w:val="32"/>
          <w:lang w:val="en-US" w:eastAsia="zh-CN"/>
        </w:rPr>
      </w:pPr>
      <w:r>
        <w:rPr>
          <w:rFonts w:hint="eastAsia" w:ascii="楷体_GB2312" w:hAnsi="楷体_GB2312" w:eastAsia="楷体_GB2312" w:cs="楷体_GB2312"/>
          <w:sz w:val="32"/>
          <w:szCs w:val="32"/>
          <w:lang w:val="en-US" w:eastAsia="zh-CN"/>
        </w:rPr>
        <w:t xml:space="preserve">（一）妇女儿童发展事业支出方面   </w:t>
      </w:r>
      <w:r>
        <w:rPr>
          <w:rFonts w:hint="eastAsia" w:ascii="仿宋" w:hAnsi="仿宋" w:eastAsia="仿宋"/>
          <w:sz w:val="32"/>
          <w:szCs w:val="32"/>
          <w:lang w:val="en-US" w:eastAsia="zh-CN"/>
        </w:rPr>
        <w:t xml:space="preserve"> </w:t>
      </w:r>
    </w:p>
    <w:p>
      <w:pPr>
        <w:widowControl/>
        <w:spacing w:line="600" w:lineRule="exact"/>
        <w:ind w:firstLine="631"/>
        <w:jc w:val="left"/>
        <w:rPr>
          <w:rFonts w:hint="eastAsia" w:ascii="仿宋_GB2312" w:hAnsi="仿宋_GB2312" w:eastAsia="仿宋_GB2312" w:cs="仿宋_GB2312"/>
          <w:sz w:val="32"/>
          <w:szCs w:val="32"/>
        </w:rPr>
      </w:pPr>
      <w:r>
        <w:rPr>
          <w:rFonts w:hint="eastAsia" w:ascii="仿宋" w:hAnsi="仿宋" w:eastAsia="仿宋"/>
          <w:b/>
          <w:bCs/>
          <w:sz w:val="32"/>
          <w:szCs w:val="32"/>
          <w:lang w:val="en-US" w:eastAsia="zh-CN"/>
        </w:rPr>
        <w:t>一是</w:t>
      </w:r>
      <w:r>
        <w:rPr>
          <w:rFonts w:hint="eastAsia" w:ascii="仿宋_GB2312" w:hAnsi="仿宋_GB2312" w:eastAsia="仿宋_GB2312" w:cs="仿宋_GB2312"/>
          <w:sz w:val="32"/>
          <w:szCs w:val="32"/>
        </w:rPr>
        <w:t>举办“聆听她时代 逐梦新资阳”2023年资阳区纪念“三八”国际妇女节暨最美巾帼故事宣讲会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rPr>
        <w:t>持续深化巾帼建功行动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引导各级妇联组织和妇女群众积极投身巾帼建功行动，参与资阳区2023年民营企业服务月招聘会、网络直播招聘会和知名企业巡回校园招聘活动，免费为300余名女性提供就业创业服务。</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rPr>
        <w:t>加大为民办实事力度。连续8年在城乡适龄妇女中开展“两癌”免费筛查，今年共4017人接受免费检查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组织医疗科技专家为基层妇女群众进行健康科普讲座、生殖保健、义诊筛查、知识宣讲等活动，覆盖3000余名妇女</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为10名“两癌”贫困母亲争取了每人1万元的救助资金。开展“出手吧姐姐--温暖2023”公益募捐活动，组建募捐队伍27 支，发动捐款2千余人次，募集社会爱心资金7.33万元，资金将全部用于困境妇女儿童的关爱慰问。</w:t>
      </w:r>
      <w:r>
        <w:rPr>
          <w:rFonts w:hint="eastAsia" w:ascii="仿宋_GB2312" w:hAnsi="仿宋_GB2312" w:eastAsia="仿宋_GB2312" w:cs="仿宋_GB2312"/>
          <w:sz w:val="32"/>
          <w:szCs w:val="32"/>
          <w:lang w:val="en-US" w:eastAsia="zh-CN"/>
        </w:rPr>
        <w:t>四是</w:t>
      </w:r>
      <w:r>
        <w:rPr>
          <w:rFonts w:hint="eastAsia" w:ascii="仿宋_GB2312" w:hAnsi="仿宋_GB2312" w:eastAsia="仿宋_GB2312" w:cs="仿宋_GB2312"/>
          <w:sz w:val="32"/>
          <w:szCs w:val="32"/>
        </w:rPr>
        <w:t>聚焦妇儿维权维稳。今年以来共接待信访45余次，均妥善解决处理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全年共排查各类纠纷问题200余件，并跟进化解。多元化化解家事纠纷，为推动建设更高水平的“平安资阳”奠定坚实基础。</w:t>
      </w:r>
      <w:r>
        <w:rPr>
          <w:rFonts w:hint="eastAsia" w:ascii="仿宋_GB2312" w:hAnsi="仿宋_GB2312" w:eastAsia="仿宋_GB2312" w:cs="仿宋_GB2312"/>
          <w:sz w:val="32"/>
          <w:szCs w:val="32"/>
          <w:lang w:val="en-US" w:eastAsia="zh-CN"/>
        </w:rPr>
        <w:t>五是</w:t>
      </w:r>
      <w:r>
        <w:rPr>
          <w:rFonts w:hint="eastAsia" w:ascii="仿宋_GB2312" w:hAnsi="仿宋_GB2312" w:eastAsia="仿宋_GB2312" w:cs="仿宋_GB2312"/>
          <w:sz w:val="32"/>
          <w:szCs w:val="32"/>
        </w:rPr>
        <w:t>加大关爱儿童服务力度。与区民政局联合举办“合力监护 相伴成长”关爱资阳区困境儿童活动，现场关爱帮扶困境儿童20名，另对150名困境儿童开展线下慰问；</w:t>
      </w:r>
      <w:r>
        <w:rPr>
          <w:rFonts w:hint="eastAsia" w:ascii="仿宋_GB2312" w:hAnsi="仿宋_GB2312" w:eastAsia="仿宋_GB2312" w:cs="仿宋_GB2312"/>
          <w:sz w:val="32"/>
          <w:szCs w:val="32"/>
          <w:lang w:val="en-US" w:eastAsia="zh-CN"/>
        </w:rPr>
        <w:t>六是</w:t>
      </w:r>
      <w:r>
        <w:rPr>
          <w:rFonts w:hint="eastAsia" w:ascii="仿宋_GB2312" w:hAnsi="仿宋_GB2312" w:eastAsia="仿宋_GB2312" w:cs="仿宋_GB2312"/>
          <w:sz w:val="32"/>
          <w:szCs w:val="32"/>
        </w:rPr>
        <w:t>利剑护蕾护航成长。在资阳妇联发布《父母小课堂》短视频14期，今年已组织各类家庭教育宣讲、青春期性教育安全保护公益课、学生考前心理辅导、防溺水宣讲60余场，覆盖学生及家长22000余人，入户走访230余户，发放宣传资料8000余份。</w:t>
      </w:r>
    </w:p>
    <w:p>
      <w:pPr>
        <w:numPr>
          <w:ilvl w:val="0"/>
          <w:numId w:val="0"/>
        </w:numPr>
        <w:spacing w:line="600" w:lineRule="exact"/>
        <w:ind w:firstLine="632" w:firstLineChars="200"/>
        <w:jc w:val="left"/>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婚调服务持续发力</w:t>
      </w:r>
      <w:r>
        <w:rPr>
          <w:rFonts w:hint="eastAsia" w:ascii="楷体_GB2312" w:hAnsi="楷体_GB2312" w:eastAsia="楷体_GB2312" w:cs="楷体_GB2312"/>
          <w:sz w:val="32"/>
          <w:szCs w:val="32"/>
          <w:lang w:val="en-US" w:eastAsia="zh-CN"/>
        </w:rPr>
        <w:t xml:space="preserve">   </w:t>
      </w:r>
    </w:p>
    <w:p>
      <w:pPr>
        <w:numPr>
          <w:ilvl w:val="0"/>
          <w:numId w:val="0"/>
        </w:numPr>
        <w:spacing w:line="600" w:lineRule="exact"/>
        <w:ind w:firstLine="632"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怡康社工组织和30余名志愿者组成的婚姻调解委员会，在区政务服务中心和社区设立婚姻调解室，扎实开展家庭夫妻矛盾调处、婚姻心理调适等公益服务。今年以来，共受理指导调处家庭矛盾纠纷960起，成功化解287起，劝和率为30%。5月20日，与区民政局联合举办“情定资阳 为爱而来”移风易俗主题活动，为新人举行颁证仪式，发放文明婚俗新风倡议书，助推社会文明新风尚。</w:t>
      </w:r>
    </w:p>
    <w:p>
      <w:pPr>
        <w:widowControl/>
        <w:numPr>
          <w:ilvl w:val="0"/>
          <w:numId w:val="0"/>
        </w:numPr>
        <w:spacing w:line="600" w:lineRule="exact"/>
        <w:ind w:firstLine="632" w:firstLineChars="200"/>
        <w:jc w:val="left"/>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kern w:val="2"/>
          <w:sz w:val="32"/>
          <w:szCs w:val="32"/>
          <w:lang w:val="en-US" w:eastAsia="zh-CN" w:bidi="ar-SA"/>
        </w:rPr>
        <w:t>（三）</w:t>
      </w:r>
      <w:r>
        <w:rPr>
          <w:rFonts w:hint="eastAsia" w:ascii="楷体_GB2312" w:hAnsi="楷体_GB2312" w:eastAsia="楷体_GB2312" w:cs="楷体_GB2312"/>
          <w:sz w:val="32"/>
          <w:szCs w:val="32"/>
          <w:lang w:val="en-US" w:eastAsia="zh-CN"/>
        </w:rPr>
        <w:t>其他文化事业支出方面</w:t>
      </w:r>
    </w:p>
    <w:p>
      <w:pPr>
        <w:widowControl/>
        <w:numPr>
          <w:ilvl w:val="0"/>
          <w:numId w:val="0"/>
        </w:numPr>
        <w:spacing w:line="600" w:lineRule="exact"/>
        <w:ind w:firstLine="632" w:firstLineChars="200"/>
        <w:jc w:val="left"/>
        <w:rPr>
          <w:rFonts w:ascii="仿宋_GB2312" w:hAnsi="Times New Roman" w:eastAsia="仿宋_GB2312"/>
          <w:b w:val="0"/>
          <w:bCs w:val="0"/>
          <w:kern w:val="2"/>
          <w:sz w:val="32"/>
          <w:szCs w:val="32"/>
        </w:rPr>
      </w:pPr>
      <w:r>
        <w:rPr>
          <w:rFonts w:ascii="仿宋_GB2312" w:hAnsi="Times New Roman" w:eastAsia="仿宋_GB2312"/>
          <w:b w:val="0"/>
          <w:bCs w:val="0"/>
          <w:kern w:val="2"/>
          <w:sz w:val="32"/>
          <w:szCs w:val="32"/>
        </w:rPr>
        <w:t>7月，区妇联</w:t>
      </w:r>
      <w:r>
        <w:rPr>
          <w:rFonts w:hint="default" w:ascii="仿宋_GB2312" w:hAnsi="Times New Roman" w:eastAsia="仿宋_GB2312"/>
          <w:b w:val="0"/>
          <w:bCs w:val="0"/>
          <w:kern w:val="2"/>
          <w:sz w:val="32"/>
          <w:szCs w:val="32"/>
        </w:rPr>
        <w:t>联合相关单位举办</w:t>
      </w:r>
      <w:r>
        <w:rPr>
          <w:rFonts w:ascii="仿宋_GB2312" w:hAnsi="Times New Roman" w:eastAsia="仿宋_GB2312"/>
          <w:b w:val="0"/>
          <w:bCs w:val="0"/>
          <w:kern w:val="2"/>
          <w:sz w:val="32"/>
          <w:szCs w:val="32"/>
        </w:rPr>
        <w:t>资阳区2023年“古韵古城 资水资阳”资阳推荐官暨公务接待礼仪培训班。全区近90位工作在基层一线的学员参加培训。组织金牌解说员积极参与区里的政务礼仪服务，45人次共参与</w:t>
      </w:r>
      <w:r>
        <w:rPr>
          <w:rFonts w:hint="default" w:ascii="仿宋_GB2312" w:hAnsi="Times New Roman" w:eastAsia="仿宋_GB2312"/>
          <w:b w:val="0"/>
          <w:bCs w:val="0"/>
          <w:kern w:val="2"/>
          <w:sz w:val="32"/>
          <w:szCs w:val="32"/>
        </w:rPr>
        <w:t>8</w:t>
      </w:r>
      <w:r>
        <w:rPr>
          <w:rFonts w:ascii="仿宋_GB2312" w:hAnsi="Times New Roman" w:eastAsia="仿宋_GB2312"/>
          <w:b w:val="0"/>
          <w:bCs w:val="0"/>
          <w:kern w:val="2"/>
          <w:sz w:val="32"/>
          <w:szCs w:val="32"/>
        </w:rPr>
        <w:t xml:space="preserve">次重大活动的解说及政务礼仪服务。 </w:t>
      </w:r>
      <w:r>
        <w:rPr>
          <w:rFonts w:hint="default" w:ascii="仿宋_GB2312" w:hAnsi="Times New Roman" w:eastAsia="仿宋_GB2312"/>
          <w:b w:val="0"/>
          <w:bCs w:val="0"/>
          <w:kern w:val="2"/>
          <w:sz w:val="32"/>
          <w:szCs w:val="32"/>
        </w:rPr>
        <w:t xml:space="preserve"> </w:t>
      </w:r>
      <w:r>
        <w:rPr>
          <w:rFonts w:ascii="仿宋_GB2312" w:hAnsi="Times New Roman" w:eastAsia="仿宋_GB2312"/>
          <w:b w:val="0"/>
          <w:bCs w:val="0"/>
          <w:kern w:val="2"/>
          <w:sz w:val="32"/>
          <w:szCs w:val="32"/>
        </w:rPr>
        <w:t>组织开展家庭文艺活动、文化讲座、家风故事宣讲、新颖婚育文化宣传，时代新风宣传等，吸引城乡群众在参与中传承节日习俗，感悟中国精神，增强文化自信。线上线下开展文明城市创建宣传工作，引导广大家庭和妇女姐妹争做创建全国文明城市的践行者、引领者和传承者。</w:t>
      </w:r>
    </w:p>
    <w:p>
      <w:pPr>
        <w:spacing w:line="600" w:lineRule="exact"/>
        <w:ind w:firstLine="620" w:firstLineChars="196"/>
        <w:rPr>
          <w:rFonts w:hint="default"/>
          <w:lang w:val="en-US" w:eastAsia="zh-CN"/>
        </w:rPr>
      </w:pPr>
      <w:r>
        <w:rPr>
          <w:rFonts w:hint="eastAsia" w:ascii="仿宋_GB2312" w:hAnsi="仿宋_GB2312" w:cs="仿宋_GB2312"/>
          <w:kern w:val="0"/>
          <w:sz w:val="32"/>
          <w:szCs w:val="32"/>
          <w:lang w:val="en-US" w:eastAsia="zh-CN" w:bidi="ar-SA"/>
        </w:rPr>
        <w:t>本部门无未实现的绩效目标或未完成指标任务</w:t>
      </w:r>
      <w:r>
        <w:rPr>
          <w:rFonts w:hint="eastAsia" w:ascii="仿宋_GB2312" w:hAnsi="仿宋_GB2312" w:eastAsia="仿宋_GB2312" w:cs="仿宋_GB2312"/>
          <w:kern w:val="0"/>
          <w:sz w:val="32"/>
          <w:szCs w:val="32"/>
          <w:lang w:val="en-US" w:eastAsia="zh-CN" w:bidi="ar-SA"/>
        </w:rPr>
        <w:t>。</w:t>
      </w:r>
    </w:p>
    <w:p>
      <w:pPr>
        <w:widowControl/>
        <w:numPr>
          <w:ilvl w:val="0"/>
          <w:numId w:val="0"/>
        </w:numPr>
        <w:autoSpaceDN w:val="0"/>
        <w:spacing w:line="540" w:lineRule="exact"/>
        <w:ind w:left="789" w:leftChars="0" w:firstLine="0" w:firstLineChars="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bidi="ar-SA"/>
        </w:rPr>
        <w:t>四、</w:t>
      </w:r>
      <w:r>
        <w:rPr>
          <w:rFonts w:hint="eastAsia" w:ascii="黑体" w:hAnsi="黑体" w:eastAsia="黑体" w:cs="宋体"/>
          <w:color w:val="000000"/>
          <w:kern w:val="0"/>
          <w:sz w:val="32"/>
          <w:szCs w:val="32"/>
        </w:rPr>
        <w:t>总体评价和自评得分情</w:t>
      </w:r>
    </w:p>
    <w:p>
      <w:pPr>
        <w:widowControl/>
        <w:numPr>
          <w:ilvl w:val="0"/>
          <w:numId w:val="0"/>
        </w:numPr>
        <w:autoSpaceDN w:val="0"/>
        <w:spacing w:line="540" w:lineRule="exact"/>
        <w:rPr>
          <w:rFonts w:hint="eastAsia" w:ascii="仿宋_GB2312" w:hAnsi="仿宋_GB2312" w:eastAsia="仿宋_GB2312" w:cs="仿宋_GB2312"/>
        </w:rPr>
      </w:pPr>
      <w:r>
        <w:rPr>
          <w:rFonts w:hint="eastAsia" w:ascii="仿宋" w:hAnsi="仿宋" w:eastAsia="仿宋" w:cs="仿宋"/>
          <w:color w:val="000000"/>
          <w:kern w:val="0"/>
          <w:sz w:val="32"/>
          <w:szCs w:val="32"/>
          <w:lang w:eastAsia="zh-CN"/>
        </w:rPr>
        <w:t>　</w:t>
      </w:r>
      <w:r>
        <w:rPr>
          <w:rFonts w:hint="eastAsia" w:ascii="仿宋_GB2312" w:hAnsi="仿宋_GB2312" w:eastAsia="仿宋_GB2312" w:cs="仿宋_GB2312"/>
          <w:color w:val="000000"/>
          <w:kern w:val="0"/>
          <w:sz w:val="32"/>
          <w:szCs w:val="32"/>
          <w:lang w:eastAsia="zh-CN"/>
        </w:rPr>
        <w:t>　资阳区妇联</w:t>
      </w:r>
      <w:r>
        <w:rPr>
          <w:rFonts w:hint="eastAsia" w:ascii="仿宋_GB2312" w:hAnsi="仿宋_GB2312" w:eastAsia="仿宋_GB2312" w:cs="仿宋_GB2312"/>
          <w:color w:val="000000"/>
          <w:kern w:val="0"/>
          <w:sz w:val="32"/>
          <w:szCs w:val="32"/>
          <w:lang w:val="en-US" w:eastAsia="zh-CN"/>
        </w:rPr>
        <w:t>2023年部门整体支出情况良好，自评得分为100分。</w:t>
      </w:r>
    </w:p>
    <w:p>
      <w:pPr>
        <w:spacing w:line="600" w:lineRule="exact"/>
        <w:ind w:firstLine="632" w:firstLineChars="200"/>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keepNext w:val="0"/>
        <w:keepLines w:val="0"/>
        <w:pageBreakBefore w:val="0"/>
        <w:widowControl/>
        <w:numPr>
          <w:ilvl w:val="0"/>
          <w:numId w:val="0"/>
        </w:numPr>
        <w:kinsoku/>
        <w:wordWrap/>
        <w:overflowPunct/>
        <w:topLinePunct w:val="0"/>
        <w:autoSpaceDE/>
        <w:autoSpaceDN w:val="0"/>
        <w:bidi w:val="0"/>
        <w:adjustRightInd/>
        <w:snapToGrid/>
        <w:spacing w:line="540" w:lineRule="exact"/>
        <w:ind w:firstLine="632"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本部门无预算支出执行偏离绩效目标的情况。</w:t>
      </w:r>
    </w:p>
    <w:p>
      <w:pPr>
        <w:keepNext w:val="0"/>
        <w:keepLines w:val="0"/>
        <w:pageBreakBefore w:val="0"/>
        <w:widowControl/>
        <w:numPr>
          <w:ilvl w:val="0"/>
          <w:numId w:val="0"/>
        </w:numPr>
        <w:kinsoku/>
        <w:wordWrap/>
        <w:overflowPunct/>
        <w:topLinePunct w:val="0"/>
        <w:autoSpaceDE/>
        <w:bidi w:val="0"/>
        <w:adjustRightInd/>
        <w:snapToGrid/>
        <w:spacing w:line="600" w:lineRule="exact"/>
        <w:ind w:firstLine="632" w:firstLineChars="200"/>
        <w:jc w:val="left"/>
        <w:textAlignment w:val="auto"/>
        <w:rPr>
          <w:rFonts w:hint="eastAsia" w:eastAsia="黑体"/>
          <w:sz w:val="32"/>
          <w:szCs w:val="32"/>
        </w:rPr>
      </w:pPr>
      <w:r>
        <w:rPr>
          <w:rFonts w:hint="eastAsia" w:ascii="Calibri" w:hAnsi="Calibri" w:eastAsia="黑体" w:cs="Times New Roman"/>
          <w:kern w:val="2"/>
          <w:sz w:val="32"/>
          <w:szCs w:val="32"/>
          <w:lang w:val="en-US" w:eastAsia="zh-CN" w:bidi="ar-SA"/>
        </w:rPr>
        <w:t>六、</w:t>
      </w:r>
      <w:r>
        <w:rPr>
          <w:rFonts w:hint="eastAsia" w:eastAsia="黑体"/>
          <w:sz w:val="32"/>
          <w:szCs w:val="32"/>
        </w:rPr>
        <w:t>下一步改进措施</w:t>
      </w:r>
    </w:p>
    <w:p>
      <w:pPr>
        <w:keepNext w:val="0"/>
        <w:keepLines w:val="0"/>
        <w:pageBreakBefore w:val="0"/>
        <w:widowControl/>
        <w:numPr>
          <w:ilvl w:val="0"/>
          <w:numId w:val="0"/>
        </w:numPr>
        <w:kinsoku/>
        <w:wordWrap/>
        <w:overflowPunct/>
        <w:topLinePunct w:val="0"/>
        <w:autoSpaceDE/>
        <w:autoSpaceDN w:val="0"/>
        <w:bidi w:val="0"/>
        <w:adjustRightInd/>
        <w:snapToGrid/>
        <w:spacing w:line="540" w:lineRule="exact"/>
        <w:ind w:firstLine="632"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按财政部门要求进一步细化绩效管理</w:t>
      </w:r>
    </w:p>
    <w:p>
      <w:pPr>
        <w:keepNext w:val="0"/>
        <w:keepLines w:val="0"/>
        <w:pageBreakBefore w:val="0"/>
        <w:widowControl/>
        <w:kinsoku/>
        <w:wordWrap/>
        <w:overflowPunct/>
        <w:topLinePunct w:val="0"/>
        <w:autoSpaceDE/>
        <w:bidi w:val="0"/>
        <w:adjustRightInd/>
        <w:snapToGrid/>
        <w:spacing w:line="600" w:lineRule="exact"/>
        <w:ind w:firstLine="632" w:firstLineChars="200"/>
        <w:jc w:val="left"/>
        <w:textAlignment w:val="auto"/>
        <w:rPr>
          <w:rFonts w:hint="eastAsia" w:eastAsia="黑体"/>
          <w:sz w:val="32"/>
          <w:szCs w:val="32"/>
          <w:lang w:eastAsia="zh-CN"/>
        </w:rPr>
      </w:pPr>
      <w:r>
        <w:rPr>
          <w:rFonts w:hint="eastAsia" w:eastAsia="黑体"/>
          <w:sz w:val="32"/>
          <w:szCs w:val="32"/>
        </w:rPr>
        <w:t>七、整体支出绩效自评结果拟应用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keepNext w:val="0"/>
        <w:keepLines w:val="0"/>
        <w:pageBreakBefore w:val="0"/>
        <w:widowControl/>
        <w:numPr>
          <w:ilvl w:val="0"/>
          <w:numId w:val="0"/>
        </w:numPr>
        <w:kinsoku/>
        <w:wordWrap/>
        <w:overflowPunct/>
        <w:topLinePunct w:val="0"/>
        <w:autoSpaceDE/>
        <w:autoSpaceDN w:val="0"/>
        <w:bidi w:val="0"/>
        <w:adjustRightInd/>
        <w:snapToGrid/>
        <w:spacing w:line="540" w:lineRule="exact"/>
        <w:ind w:firstLine="632" w:firstLineChars="200"/>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按照财政部门要求在规定时间进行公开。</w:t>
      </w:r>
    </w:p>
    <w:p/>
    <w:sectPr>
      <w:footerReference r:id="rId3" w:type="default"/>
      <w:footerReference r:id="rId4" w:type="even"/>
      <w:pgSz w:w="11907" w:h="16840"/>
      <w:pgMar w:top="2041" w:right="1531" w:bottom="1871" w:left="1531" w:header="851" w:footer="1304" w:gutter="0"/>
      <w:cols w:space="720" w:num="1"/>
      <w:rtlGutter w:val="0"/>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right="335"/>
      <w:rPr>
        <w:rStyle w:val="12"/>
        <w:rFonts w:hint="eastAsia" w:ascii="宋体" w:hAnsi="宋体" w:eastAsia="宋体"/>
        <w:sz w:val="28"/>
      </w:rPr>
    </w:pPr>
    <w:r>
      <w:rPr>
        <w:rStyle w:val="12"/>
        <w:rFonts w:hint="eastAsia" w:ascii="宋体" w:hAnsi="宋体" w:eastAsia="宋体"/>
        <w:sz w:val="28"/>
      </w:rPr>
      <w:t>—</w:t>
    </w:r>
    <w:r>
      <w:rPr>
        <w:rFonts w:ascii="宋体" w:hAnsi="宋体" w:eastAsia="宋体"/>
        <w:sz w:val="28"/>
      </w:rPr>
      <w:fldChar w:fldCharType="begin"/>
    </w:r>
    <w:r>
      <w:rPr>
        <w:rStyle w:val="12"/>
        <w:rFonts w:ascii="宋体" w:hAnsi="宋体" w:eastAsia="宋体"/>
        <w:sz w:val="28"/>
      </w:rPr>
      <w:instrText xml:space="preserve">PAGE  </w:instrText>
    </w:r>
    <w:r>
      <w:rPr>
        <w:rFonts w:ascii="宋体" w:hAnsi="宋体" w:eastAsia="宋体"/>
        <w:sz w:val="28"/>
      </w:rPr>
      <w:fldChar w:fldCharType="separate"/>
    </w:r>
    <w:r>
      <w:rPr>
        <w:rStyle w:val="12"/>
        <w:rFonts w:ascii="宋体" w:hAnsi="宋体" w:eastAsia="宋体"/>
        <w:sz w:val="28"/>
      </w:rPr>
      <w:t>3</w:t>
    </w:r>
    <w:r>
      <w:rPr>
        <w:rFonts w:ascii="宋体" w:hAnsi="宋体" w:eastAsia="宋体"/>
        <w:sz w:val="28"/>
      </w:rPr>
      <w:fldChar w:fldCharType="end"/>
    </w:r>
    <w:r>
      <w:rPr>
        <w:rStyle w:val="12"/>
        <w:rFonts w:hint="eastAsia" w:ascii="宋体" w:hAnsi="宋体" w:eastAsia="宋体"/>
        <w:sz w:val="28"/>
      </w:rPr>
      <w:t>—</w:t>
    </w:r>
  </w:p>
  <w:p>
    <w:pPr>
      <w:pStyle w:val="5"/>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left="335"/>
      <w:rPr>
        <w:rStyle w:val="12"/>
        <w:rFonts w:hint="eastAsia" w:ascii="宋体" w:hAnsi="宋体" w:eastAsia="宋体"/>
        <w:sz w:val="28"/>
      </w:rPr>
    </w:pPr>
    <w:r>
      <w:rPr>
        <w:rStyle w:val="12"/>
        <w:rFonts w:hint="eastAsia" w:ascii="宋体" w:hAnsi="宋体" w:eastAsia="宋体"/>
        <w:sz w:val="28"/>
      </w:rPr>
      <w:t>—</w:t>
    </w:r>
    <w:r>
      <w:rPr>
        <w:rFonts w:ascii="宋体" w:hAnsi="宋体" w:eastAsia="宋体"/>
        <w:sz w:val="28"/>
      </w:rPr>
      <w:fldChar w:fldCharType="begin"/>
    </w:r>
    <w:r>
      <w:rPr>
        <w:rStyle w:val="12"/>
        <w:rFonts w:ascii="宋体" w:hAnsi="宋体" w:eastAsia="宋体"/>
        <w:sz w:val="28"/>
      </w:rPr>
      <w:instrText xml:space="preserve">PAGE  </w:instrText>
    </w:r>
    <w:r>
      <w:rPr>
        <w:rFonts w:ascii="宋体" w:hAnsi="宋体" w:eastAsia="宋体"/>
        <w:sz w:val="28"/>
      </w:rPr>
      <w:fldChar w:fldCharType="separate"/>
    </w:r>
    <w:r>
      <w:rPr>
        <w:rStyle w:val="12"/>
        <w:rFonts w:ascii="宋体" w:hAnsi="宋体" w:eastAsia="宋体"/>
        <w:sz w:val="28"/>
      </w:rPr>
      <w:t>4</w:t>
    </w:r>
    <w:r>
      <w:rPr>
        <w:rFonts w:ascii="宋体" w:hAnsi="宋体" w:eastAsia="宋体"/>
        <w:sz w:val="28"/>
      </w:rPr>
      <w:fldChar w:fldCharType="end"/>
    </w:r>
    <w:r>
      <w:rPr>
        <w:rStyle w:val="12"/>
        <w:rFonts w:hint="eastAsia" w:ascii="宋体" w:hAnsi="宋体" w:eastAsia="宋体"/>
        <w:sz w:val="28"/>
      </w:rPr>
      <w:t>—</w:t>
    </w:r>
  </w:p>
  <w:p>
    <w:pPr>
      <w:pStyle w:val="5"/>
      <w:ind w:left="300" w:right="360" w:firstLine="360"/>
      <w:rPr>
        <w:rFonts w:hint="eastAsia"/>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ZGYyMDhkZDFhNWNhYzFjMTM2YThjZTJmN2I0OGYifQ=="/>
    <w:docVar w:name="KSO_WPS_MARK_KEY" w:val="9cc50155-8538-477d-a002-ce04f7740be2"/>
  </w:docVars>
  <w:rsids>
    <w:rsidRoot w:val="599C2549"/>
    <w:rsid w:val="03664EA1"/>
    <w:rsid w:val="05C1727E"/>
    <w:rsid w:val="06DF5D71"/>
    <w:rsid w:val="0D075C5D"/>
    <w:rsid w:val="112F3D99"/>
    <w:rsid w:val="14B203A9"/>
    <w:rsid w:val="186D58D3"/>
    <w:rsid w:val="193D009C"/>
    <w:rsid w:val="1A511840"/>
    <w:rsid w:val="1E265653"/>
    <w:rsid w:val="26062EC3"/>
    <w:rsid w:val="29791BFE"/>
    <w:rsid w:val="2ED82000"/>
    <w:rsid w:val="34052A0C"/>
    <w:rsid w:val="37804506"/>
    <w:rsid w:val="3B9A04C3"/>
    <w:rsid w:val="42784CF1"/>
    <w:rsid w:val="450C1D2B"/>
    <w:rsid w:val="48961A2D"/>
    <w:rsid w:val="4DF97938"/>
    <w:rsid w:val="4F371C1A"/>
    <w:rsid w:val="514D3206"/>
    <w:rsid w:val="56982E14"/>
    <w:rsid w:val="599C2549"/>
    <w:rsid w:val="5A632E07"/>
    <w:rsid w:val="5B7C3DA5"/>
    <w:rsid w:val="610C68D8"/>
    <w:rsid w:val="6894168D"/>
    <w:rsid w:val="6C292A34"/>
    <w:rsid w:val="6EE70955"/>
    <w:rsid w:val="6F265009"/>
    <w:rsid w:val="702C6828"/>
    <w:rsid w:val="706510B7"/>
    <w:rsid w:val="7BB17834"/>
    <w:rsid w:val="7D7D6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9"/>
    <w:pPr>
      <w:keepNext/>
      <w:keepLines/>
      <w:spacing w:before="260" w:after="260" w:line="416" w:lineRule="auto"/>
      <w:outlineLvl w:val="1"/>
    </w:pPr>
    <w:rPr>
      <w:rFonts w:ascii="Cambria" w:hAnsi="Cambria" w:eastAsia="宋体" w:cs="宋体"/>
      <w:bCs/>
      <w:sz w:val="32"/>
      <w:szCs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qFormat/>
    <w:uiPriority w:val="0"/>
    <w:pPr>
      <w:ind w:firstLine="632" w:firstLineChars="200"/>
    </w:p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autoRedefine/>
    <w:qFormat/>
    <w:uiPriority w:val="0"/>
    <w:pPr>
      <w:spacing w:before="100" w:beforeAutospacing="1" w:after="0"/>
      <w:ind w:left="0" w:firstLine="420" w:firstLineChars="200"/>
    </w:p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paragraph" w:customStyle="1" w:styleId="13">
    <w:name w:val="BodyText1I2"/>
    <w:basedOn w:val="14"/>
    <w:autoRedefine/>
    <w:qFormat/>
    <w:uiPriority w:val="0"/>
    <w:pPr>
      <w:ind w:firstLine="420"/>
    </w:pPr>
  </w:style>
  <w:style w:type="paragraph" w:customStyle="1" w:styleId="14">
    <w:name w:val="BodyTextIndent"/>
    <w:basedOn w:val="1"/>
    <w:autoRedefine/>
    <w:qFormat/>
    <w:uiPriority w:val="0"/>
    <w:pPr>
      <w:spacing w:after="120"/>
      <w:ind w:left="420" w:leftChars="200" w:firstLine="200" w:firstLineChars="200"/>
      <w:textAlignment w:val="baseline"/>
    </w:pPr>
  </w:style>
  <w:style w:type="paragraph" w:styleId="15">
    <w:name w:val="List Paragraph"/>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香洲区</Company>
  <Pages>8</Pages>
  <Words>3135</Words>
  <Characters>3306</Characters>
  <Lines>0</Lines>
  <Paragraphs>0</Paragraphs>
  <TotalTime>24</TotalTime>
  <ScaleCrop>false</ScaleCrop>
  <LinksUpToDate>false</LinksUpToDate>
  <CharactersWithSpaces>3352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2024-04-24T03:36:00Z</dcterms:created>
  <dc:creator>Administrator</dc:creator>
  <cp:lastModifiedBy>得艺</cp:lastModifiedBy>
  <dcterms:modified xsi:type="dcterms:W3CDTF">2024-06-26T08:27:14Z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670F1FFBC321494B84AB696FEE62F0DB_13</vt:lpwstr>
  </property>
</Properties>
</file>