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FAA5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中国共产党益阳市资阳区纪律检查委员会2023年办案专项支出绩效自评报告</w:t>
      </w:r>
    </w:p>
    <w:p w14:paraId="0B3FD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587C2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一、项目情况</w:t>
      </w:r>
    </w:p>
    <w:p w14:paraId="316BB2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的实施单位为中国共产党益阳市资阳区纪律检查委员会、益阳市资阳区监察委员会，主要职责是维护党的章程和其他党内法规，检查党的路线方针政策和决议的执行情况，协助区委推进全面从严治党、加强党风建设和组织协调反腐败工作；依照党的章程和其他党内法规履行监督、执纪、问责职责；负责全区监察工作；依照法律规定履行监督、调查、处置职责。</w:t>
      </w:r>
    </w:p>
    <w:p w14:paraId="2F1CA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二、绩效自评工作开展情况</w:t>
      </w:r>
    </w:p>
    <w:p w14:paraId="1674F9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（一）评价目的</w:t>
      </w:r>
    </w:p>
    <w:p w14:paraId="57379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本次绩效自评旨在评价办案专项资金项目实施前期、过程及效果，评价财政预算资金使用的效率及效益。</w:t>
      </w:r>
    </w:p>
    <w:p w14:paraId="73E9915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评价对象及范围</w:t>
      </w:r>
    </w:p>
    <w:p w14:paraId="1CF7639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本次评价对象为办案专项项目资金，评价范围包括专项资金的安排、组织及使用效益。</w:t>
      </w:r>
    </w:p>
    <w:p w14:paraId="7DADD9EF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ar-SA"/>
        </w:rPr>
        <w:t>评价原则</w:t>
      </w:r>
    </w:p>
    <w:p w14:paraId="4F7D070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科学公正。绩效评价应当运用科学合理的方法，按照规范的程序，对项目绩效进行客观、公正的反映。</w:t>
      </w:r>
    </w:p>
    <w:p w14:paraId="00B2FF5D">
      <w:pPr>
        <w:pStyle w:val="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/>
          <w:vertAlign w:val="baseline"/>
          <w:lang w:val="en-US" w:eastAsia="zh-CN" w:bidi="ar-SA"/>
        </w:rPr>
        <w:t>激励约束。绩效评价结果应与预算安排、政策调整、改进管理实质性挂钩，体现奖优罚劣和激励相容导向，有效要安排、低效要压减、无效要问责。</w:t>
      </w:r>
    </w:p>
    <w:p w14:paraId="5E76356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/>
          <w:vertAlign w:val="baseline"/>
          <w:lang w:val="en-US" w:eastAsia="zh-CN" w:bidi="ar-SA"/>
        </w:rPr>
        <w:t>公开透明。绩效评价结果应依法依规公开，并自觉接受社会监督。</w:t>
      </w:r>
    </w:p>
    <w:p w14:paraId="6930F2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三、综合评价结论</w:t>
      </w:r>
    </w:p>
    <w:p w14:paraId="471F89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/>
          <w:vertAlign w:val="baseline"/>
          <w:lang w:val="en-US" w:eastAsia="zh-CN" w:bidi="ar-SA"/>
        </w:rPr>
        <w:t>通过综合分析法、成本效益分析法等对项目的决策、管理、绩效进行的综合评价分析，评价结果为优秀。</w:t>
      </w:r>
    </w:p>
    <w:p w14:paraId="0003A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四、绩效目标实现情况分析</w:t>
      </w:r>
    </w:p>
    <w:p w14:paraId="45233E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（一）项目资金使用情况</w:t>
      </w:r>
    </w:p>
    <w:p w14:paraId="12692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预算收入300万元，资金来源为纳入一般公共预算的非税收入拨款300万元。2023年度支出决算数为300万元，主要用于支付查处案件办公费、印刷费、差旅费、委托业务费、劳务费、其他交通费、其他商品和服务支出等支出。</w:t>
      </w:r>
    </w:p>
    <w:p w14:paraId="1393659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总体绩效目标完成情况</w:t>
      </w:r>
    </w:p>
    <w:p w14:paraId="31DABF47">
      <w:pPr>
        <w:pStyle w:val="2"/>
        <w:framePr/>
        <w:numPr>
          <w:numId w:val="0"/>
        </w:numPr>
        <w:ind w:leftChars="0" w:right="0" w:rightChars="0" w:firstLine="640" w:firstLineChars="200"/>
        <w:rPr>
          <w:rFonts w:hint="eastAsia"/>
          <w:lang w:val="en-US" w:eastAsia="zh-CN"/>
        </w:rPr>
      </w:pPr>
      <w:r>
        <w:rPr>
          <w:rFonts w:hint="eastAsia" w:ascii="仿宋_GB2312" w:hAnsi="仿宋" w:eastAsia="仿宋_GB2312" w:cs="仿宋"/>
          <w:snapToGrid w:val="0"/>
          <w:sz w:val="32"/>
          <w:szCs w:val="32"/>
          <w:lang w:val="en-US" w:eastAsia="zh-CN"/>
        </w:rPr>
        <w:t>加大线索查办力度。</w:t>
      </w:r>
      <w:r>
        <w:rPr>
          <w:rFonts w:hint="eastAsia" w:ascii="仿宋_GB2312" w:hAnsi="仿宋" w:eastAsia="仿宋_GB2312" w:cs="仿宋"/>
          <w:snapToGrid w:val="0"/>
          <w:sz w:val="32"/>
          <w:szCs w:val="32"/>
        </w:rPr>
        <w:t>坚持有腐必反、有案必查</w:t>
      </w:r>
      <w:r>
        <w:rPr>
          <w:rFonts w:hint="eastAsia" w:ascii="仿宋_GB2312" w:hAnsi="仿宋" w:eastAsia="仿宋_GB2312" w:cs="仿宋"/>
          <w:snapToGrid w:val="0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 w:cs="仿宋"/>
          <w:snapToGrid w:val="0"/>
          <w:sz w:val="32"/>
          <w:szCs w:val="32"/>
          <w:lang w:val="en-US" w:eastAsia="zh-CN"/>
        </w:rPr>
        <w:t>受理</w:t>
      </w:r>
      <w:r>
        <w:rPr>
          <w:rFonts w:hint="eastAsia" w:ascii="仿宋_GB2312" w:hAnsi="仿宋" w:eastAsia="仿宋_GB2312" w:cs="仿宋"/>
          <w:snapToGrid w:val="0"/>
          <w:sz w:val="32"/>
          <w:szCs w:val="32"/>
        </w:rPr>
        <w:t>信访举报</w:t>
      </w:r>
      <w:r>
        <w:rPr>
          <w:rFonts w:hint="eastAsia" w:ascii="仿宋_GB2312" w:hAnsi="仿宋" w:eastAsia="仿宋_GB2312" w:cs="仿宋"/>
          <w:snapToGrid w:val="0"/>
          <w:sz w:val="32"/>
          <w:szCs w:val="32"/>
          <w:lang w:val="en-US" w:eastAsia="zh-CN"/>
        </w:rPr>
        <w:t>206</w:t>
      </w:r>
      <w:r>
        <w:rPr>
          <w:rFonts w:hint="eastAsia" w:ascii="仿宋_GB2312" w:hAnsi="仿宋" w:eastAsia="仿宋_GB2312" w:cs="仿宋"/>
          <w:snapToGrid w:val="0"/>
          <w:sz w:val="32"/>
          <w:szCs w:val="32"/>
        </w:rPr>
        <w:t>件</w:t>
      </w:r>
      <w:r>
        <w:rPr>
          <w:rFonts w:hint="eastAsia" w:ascii="仿宋_GB2312" w:hAnsi="仿宋" w:eastAsia="仿宋_GB2312" w:cs="仿宋"/>
          <w:snapToGrid w:val="0"/>
          <w:sz w:val="32"/>
          <w:szCs w:val="32"/>
          <w:lang w:eastAsia="zh-CN"/>
        </w:rPr>
        <w:t>，处置问题线索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sz w:val="32"/>
          <w:szCs w:val="32"/>
          <w:lang w:val="en-US" w:eastAsia="zh-CN"/>
        </w:rPr>
        <w:t>410件，立案203件，同比增长28%，给予党纪政务处分173人，其中科级实职干部19人。自办长春经开区党工委原副书记陈跃留置案，严肃查处汽车路派出所原辅警崔某某、彭某某渎职案，彻查茈湖口镇育江村7名村干部腐败窝案。协助省纪委监委查办“6.25”专案、协助市纪委监委查办“4.23”专案</w:t>
      </w:r>
      <w:r>
        <w:rPr>
          <w:rFonts w:hint="eastAsia" w:ascii="仿宋_GB2312" w:hAnsi="仿宋" w:eastAsia="仿宋_GB2312" w:cs="仿宋"/>
          <w:snapToGrid w:val="0"/>
          <w:sz w:val="32"/>
          <w:szCs w:val="32"/>
          <w:lang w:eastAsia="zh-CN"/>
        </w:rPr>
        <w:t>。压紧压实“两个责任”。持续加大对履职不到位、责任不落实、工作不认真的单位的问责力度，组织处理23人，党纪政务处分8人。驰而不息纠治“四风”。坚持党性党风党纪一起抓，深入落实中央八项规定及其实施细则精神，持续整治“表现在基层、根子在上面”突出问题，党纪政务处分36人。开展“两带头五整治”纠风防腐专项行动，通报曝光5批次18起典型案例，党纪政务处分60人。严格落实“营商环境提升年”行动。选取4家规模企业、重点项目作为优化营商环境监测点，由区纪委监委班子成员定点联系，及时解决企业诉求。紧盯政务、发改、市监、经开区等重点部门单位，发现问题线索39件，党纪政务处分27人。深入推进“三湘护农”专项行动。制定贯彻落实方案，收到问题线索、信访举报39件，留置1人，党纪政务处分19人，组织处理24人。巩固拓展“洞庭清波”监督成果。制定资阳区2023年度洞庭清波常态化监督工作方案，组织召开“洞庭清波”常态化监督工作部署会。深入推进“洞庭清波”常态化监督，查处腐败和作风问题4起，党纪政务处分2人，组织处理4人。切实解决群众急难愁盼问题。开展领导干部利用职权或影响力为亲友牟利、领导干部子女互相请托办事问题专项整治，组织833名区管干部全面自查自纠，严肃处置相关线索，党纪政务处分14人。深入开展工程建设项目招投标突出问题专项整治，起底问题线索23件，党纪政务处分13人。推进“五医联治”专项行动，发现问题线索36件，党纪政务处分7人，收回医保基金61万余元，查处了市中医医院严重违纪违法案，留置2人。聚焦群众关切的教育领域问题加强执纪监督，党纪政务处分19人，切实维护教育公平。树牢担当作为导向。严格落实“三个区分开来”要求，激励干部大胆改革、勇于创新、干事创业，对敢于担当的干部实施容错纠错，为15名受到不实举报党员干部澄清正名，回访教育受处分党员干部81人次，全面激发攻坚克难、服务发展的内生动力。</w:t>
      </w:r>
    </w:p>
    <w:p w14:paraId="67B021E1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存在的问题和改进措施</w:t>
      </w:r>
    </w:p>
    <w:p w14:paraId="3B1B4DD8">
      <w:pPr>
        <w:pStyle w:val="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right="0" w:rightChars="0" w:firstLine="643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/>
          <w:vertAlign w:val="baseline"/>
          <w:lang w:val="en-US" w:eastAsia="zh-CN" w:bidi="ar-SA"/>
        </w:rPr>
        <w:t>（一）存在的问题</w:t>
      </w:r>
    </w:p>
    <w:p w14:paraId="3B8BF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部门预算主要是根据年初的工作目标及重点，结合上一年度的预算执行情况编制，部分指标编制不够细致全面。</w:t>
      </w:r>
    </w:p>
    <w:p w14:paraId="25F2287E">
      <w:pPr>
        <w:pStyle w:val="2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right="0" w:rightChars="0"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pacing w:val="0"/>
          <w:w w:val="100"/>
          <w:kern w:val="2"/>
          <w:position w:val="0"/>
          <w:sz w:val="32"/>
          <w:szCs w:val="32"/>
          <w:u w:val="none"/>
          <w:shd w:val="clear"/>
          <w:vertAlign w:val="baseline"/>
          <w:lang w:val="en-US" w:eastAsia="zh-CN" w:bidi="ar-SA"/>
        </w:rPr>
        <w:t>（二）改进的建议</w:t>
      </w:r>
    </w:p>
    <w:p w14:paraId="47C0E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根据年初工作规划，科学合理的编制预算。同时，通过加强预算收支管理，不断建立健全内部控制制度，梳理完善内控流程。</w:t>
      </w:r>
    </w:p>
    <w:p w14:paraId="610BEB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六、部门整体支出绩效自评结果拟应用和公开情况</w:t>
      </w:r>
    </w:p>
    <w:p w14:paraId="10F77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（一）绩效自评结果拟应用</w:t>
      </w:r>
    </w:p>
    <w:p w14:paraId="570E7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通过绩效自评，我委严格落实《预算法》及省、市、区绩效管理工作的有关规定，进一步规范财政资金管理，牢固树立预算绩效理念，强化部门支出责任，提高财政资金使用效益，促进纪检监察事业的发展。</w:t>
      </w:r>
    </w:p>
    <w:p w14:paraId="311FBD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（二）绩效自评结果公开情况</w:t>
      </w:r>
    </w:p>
    <w:p w14:paraId="396AB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此次绩效自评报告将在资阳区政府官网上予以全文公布，向社会公开，广泛接受社会监督。</w:t>
      </w:r>
    </w:p>
    <w:p w14:paraId="259E8B60">
      <w:pPr>
        <w:pStyle w:val="3"/>
        <w:ind w:left="0" w:leftChars="0" w:firstLine="0" w:firstLineChars="0"/>
        <w:rPr>
          <w:rFonts w:hint="eastAsia" w:eastAsia="仿宋_GB231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C682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C105C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C105C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2420F3"/>
    <w:multiLevelType w:val="singleLevel"/>
    <w:tmpl w:val="F32420F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503C6B5"/>
    <w:multiLevelType w:val="singleLevel"/>
    <w:tmpl w:val="F503C6B5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CEC6F14"/>
    <w:multiLevelType w:val="singleLevel"/>
    <w:tmpl w:val="2CEC6F14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3FEB6CC8"/>
    <w:multiLevelType w:val="singleLevel"/>
    <w:tmpl w:val="3FEB6C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Mzc1M2Y1ODRkMTExMGEwMDA0NDUzNTVmZmMyNzYifQ=="/>
  </w:docVars>
  <w:rsids>
    <w:rsidRoot w:val="00000000"/>
    <w:rsid w:val="03AD506D"/>
    <w:rsid w:val="041376E6"/>
    <w:rsid w:val="04351B1E"/>
    <w:rsid w:val="04D23811"/>
    <w:rsid w:val="0AB87005"/>
    <w:rsid w:val="0F3721D3"/>
    <w:rsid w:val="12F157AA"/>
    <w:rsid w:val="144162BD"/>
    <w:rsid w:val="149546D7"/>
    <w:rsid w:val="19AB1FD6"/>
    <w:rsid w:val="20EA55E7"/>
    <w:rsid w:val="211D3C0E"/>
    <w:rsid w:val="26560C76"/>
    <w:rsid w:val="3656754F"/>
    <w:rsid w:val="39182E04"/>
    <w:rsid w:val="46492C2C"/>
    <w:rsid w:val="46E836D6"/>
    <w:rsid w:val="49DA3B9B"/>
    <w:rsid w:val="50AD689E"/>
    <w:rsid w:val="5B7D2471"/>
    <w:rsid w:val="5FA8056B"/>
    <w:rsid w:val="64041AE8"/>
    <w:rsid w:val="66A03D4A"/>
    <w:rsid w:val="697742A5"/>
    <w:rsid w:val="6A570B6A"/>
    <w:rsid w:val="6F5E0568"/>
    <w:rsid w:val="70BF7E53"/>
    <w:rsid w:val="73D059BB"/>
    <w:rsid w:val="7C44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0"/>
    <w:pPr>
      <w:keepNext w:val="0"/>
      <w:keepLines w:val="0"/>
      <w:pageBreakBefore w:val="0"/>
      <w:framePr w:wrap="auto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hint="eastAsia" w:ascii="Arial Unicode MS" w:hAnsi="Arial Unicode MS" w:eastAsia="Arial Unicode MS" w:cs="Arial Unicode MS"/>
      <w:color w:val="000000"/>
      <w:spacing w:val="0"/>
      <w:w w:val="100"/>
      <w:kern w:val="2"/>
      <w:position w:val="0"/>
      <w:sz w:val="32"/>
      <w:szCs w:val="32"/>
      <w:u w:val="none" w:color="000000"/>
      <w:shd w:val="clear" w:color="auto" w:fill="auto"/>
      <w:vertAlign w:val="baseline"/>
      <w:lang w:val="en-US"/>
    </w:r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2922</Words>
  <Characters>3078</Characters>
  <Lines>0</Lines>
  <Paragraphs>0</Paragraphs>
  <TotalTime>0</TotalTime>
  <ScaleCrop>false</ScaleCrop>
  <LinksUpToDate>false</LinksUpToDate>
  <CharactersWithSpaces>3120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WPS_1665734332</cp:lastModifiedBy>
  <cp:lastPrinted>2023-04-28T06:58:00Z</cp:lastPrinted>
  <dcterms:modified xsi:type="dcterms:W3CDTF">2024-06-20T01:22:26Z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154BEE2E6C3345949E986B7E9C4FED4A</vt:lpwstr>
  </property>
</Properties>
</file>