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lang w:eastAsia="zh-CN"/>
        </w:rPr>
      </w:pPr>
      <w:r>
        <w:rPr>
          <w:rFonts w:hint="eastAsia"/>
          <w:lang w:eastAsia="zh-CN"/>
        </w:rPr>
        <w:t>益阳市资阳区城市管理和综合执法局直属二大队</w:t>
      </w:r>
    </w:p>
    <w:p>
      <w:pPr>
        <w:pStyle w:val="4"/>
        <w:bidi w:val="0"/>
        <w:jc w:val="center"/>
      </w:pPr>
      <w:r>
        <w:rPr>
          <w:rFonts w:hint="eastAsia" w:eastAsia="宋体"/>
          <w:lang w:eastAsia="zh-CN"/>
        </w:rPr>
        <w:t>2023年</w:t>
      </w:r>
      <w:r>
        <w:t>度整体支出绩效</w:t>
      </w:r>
    </w:p>
    <w:p>
      <w:pPr>
        <w:pStyle w:val="4"/>
        <w:bidi w:val="0"/>
        <w:jc w:val="center"/>
      </w:pPr>
      <w:r>
        <w:t>自评报告</w:t>
      </w:r>
      <w:bookmarkStart w:id="0" w:name="_GoBack"/>
      <w:bookmarkEnd w:id="0"/>
    </w:p>
    <w:p>
      <w:pPr>
        <w:pStyle w:val="3"/>
        <w:spacing w:before="6"/>
        <w:rPr>
          <w:rFonts w:ascii="Arial Unicode MS"/>
          <w:sz w:val="39"/>
        </w:rPr>
      </w:pPr>
    </w:p>
    <w:p>
      <w:pPr>
        <w:pStyle w:val="3"/>
        <w:spacing w:before="1"/>
        <w:ind w:left="1500"/>
      </w:pPr>
      <w:r>
        <w:rPr>
          <w:w w:val="95"/>
        </w:rPr>
        <w:t>一、基本情况</w:t>
      </w:r>
    </w:p>
    <w:p>
      <w:pPr>
        <w:pStyle w:val="3"/>
        <w:spacing w:before="235" w:line="393" w:lineRule="auto"/>
        <w:ind w:left="861" w:right="859" w:firstLine="638"/>
        <w:jc w:val="both"/>
        <w:rPr>
          <w:rFonts w:hint="default"/>
          <w:spacing w:val="-11"/>
          <w:lang w:val="en-US" w:eastAsia="zh-CN"/>
        </w:rPr>
      </w:pPr>
      <w:r>
        <w:rPr>
          <w:rFonts w:hint="eastAsia"/>
          <w:spacing w:val="-11"/>
          <w:lang w:eastAsia="zh-CN"/>
        </w:rPr>
        <w:t>益阳市资阳区城市管理和综合执法局直属二大队</w:t>
      </w:r>
      <w:r>
        <w:rPr>
          <w:spacing w:val="-11"/>
        </w:rPr>
        <w:t>是</w:t>
      </w:r>
      <w:r>
        <w:rPr>
          <w:rFonts w:hint="eastAsia"/>
          <w:spacing w:val="-11"/>
          <w:lang w:val="en-US" w:eastAsia="zh-CN"/>
        </w:rPr>
        <w:t>全额拨款的二级预算单位，上级单位是</w:t>
      </w:r>
      <w:r>
        <w:rPr>
          <w:rFonts w:hint="eastAsia"/>
          <w:spacing w:val="-11"/>
          <w:lang w:eastAsia="zh-CN"/>
        </w:rPr>
        <w:t>益阳市资阳区城市管理和综合执法局</w:t>
      </w:r>
      <w:r>
        <w:rPr>
          <w:rFonts w:hint="eastAsia"/>
          <w:spacing w:val="-11"/>
          <w:lang w:val="en-US" w:eastAsia="zh-CN"/>
        </w:rPr>
        <w:t>。</w:t>
      </w:r>
    </w:p>
    <w:p>
      <w:pPr>
        <w:pStyle w:val="3"/>
        <w:spacing w:before="5"/>
        <w:ind w:left="1500"/>
      </w:pPr>
      <w:r>
        <w:t>（一）、机构情况</w:t>
      </w:r>
    </w:p>
    <w:p>
      <w:pPr>
        <w:pStyle w:val="3"/>
        <w:spacing w:before="6" w:line="393" w:lineRule="auto"/>
        <w:ind w:left="861" w:right="859" w:firstLine="638"/>
        <w:jc w:val="both"/>
      </w:pPr>
      <w:r>
        <w:t>益阳市资阳区城市管理和综合执法局直属二大队内设机构包括：内设办公室一个，中队14个。</w:t>
      </w:r>
    </w:p>
    <w:p>
      <w:pPr>
        <w:pStyle w:val="3"/>
        <w:spacing w:before="4"/>
        <w:ind w:left="1500"/>
      </w:pPr>
      <w:r>
        <w:t>（二）、主要职能</w:t>
      </w:r>
    </w:p>
    <w:p>
      <w:pPr>
        <w:pStyle w:val="3"/>
        <w:spacing w:before="6" w:line="393" w:lineRule="auto"/>
        <w:ind w:left="861" w:right="859" w:firstLine="638"/>
        <w:jc w:val="both"/>
      </w:pPr>
      <w:r>
        <w:t>负责中心城区规划建成区内查违控违拆违工作，包括中心城区规划建成区内村（居）民违规建房、主次干道以外区域未经规划部门审批核发规划许可证的违法建设行为的监督管理、行政处罚和强制拆除。</w:t>
      </w:r>
    </w:p>
    <w:p>
      <w:pPr>
        <w:pStyle w:val="3"/>
        <w:spacing w:before="6" w:line="393" w:lineRule="auto"/>
        <w:ind w:left="861" w:right="859" w:firstLine="638"/>
        <w:jc w:val="both"/>
        <w:sectPr>
          <w:footerReference r:id="rId5" w:type="default"/>
          <w:type w:val="continuous"/>
          <w:pgSz w:w="11910" w:h="16840"/>
          <w:pgMar w:top="1580" w:right="840" w:bottom="1160" w:left="840" w:header="720" w:footer="970" w:gutter="0"/>
          <w:pgNumType w:start="1"/>
          <w:cols w:space="720" w:num="1"/>
        </w:sectPr>
      </w:pPr>
    </w:p>
    <w:p>
      <w:pPr>
        <w:pStyle w:val="3"/>
        <w:spacing w:before="5"/>
        <w:rPr>
          <w:sz w:val="18"/>
        </w:rPr>
      </w:pPr>
    </w:p>
    <w:p>
      <w:pPr>
        <w:pStyle w:val="3"/>
        <w:spacing w:before="6"/>
        <w:ind w:left="1500"/>
      </w:pPr>
      <w:r>
        <w:t>(三)、人员情况</w:t>
      </w:r>
    </w:p>
    <w:p>
      <w:pPr>
        <w:pStyle w:val="3"/>
        <w:spacing w:before="235"/>
        <w:ind w:left="861"/>
      </w:pPr>
      <w:r>
        <w:t>单位共有编制人数3</w:t>
      </w:r>
      <w:r>
        <w:rPr>
          <w:rFonts w:hint="eastAsia"/>
          <w:lang w:val="en-US" w:eastAsia="zh-CN"/>
        </w:rPr>
        <w:t>7</w:t>
      </w:r>
      <w:r>
        <w:t>人，实有人数4</w:t>
      </w:r>
      <w:r>
        <w:rPr>
          <w:rFonts w:hint="eastAsia"/>
          <w:lang w:val="en-US" w:eastAsia="zh-CN"/>
        </w:rPr>
        <w:t>1</w:t>
      </w:r>
      <w:r>
        <w:t>人。</w:t>
      </w:r>
    </w:p>
    <w:p>
      <w:pPr>
        <w:pStyle w:val="3"/>
        <w:spacing w:before="235"/>
        <w:ind w:left="1500"/>
      </w:pPr>
      <w:r>
        <w:t>二、一般公共预算支出情况</w:t>
      </w:r>
    </w:p>
    <w:p>
      <w:pPr>
        <w:pStyle w:val="3"/>
        <w:spacing w:before="54" w:line="393" w:lineRule="auto"/>
        <w:ind w:left="861" w:right="702"/>
        <w:jc w:val="both"/>
      </w:pPr>
      <w:r>
        <w:rPr>
          <w:rFonts w:hint="eastAsia"/>
          <w:lang w:eastAsia="zh-CN"/>
        </w:rPr>
        <w:t>2023年</w:t>
      </w:r>
      <w:r>
        <w:rPr>
          <w:spacing w:val="-17"/>
        </w:rPr>
        <w:t xml:space="preserve">本部门一般公共预算拨款支出 </w:t>
      </w:r>
      <w:r>
        <w:rPr>
          <w:rFonts w:hint="eastAsia"/>
        </w:rPr>
        <w:t>743.9</w:t>
      </w:r>
      <w:r>
        <w:rPr>
          <w:spacing w:val="-39"/>
        </w:rPr>
        <w:t xml:space="preserve">万元，其中， </w:t>
      </w:r>
      <w:r>
        <w:rPr>
          <w:rFonts w:hint="eastAsia"/>
          <w:spacing w:val="-39"/>
        </w:rPr>
        <w:t>城乡社区支出</w:t>
      </w:r>
      <w:r>
        <w:rPr>
          <w:spacing w:val="-17"/>
        </w:rPr>
        <w:t xml:space="preserve"> </w:t>
      </w:r>
      <w:r>
        <w:rPr>
          <w:rFonts w:hint="eastAsia"/>
        </w:rPr>
        <w:t>743.9</w:t>
      </w:r>
      <w:r>
        <w:rPr>
          <w:spacing w:val="-28"/>
        </w:rPr>
        <w:t xml:space="preserve">万元，占 </w:t>
      </w:r>
      <w:r>
        <w:rPr>
          <w:rFonts w:hint="eastAsia"/>
          <w:lang w:val="en-US" w:eastAsia="zh-CN"/>
        </w:rPr>
        <w:t>100</w:t>
      </w:r>
      <w:r>
        <w:t>%。</w:t>
      </w:r>
    </w:p>
    <w:p>
      <w:pPr>
        <w:pStyle w:val="3"/>
        <w:spacing w:before="8" w:line="393" w:lineRule="auto"/>
        <w:ind w:left="861" w:right="859" w:firstLine="638"/>
      </w:pPr>
      <w:r>
        <w:rPr>
          <w:spacing w:val="-13"/>
        </w:rPr>
        <w:t>三、政府性基金预算支出情况本部门无政府性基金安排的支出。</w:t>
      </w:r>
    </w:p>
    <w:p>
      <w:pPr>
        <w:pStyle w:val="3"/>
        <w:spacing w:before="3" w:line="393" w:lineRule="auto"/>
        <w:ind w:left="861" w:right="1044" w:firstLine="638"/>
      </w:pPr>
      <w:r>
        <w:t>四、国有资本经营预算支出情况本部门无国有资本经营预算支出。</w:t>
      </w:r>
    </w:p>
    <w:p>
      <w:pPr>
        <w:pStyle w:val="3"/>
        <w:spacing w:before="2" w:line="393" w:lineRule="auto"/>
        <w:ind w:left="1500" w:right="3924"/>
      </w:pPr>
      <w:r>
        <w:t xml:space="preserve">五、社会保险基金预算支出情况 </w:t>
      </w:r>
      <w:r>
        <w:rPr>
          <w:spacing w:val="-1"/>
        </w:rPr>
        <w:t>本部门无社会保险基金预算支出。</w:t>
      </w:r>
      <w:r>
        <w:t>六、部门整体支出绩效情况</w:t>
      </w:r>
    </w:p>
    <w:p>
      <w:pPr>
        <w:pStyle w:val="3"/>
        <w:spacing w:before="5"/>
        <w:ind w:left="1500"/>
        <w:rPr>
          <w:rFonts w:hint="eastAsia" w:eastAsia="仿宋"/>
          <w:lang w:eastAsia="zh-CN"/>
        </w:rPr>
      </w:pPr>
      <w:r>
        <w:t xml:space="preserve">本年度财政拨款总支出为 </w:t>
      </w:r>
      <w:r>
        <w:rPr>
          <w:rFonts w:hint="eastAsia"/>
        </w:rPr>
        <w:t>743.9</w:t>
      </w:r>
      <w:r>
        <w:rPr>
          <w:spacing w:val="-39"/>
        </w:rPr>
        <w:t>万元</w:t>
      </w:r>
      <w:r>
        <w:t>，基本支出</w:t>
      </w:r>
      <w:r>
        <w:rPr>
          <w:rFonts w:hint="eastAsia"/>
          <w:lang w:val="en-US" w:eastAsia="zh-CN"/>
        </w:rPr>
        <w:t>0</w:t>
      </w:r>
    </w:p>
    <w:p>
      <w:pPr>
        <w:pStyle w:val="3"/>
        <w:spacing w:before="235" w:line="393" w:lineRule="auto"/>
        <w:ind w:left="861" w:right="702"/>
      </w:pPr>
      <w:r>
        <w:rPr>
          <w:spacing w:val="-18"/>
        </w:rPr>
        <w:t xml:space="preserve">万元，项目支出 </w:t>
      </w:r>
      <w:r>
        <w:rPr>
          <w:rFonts w:hint="eastAsia"/>
        </w:rPr>
        <w:t>743.9</w:t>
      </w:r>
      <w:r>
        <w:rPr>
          <w:spacing w:val="-39"/>
        </w:rPr>
        <w:t>万元</w:t>
      </w:r>
      <w:r>
        <w:t>。</w:t>
      </w:r>
    </w:p>
    <w:p>
      <w:pPr>
        <w:pStyle w:val="3"/>
        <w:spacing w:before="3" w:line="393" w:lineRule="auto"/>
        <w:ind w:left="861" w:right="859" w:firstLine="638"/>
        <w:jc w:val="both"/>
        <w:rPr>
          <w:spacing w:val="-9"/>
        </w:rPr>
      </w:pPr>
      <w:r>
        <w:rPr>
          <w:rFonts w:hint="eastAsia"/>
          <w:spacing w:val="-9"/>
          <w:lang w:eastAsia="zh-CN"/>
        </w:rPr>
        <w:t>2023年</w:t>
      </w:r>
      <w:r>
        <w:rPr>
          <w:spacing w:val="-9"/>
        </w:rPr>
        <w:t>取得的主要事业成效：</w:t>
      </w:r>
    </w:p>
    <w:p>
      <w:pPr>
        <w:pStyle w:val="3"/>
        <w:spacing w:before="3" w:line="393" w:lineRule="auto"/>
        <w:ind w:left="861" w:right="859" w:firstLine="638"/>
        <w:jc w:val="both"/>
        <w:rPr>
          <w:spacing w:val="-9"/>
        </w:rPr>
      </w:pPr>
      <w:r>
        <w:rPr>
          <w:rFonts w:hint="eastAsia"/>
          <w:spacing w:val="-9"/>
          <w:lang w:val="en-US" w:eastAsia="zh-CN"/>
        </w:rPr>
        <w:t>2</w:t>
      </w:r>
      <w:r>
        <w:rPr>
          <w:spacing w:val="-9"/>
        </w:rPr>
        <w:t xml:space="preserve">023年，在区委、区政府和局党组的正确领导下，我大队严格落实市区两级整治违法建设三年专项行动工作要求，与全区各属地责任单位协同作战，强势拆除一批批违法建设，有效遏制了违法建设行为，查违控违拆违工作取得可喜成绩。全年共开展整治违法建设拆违行动26次，出动人员657人次、工程机械12台次、其他车辆145台次，拆除违法建筑139处4799.29平方米；回填鱼塘11处，占地22.42亩，拆除菜棚1处，占地17亩。其中，拆除新发违建25处2640平方米，拆除存量违建114处2159.29平方米。 </w:t>
      </w:r>
    </w:p>
    <w:p>
      <w:pPr>
        <w:pStyle w:val="3"/>
        <w:spacing w:before="3" w:line="393" w:lineRule="auto"/>
        <w:ind w:left="861" w:right="859" w:firstLine="638"/>
        <w:jc w:val="both"/>
        <w:rPr>
          <w:spacing w:val="-9"/>
        </w:rPr>
      </w:pPr>
      <w:r>
        <w:rPr>
          <w:spacing w:val="-9"/>
        </w:rPr>
        <w:t>本单位严格按照预算执行要求，严控资金指标的使用，做到预算与实际支出基本一致。</w:t>
      </w:r>
    </w:p>
    <w:p>
      <w:pPr>
        <w:pStyle w:val="3"/>
        <w:spacing w:before="14" w:line="393" w:lineRule="auto"/>
        <w:ind w:left="861" w:right="859" w:firstLine="638"/>
      </w:pPr>
      <w:r>
        <w:rPr>
          <w:spacing w:val="-8"/>
        </w:rPr>
        <w:t>七、存在的问题及原因分析</w:t>
      </w:r>
    </w:p>
    <w:p>
      <w:pPr>
        <w:pStyle w:val="3"/>
        <w:spacing w:before="3" w:line="393" w:lineRule="auto"/>
        <w:ind w:left="861" w:right="859" w:firstLine="638"/>
        <w:jc w:val="both"/>
      </w:pPr>
      <w:r>
        <w:rPr>
          <w:spacing w:val="-9"/>
        </w:rPr>
        <w:t>部门整体支出绩效管理工作意识淡薄，主要表现为一部门</w:t>
      </w:r>
      <w:r>
        <w:rPr>
          <w:spacing w:val="-17"/>
          <w:w w:val="95"/>
        </w:rPr>
        <w:t>年度预算编制当中绩效目标意识不够；二对部门整体支出绩效</w:t>
      </w:r>
      <w:r>
        <w:rPr>
          <w:spacing w:val="-17"/>
        </w:rPr>
        <w:t>评价结果利用欠充分。</w:t>
      </w:r>
    </w:p>
    <w:p>
      <w:pPr>
        <w:pStyle w:val="3"/>
        <w:spacing w:before="4"/>
        <w:ind w:left="1500"/>
      </w:pPr>
      <w:r>
        <w:rPr>
          <w:rFonts w:hint="eastAsia"/>
          <w:lang w:val="en-US" w:eastAsia="zh-CN"/>
        </w:rPr>
        <w:t>八</w:t>
      </w:r>
      <w:r>
        <w:t>、下一步改进措施</w:t>
      </w:r>
    </w:p>
    <w:p>
      <w:pPr>
        <w:pStyle w:val="3"/>
        <w:spacing w:before="235" w:line="393" w:lineRule="auto"/>
        <w:ind w:left="1500" w:right="859"/>
      </w:pPr>
      <w:r>
        <w:t>（一）、完善绩效评价体系，加强监督检查和考核工作</w:t>
      </w:r>
      <w:r>
        <w:rPr>
          <w:spacing w:val="-8"/>
          <w:w w:val="95"/>
        </w:rPr>
        <w:t>进一步探索完善项目绩效评价指标体系，研究、关注绩效</w:t>
      </w:r>
    </w:p>
    <w:p>
      <w:pPr>
        <w:pStyle w:val="3"/>
        <w:spacing w:before="3" w:line="393" w:lineRule="auto"/>
        <w:ind w:left="861" w:right="859"/>
      </w:pPr>
      <w:r>
        <w:rPr>
          <w:spacing w:val="-9"/>
          <w:w w:val="95"/>
        </w:rPr>
        <w:t xml:space="preserve">管理理论与实践发展的新思路、新动向，进一步完善项目绩效 </w:t>
      </w:r>
      <w:r>
        <w:rPr>
          <w:spacing w:val="-15"/>
          <w:w w:val="95"/>
        </w:rPr>
        <w:t>评价指标体系，增强绩效评价结果的可比性、可信度。加强对</w:t>
      </w:r>
    </w:p>
    <w:p>
      <w:pPr>
        <w:spacing w:after="0" w:line="393" w:lineRule="auto"/>
        <w:sectPr>
          <w:pgSz w:w="11910" w:h="16840"/>
          <w:pgMar w:top="1580" w:right="840" w:bottom="1160" w:left="840" w:header="0" w:footer="970" w:gutter="0"/>
          <w:cols w:space="720" w:num="1"/>
        </w:sectPr>
      </w:pPr>
    </w:p>
    <w:p>
      <w:pPr>
        <w:pStyle w:val="3"/>
        <w:spacing w:before="5"/>
        <w:rPr>
          <w:sz w:val="18"/>
        </w:rPr>
      </w:pPr>
    </w:p>
    <w:p>
      <w:pPr>
        <w:pStyle w:val="3"/>
        <w:spacing w:before="54" w:line="393" w:lineRule="auto"/>
        <w:ind w:left="861" w:right="859"/>
      </w:pPr>
      <w:r>
        <w:rPr>
          <w:spacing w:val="-8"/>
          <w:w w:val="95"/>
        </w:rPr>
        <w:t xml:space="preserve">绩效管理工作的跟踪督查，做到绩效管理有依据、按程序、有 </w:t>
      </w:r>
      <w:r>
        <w:rPr>
          <w:spacing w:val="-8"/>
        </w:rPr>
        <w:t>奖惩，实现绩效管理的规范化、常态化。</w:t>
      </w:r>
    </w:p>
    <w:p>
      <w:pPr>
        <w:pStyle w:val="3"/>
        <w:spacing w:before="3"/>
        <w:ind w:left="1500"/>
      </w:pPr>
      <w:r>
        <w:t>（二）提高认识，加强部门整体支出绩效评价工作</w:t>
      </w:r>
    </w:p>
    <w:p>
      <w:pPr>
        <w:pStyle w:val="3"/>
        <w:spacing w:before="235" w:line="393" w:lineRule="auto"/>
        <w:ind w:left="861" w:right="726" w:firstLine="638"/>
      </w:pPr>
      <w:r>
        <w:rPr>
          <w:spacing w:val="-6"/>
        </w:rPr>
        <w:t>单位全体干职工要提升部门整体支出绩效管理意识，将绩</w:t>
      </w:r>
      <w:r>
        <w:rPr>
          <w:spacing w:val="-14"/>
        </w:rPr>
        <w:t>效理念贯穿于预算编制与执行的全过程。对每个部门以及项目</w:t>
      </w:r>
      <w:r>
        <w:rPr>
          <w:spacing w:val="-18"/>
        </w:rPr>
        <w:t>都分别制定相应的绩效指标，将部门整体支出绩效评价工作落实到每一笔费用支出当中，科学合理地对财政支出进行管理。</w:t>
      </w:r>
      <w:r>
        <w:rPr>
          <w:spacing w:val="-11"/>
        </w:rPr>
        <w:t>一是合理安排收支预算，严格预算管理；二是重视日常财务收</w:t>
      </w:r>
      <w:r>
        <w:rPr>
          <w:spacing w:val="-15"/>
        </w:rPr>
        <w:t>支管理工作；三是完善各项财务管理制度；四是科学调度，厉行节约。</w:t>
      </w:r>
    </w:p>
    <w:p>
      <w:pPr>
        <w:pStyle w:val="3"/>
        <w:spacing w:before="2"/>
        <w:ind w:left="1500"/>
      </w:pPr>
      <w:r>
        <w:t>报告附以下附件：</w:t>
      </w:r>
    </w:p>
    <w:p>
      <w:pPr>
        <w:pStyle w:val="3"/>
        <w:spacing w:before="235"/>
        <w:ind w:left="1500"/>
      </w:pPr>
      <w:r>
        <w:t>1、部门整体支出绩效评价基础数据表</w:t>
      </w:r>
    </w:p>
    <w:p>
      <w:pPr>
        <w:pStyle w:val="3"/>
        <w:spacing w:before="235"/>
        <w:ind w:left="1500"/>
      </w:pPr>
      <w:r>
        <w:t>2、部门整体支出绩效自评表</w:t>
      </w:r>
    </w:p>
    <w:p>
      <w:pPr>
        <w:pStyle w:val="3"/>
      </w:pPr>
    </w:p>
    <w:p>
      <w:pPr>
        <w:pStyle w:val="3"/>
        <w:spacing w:before="3"/>
        <w:rPr>
          <w:sz w:val="41"/>
        </w:rPr>
      </w:pPr>
    </w:p>
    <w:p>
      <w:pPr>
        <w:pStyle w:val="3"/>
        <w:spacing w:line="393" w:lineRule="auto"/>
        <w:ind w:left="5661" w:right="1363" w:hanging="641"/>
        <w:rPr>
          <w:rFonts w:ascii="微软雅黑"/>
          <w:sz w:val="10"/>
        </w:rPr>
        <w:sectPr>
          <w:footerReference r:id="rId6" w:type="default"/>
          <w:pgSz w:w="11910" w:h="16840"/>
          <w:pgMar w:top="1580" w:right="840" w:bottom="280" w:left="840" w:header="0" w:footer="0" w:gutter="0"/>
          <w:cols w:space="720" w:num="1"/>
        </w:sectPr>
      </w:pPr>
      <w:r>
        <w:rPr>
          <w:rFonts w:hint="eastAsia"/>
          <w:spacing w:val="-2"/>
          <w:lang w:eastAsia="zh-CN"/>
        </w:rPr>
        <w:t>益阳市资阳区城市管理和综合执法局直属二大队</w:t>
      </w:r>
      <w:r>
        <w:t>202</w:t>
      </w:r>
      <w:r>
        <w:rPr>
          <w:rFonts w:hint="eastAsia"/>
          <w:lang w:val="en-US" w:eastAsia="zh-CN"/>
        </w:rPr>
        <w:t>4</w:t>
      </w:r>
      <w:r>
        <w:rPr>
          <w:spacing w:val="-55"/>
        </w:rPr>
        <w:t xml:space="preserve"> 年 </w:t>
      </w:r>
      <w:r>
        <w:rPr>
          <w:rFonts w:hint="eastAsia"/>
          <w:spacing w:val="-55"/>
          <w:lang w:val="en-US" w:eastAsia="zh-CN"/>
        </w:rPr>
        <w:t>5</w:t>
      </w:r>
      <w:r>
        <w:rPr>
          <w:spacing w:val="-54"/>
        </w:rPr>
        <w:t xml:space="preserve"> 月 </w:t>
      </w:r>
      <w:r>
        <w:rPr>
          <w:rFonts w:hint="eastAsia"/>
          <w:lang w:val="en-US" w:eastAsia="zh-CN"/>
        </w:rPr>
        <w:t>28</w:t>
      </w:r>
      <w:r>
        <w:rPr>
          <w:spacing w:val="-40"/>
        </w:rPr>
        <w:t>日</w:t>
      </w:r>
    </w:p>
    <w:p>
      <w:pPr>
        <w:spacing w:before="63"/>
        <w:ind w:left="0" w:right="1" w:firstLine="0"/>
        <w:jc w:val="both"/>
        <w:rPr>
          <w:rFonts w:ascii="Calibri"/>
          <w:sz w:val="18"/>
        </w:rPr>
      </w:pPr>
    </w:p>
    <w:sectPr>
      <w:footerReference r:id="rId7" w:type="default"/>
      <w:pgSz w:w="11910" w:h="16840"/>
      <w:pgMar w:top="1580" w:right="840" w:bottom="280" w:left="84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1"/>
    <w:family w:val="roman"/>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Arial Unicode MS">
    <w:altName w:val="Arial"/>
    <w:panose1 w:val="00000000000000000000"/>
    <w:charset w:val="01"/>
    <w:family w:val="swiss"/>
    <w:pitch w:val="default"/>
    <w:sig w:usb0="00000000" w:usb1="00000000" w:usb2="00000000" w:usb3="00000000" w:csb0="00000000"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Microsoft YaHei UI">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2049" o:spid="_x0000_s2049" o:spt="202" type="#_x0000_t202" style="position:absolute;left:0pt;margin-left:292.3pt;margin-top:782.35pt;height:11pt;width:10.6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jYzNjM1MWQ2OTIyNGIwMzdiMjU3NjMwNzE0YzMzM2EifQ=="/>
  </w:docVars>
  <w:rsids>
    <w:rsidRoot w:val="00000000"/>
    <w:rsid w:val="331A64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en-US" w:eastAsia="zh-CN" w:bidi="ar-SA"/>
    </w:rPr>
  </w:style>
  <w:style w:type="paragraph" w:styleId="2">
    <w:name w:val="heading 1"/>
    <w:basedOn w:val="1"/>
    <w:qFormat/>
    <w:uiPriority w:val="1"/>
    <w:pPr>
      <w:ind w:left="520"/>
      <w:outlineLvl w:val="1"/>
    </w:pPr>
    <w:rPr>
      <w:rFonts w:ascii="微软雅黑" w:hAnsi="微软雅黑" w:eastAsia="微软雅黑" w:cs="微软雅黑"/>
      <w:sz w:val="36"/>
      <w:szCs w:val="36"/>
      <w:lang w:val="en-US" w:eastAsia="zh-CN" w:bidi="ar-SA"/>
    </w:rPr>
  </w:style>
  <w:style w:type="character" w:default="1" w:styleId="6">
    <w:name w:val="Default Paragraph Font"/>
    <w:semiHidden/>
    <w:unhideWhenUsed/>
    <w:qFormat/>
    <w:uiPriority w:val="1"/>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lang w:val="en-US" w:eastAsia="zh-CN" w:bidi="ar-SA"/>
    </w:rPr>
  </w:style>
  <w:style w:type="paragraph" w:styleId="4">
    <w:name w:val="Title"/>
    <w:basedOn w:val="1"/>
    <w:qFormat/>
    <w:uiPriority w:val="1"/>
    <w:pPr>
      <w:spacing w:before="184"/>
      <w:ind w:left="1927" w:right="1884" w:firstLine="693"/>
    </w:pPr>
    <w:rPr>
      <w:rFonts w:ascii="Arial Unicode MS" w:hAnsi="Arial Unicode MS" w:eastAsia="Arial Unicode MS" w:cs="Arial Unicode MS"/>
      <w:sz w:val="44"/>
      <w:szCs w:val="44"/>
      <w:lang w:val="en-US" w:eastAsia="zh-CN"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en-US" w:eastAsia="zh-CN" w:bidi="ar-SA"/>
    </w:rPr>
  </w:style>
  <w:style w:type="paragraph" w:customStyle="1" w:styleId="9">
    <w:name w:val="Table Paragraph"/>
    <w:basedOn w:val="1"/>
    <w:qFormat/>
    <w:uiPriority w:val="1"/>
    <w:rPr>
      <w:rFonts w:ascii="仿宋" w:hAnsi="仿宋" w:eastAsia="仿宋" w:cs="仿宋"/>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4310</Words>
  <Characters>4659</Characters>
  <TotalTime>31</TotalTime>
  <ScaleCrop>false</ScaleCrop>
  <LinksUpToDate>false</LinksUpToDate>
  <CharactersWithSpaces>4882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2024-05-28T02:04:00Z</dcterms:created>
  <dc:creator>Administrator</dc:creator>
  <cp:lastModifiedBy>海波ocean</cp:lastModifiedBy>
  <dcterms:modified xsi:type="dcterms:W3CDTF">2024-05-28T02:44:37Z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2023-04-12T00:00:00Z</vt:filetime>
  </property>
  <property fmtid="{D5CDD505-2E9C-101B-9397-08002B2CF9AE}" pid="3" name="Creator">
    <vt:lpwstr>WPS 文字</vt:lpwstr>
  </property>
  <property fmtid="{D5CDD505-2E9C-101B-9397-08002B2CF9AE}" pid="4" name="LastSaved">
    <vt:filetime>2024-05-28T00:00:00Z</vt:filetime>
  </property>
  <property fmtid="{D5CDD505-2E9C-101B-9397-08002B2CF9AE}" pid="5" name="KSOProductBuildVer">
    <vt:lpwstr>2052-12.1.0.16929</vt:lpwstr>
  </property>
  <property fmtid="{D5CDD505-2E9C-101B-9397-08002B2CF9AE}" pid="6" name="ICV">
    <vt:lpwstr>0278DE94D9C44CE3ABB39AF35EE84F20_12</vt:lpwstr>
  </property>
</Properties>
</file>