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48"/>
          <w:szCs w:val="48"/>
        </w:rPr>
      </w:pPr>
      <w:r>
        <w:rPr>
          <w:rFonts w:hint="eastAsia" w:ascii="仿宋" w:hAnsi="仿宋" w:eastAsia="仿宋" w:cs="仿宋"/>
          <w:sz w:val="48"/>
          <w:szCs w:val="48"/>
          <w:lang w:val="en-US" w:eastAsia="zh-CN"/>
        </w:rPr>
        <w:t>2023</w:t>
      </w:r>
      <w:r>
        <w:rPr>
          <w:rFonts w:hint="eastAsia" w:ascii="仿宋" w:hAnsi="仿宋" w:eastAsia="仿宋" w:cs="仿宋"/>
          <w:sz w:val="48"/>
          <w:szCs w:val="48"/>
        </w:rPr>
        <w:t>年度</w:t>
      </w:r>
      <w:r>
        <w:rPr>
          <w:rFonts w:hint="eastAsia" w:ascii="仿宋" w:hAnsi="仿宋" w:eastAsia="仿宋" w:cs="仿宋"/>
          <w:sz w:val="48"/>
          <w:szCs w:val="48"/>
          <w:lang w:eastAsia="zh-CN"/>
        </w:rPr>
        <w:t>资阳区畜牧水产事务中心</w:t>
      </w:r>
      <w:r>
        <w:rPr>
          <w:rFonts w:hint="eastAsia" w:ascii="仿宋" w:hAnsi="仿宋" w:eastAsia="仿宋" w:cs="仿宋"/>
          <w:sz w:val="48"/>
          <w:szCs w:val="48"/>
        </w:rPr>
        <w:t>整体支出绩效自评报告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u w:val="single"/>
          <w:lang w:val="en-US" w:eastAsia="zh-CN"/>
        </w:rPr>
        <w:t xml:space="preserve">  资阳区畜牧水产事务中心  </w:t>
      </w:r>
    </w:p>
    <w:p>
      <w:pPr>
        <w:ind w:firstLine="3240" w:firstLineChars="900"/>
        <w:jc w:val="both"/>
        <w:rPr>
          <w:rFonts w:hint="eastAsia" w:ascii="仿宋" w:hAnsi="仿宋" w:eastAsia="仿宋" w:cs="仿宋"/>
          <w:sz w:val="36"/>
          <w:szCs w:val="36"/>
          <w:u w:val="none"/>
          <w:lang w:val="en-US" w:eastAsia="zh-CN"/>
        </w:rPr>
      </w:pPr>
    </w:p>
    <w:p>
      <w:pPr>
        <w:ind w:firstLine="3240" w:firstLineChars="900"/>
        <w:jc w:val="both"/>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2024年 5 月 30 日</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p>
    <w:p>
      <w:pPr>
        <w:pStyle w:val="2"/>
        <w:rPr>
          <w:rFonts w:hint="eastAsia"/>
        </w:rPr>
      </w:pPr>
    </w:p>
    <w:p>
      <w:pPr>
        <w:spacing w:line="560" w:lineRule="exact"/>
        <w:ind w:firstLine="360" w:firstLineChars="100"/>
        <w:jc w:val="center"/>
        <w:rPr>
          <w:rFonts w:hint="eastAsia" w:ascii="仿宋" w:hAnsi="仿宋" w:eastAsia="仿宋" w:cs="仿宋"/>
          <w:sz w:val="36"/>
          <w:szCs w:val="36"/>
          <w:lang w:val="en-US" w:eastAsia="zh-CN"/>
        </w:rPr>
      </w:pPr>
    </w:p>
    <w:p>
      <w:pPr>
        <w:spacing w:line="600" w:lineRule="exact"/>
        <w:ind w:firstLine="321" w:firstLineChars="100"/>
        <w:jc w:val="center"/>
        <w:rPr>
          <w:rFonts w:hint="eastAsia" w:ascii="仿宋_GB2312" w:hAnsi="仿宋_GB2312" w:eastAsia="仿宋_GB2312" w:cs="仿宋_GB2312"/>
          <w:b/>
          <w:bCs/>
          <w:kern w:val="0"/>
          <w:sz w:val="32"/>
          <w:szCs w:val="32"/>
          <w:lang w:val="en-US" w:eastAsia="zh-CN" w:bidi="ar-SA"/>
        </w:rPr>
      </w:pPr>
      <w:r>
        <w:rPr>
          <w:rFonts w:hint="eastAsia" w:ascii="仿宋_GB2312" w:hAnsi="仿宋_GB2312" w:cs="仿宋_GB2312"/>
          <w:b/>
          <w:bCs/>
          <w:kern w:val="0"/>
          <w:sz w:val="32"/>
          <w:szCs w:val="32"/>
          <w:lang w:val="en-US" w:eastAsia="zh-CN" w:bidi="ar-SA"/>
        </w:rPr>
        <w:t>2023</w:t>
      </w:r>
      <w:r>
        <w:rPr>
          <w:rFonts w:hint="eastAsia" w:ascii="仿宋_GB2312" w:hAnsi="仿宋_GB2312" w:eastAsia="仿宋_GB2312" w:cs="仿宋_GB2312"/>
          <w:b/>
          <w:bCs/>
          <w:kern w:val="0"/>
          <w:sz w:val="32"/>
          <w:szCs w:val="32"/>
          <w:lang w:val="en-US" w:eastAsia="zh-CN" w:bidi="ar-SA"/>
        </w:rPr>
        <w:t>年度</w:t>
      </w:r>
      <w:r>
        <w:rPr>
          <w:rFonts w:hint="eastAsia" w:ascii="仿宋_GB2312" w:hAnsi="仿宋_GB2312" w:cs="仿宋_GB2312"/>
          <w:b/>
          <w:bCs/>
          <w:kern w:val="0"/>
          <w:sz w:val="32"/>
          <w:szCs w:val="32"/>
          <w:lang w:val="en-US" w:eastAsia="zh-CN" w:bidi="ar-SA"/>
        </w:rPr>
        <w:t>资阳区畜牧水产事务中心</w:t>
      </w:r>
      <w:r>
        <w:rPr>
          <w:rFonts w:hint="eastAsia" w:ascii="仿宋_GB2312" w:hAnsi="仿宋_GB2312" w:eastAsia="仿宋_GB2312" w:cs="仿宋_GB2312"/>
          <w:b/>
          <w:bCs/>
          <w:kern w:val="0"/>
          <w:sz w:val="32"/>
          <w:szCs w:val="32"/>
          <w:lang w:val="en-US" w:eastAsia="zh-CN" w:bidi="ar-SA"/>
        </w:rPr>
        <w:t>整体支出绩效自评报告</w:t>
      </w:r>
    </w:p>
    <w:p>
      <w:pPr>
        <w:pStyle w:val="2"/>
        <w:rPr>
          <w:rFonts w:hint="eastAsia"/>
          <w:lang w:val="en-US" w:eastAsia="zh-CN"/>
        </w:rPr>
      </w:pPr>
    </w:p>
    <w:p>
      <w:pPr>
        <w:widowControl/>
        <w:autoSpaceDN w:val="0"/>
        <w:spacing w:line="540" w:lineRule="exact"/>
        <w:ind w:firstLine="64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（一）2023年度重点工作计划；</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年度目标任务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按照上级下达的生猪产能调控指标，能繁母猪稳定在3.4万头，规模猪场稳定在60个。水产养殖面积10.5万亩，水产品产量3.7万吨，继续推广合方鲫养殖与加工。加强重大动物疫病和非洲猪瘟防控，确保全区不发生重大动物疫情。畜禽粪污资源化利用率达到90%以上，规模养殖场粪污处理设施配套率100%。</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2.</w:t>
      </w:r>
      <w:r>
        <w:rPr>
          <w:rFonts w:hint="eastAsia" w:ascii="黑体" w:hAnsi="黑体" w:eastAsia="黑体" w:cs="黑体"/>
          <w:color w:val="000000" w:themeColor="text1"/>
          <w:sz w:val="32"/>
          <w:szCs w:val="32"/>
          <w14:textFill>
            <w14:solidFill>
              <w14:schemeClr w14:val="tx1"/>
            </w14:solidFill>
          </w14:textFill>
        </w:rPr>
        <w:t>重点工作安排</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（1）稳定畜禽生产。</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进一步落实生猪产能调控机制和政策措施，抓好生猪稳产保供和优质湘猪工程，稳定牛、羊、蛋鸡等畜禽生产，确保市场生猪和其他畜禽产品供应稳定。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（2）发展渔业生产。</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一是推广“良种、良法、良销”模式，大力发展鳜鱼和合方鲫等产业，促进渔业一、二、三产业融合发展。二是引进现代渔业设施设备，工厂化繁育鳜鱼、加州鲈、黄颡鱼、合方鲫等名特优新水产品种。</w:t>
      </w:r>
    </w:p>
    <w:p>
      <w:pPr>
        <w:pStyle w:val="2"/>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（3）抓好动物疫病防控工作。</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做好春秋季重大动物疫病集中免疫工作，指导督促养殖场（户）</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落实重大动物疫病和非洲猪瘟防控措施。</w:t>
      </w:r>
    </w:p>
    <w:p>
      <w:pPr>
        <w:pStyle w:val="2"/>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（4）抓好畜禽水产品质量安全。</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加强饲料、兽药、养殖企业生产经营行为和养殖过程中投入品的监管。做好《湖南省兽用抗菌药使用减量化行动2021-2025》2023年工作任务。</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（5）</w:t>
      </w: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抓好养殖污染防治。</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积极申报世行贷款项目，持续推进畜禽养殖场粪污设施升级改造和粪污资源化利用。加强1500亩以上湖泊、小Ⅱ型及以上水库禁肥禁饵监管。</w:t>
      </w:r>
    </w:p>
    <w:p>
      <w:pPr>
        <w:pStyle w:val="2"/>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（6）加强养殖业安全生产监管。</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指导督促各养殖场（户）、生产经营企业落实安全生产主体责任和防控措施，排查安全生产风险隐患，防范和遏制发生重特大安全事故。</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（二）部门整体支出规模、使用方向、主要内容和涉及范围。</w:t>
      </w:r>
    </w:p>
    <w:p>
      <w:pPr>
        <w:pStyle w:val="2"/>
        <w:rPr>
          <w:rFonts w:hint="default"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 xml:space="preserve">     1.</w:t>
      </w:r>
      <w:r>
        <w:rPr>
          <w:rFonts w:hint="eastAsia" w:ascii="仿宋_GB2312" w:hAnsi="仿宋_GB2312" w:eastAsia="仿宋_GB2312" w:cs="仿宋_GB2312"/>
          <w:kern w:val="0"/>
          <w:sz w:val="32"/>
          <w:szCs w:val="32"/>
          <w:lang w:val="en-US" w:eastAsia="zh-CN" w:bidi="ar-SA"/>
        </w:rPr>
        <w:t>部门整体支出</w:t>
      </w:r>
      <w:r>
        <w:rPr>
          <w:rFonts w:hint="eastAsia" w:ascii="仿宋_GB2312" w:hAnsi="仿宋_GB2312" w:cs="仿宋_GB2312"/>
          <w:kern w:val="0"/>
          <w:sz w:val="32"/>
          <w:szCs w:val="32"/>
          <w:lang w:val="en-US" w:eastAsia="zh-CN" w:bidi="ar-SA"/>
        </w:rPr>
        <w:t>规模。2023年度我中心部门整体支出为3767.56万元。涉及基本支出以及项目支出。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cs="仿宋_GB2312"/>
          <w:kern w:val="0"/>
          <w:sz w:val="32"/>
          <w:szCs w:val="32"/>
          <w:lang w:val="en-US" w:eastAsia="zh-CN" w:bidi="ar-SA"/>
        </w:rPr>
        <w:t xml:space="preserve"> 2.</w:t>
      </w:r>
      <w:r>
        <w:rPr>
          <w:rFonts w:hint="eastAsia" w:ascii="仿宋_GB2312" w:hAnsi="仿宋_GB2312" w:eastAsia="仿宋_GB2312" w:cs="仿宋_GB2312"/>
          <w:kern w:val="0"/>
          <w:sz w:val="32"/>
          <w:szCs w:val="32"/>
          <w:lang w:val="en-US" w:eastAsia="zh-CN" w:bidi="ar-SA"/>
        </w:rPr>
        <w:t>使用方向</w:t>
      </w:r>
      <w:r>
        <w:rPr>
          <w:rFonts w:hint="eastAsia" w:ascii="仿宋_GB2312" w:hAnsi="仿宋_GB2312" w:cs="仿宋_GB2312"/>
          <w:kern w:val="0"/>
          <w:sz w:val="32"/>
          <w:szCs w:val="32"/>
          <w:lang w:val="en-US" w:eastAsia="zh-CN" w:bidi="ar-SA"/>
        </w:rPr>
        <w:t>及主要内容如下：</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1.稳定畜禽生产。2.发展渔业生产。3.抓好动物疫病防控工作。4.抓好畜禽水产品质量安全。5.抓好养殖污染防治。6.加强养殖业安全生产监管。</w:t>
      </w:r>
    </w:p>
    <w:p>
      <w:pPr>
        <w:pStyle w:val="2"/>
        <w:rPr>
          <w:rFonts w:hint="default" w:eastAsia="仿宋_GB2312"/>
          <w:lang w:val="en-US" w:eastAsia="zh-CN"/>
        </w:rPr>
      </w:pPr>
      <w:r>
        <w:rPr>
          <w:rFonts w:hint="eastAsia" w:ascii="仿宋_GB2312" w:hAnsi="仿宋_GB2312" w:cs="仿宋_GB2312"/>
          <w:color w:val="000000" w:themeColor="text1"/>
          <w:kern w:val="2"/>
          <w:sz w:val="32"/>
          <w:szCs w:val="32"/>
          <w:lang w:val="en-US" w:eastAsia="zh-CN" w:bidi="ar-SA"/>
          <w14:textFill>
            <w14:solidFill>
              <w14:schemeClr w14:val="tx1"/>
            </w14:solidFill>
          </w14:textFill>
        </w:rPr>
        <w:t xml:space="preserve">     3.其他说明。2023年本单位整体支出规模</w:t>
      </w:r>
      <w:r>
        <w:rPr>
          <w:rFonts w:hint="eastAsia" w:ascii="仿宋_GB2312" w:hAnsi="仿宋_GB2312" w:cs="仿宋_GB2312"/>
          <w:kern w:val="0"/>
          <w:sz w:val="32"/>
          <w:szCs w:val="32"/>
          <w:lang w:val="en-US" w:eastAsia="zh-CN" w:bidi="ar-SA"/>
        </w:rPr>
        <w:t>3767.56万元，全年预算数2110.85万元；包括两个二级机构：其中资阳区特种养殖场全年执行数113.82万元，年初预算数90.85万元；家畜疫病防治检疫站全年执行数168.75万元，年初预算数105.84万元。</w:t>
      </w:r>
    </w:p>
    <w:p>
      <w:pPr>
        <w:widowControl/>
        <w:autoSpaceDN w:val="0"/>
        <w:spacing w:line="560" w:lineRule="exact"/>
        <w:ind w:firstLine="645"/>
        <w:rPr>
          <w:rFonts w:ascii="黑体" w:hAnsi="黑体" w:eastAsia="黑体" w:cs="黑体"/>
          <w:b w:val="0"/>
          <w:bCs w:val="0"/>
          <w:sz w:val="32"/>
          <w:szCs w:val="32"/>
        </w:rPr>
      </w:pPr>
      <w:r>
        <w:rPr>
          <w:rFonts w:hint="eastAsia" w:ascii="黑体" w:hAnsi="黑体" w:eastAsia="黑体" w:cs="黑体"/>
          <w:b w:val="0"/>
          <w:bCs w:val="0"/>
          <w:color w:val="000000"/>
          <w:kern w:val="0"/>
          <w:sz w:val="32"/>
          <w:szCs w:val="32"/>
        </w:rPr>
        <w:t>二、</w:t>
      </w:r>
      <w:r>
        <w:rPr>
          <w:rFonts w:hint="eastAsia" w:ascii="黑体" w:hAnsi="黑体" w:eastAsia="黑体" w:cs="黑体"/>
          <w:b w:val="0"/>
          <w:bCs w:val="0"/>
          <w:sz w:val="32"/>
          <w:szCs w:val="32"/>
        </w:rPr>
        <w:t>一般公共预算支出情况</w:t>
      </w:r>
    </w:p>
    <w:p>
      <w:pPr>
        <w:spacing w:line="600" w:lineRule="exact"/>
        <w:ind w:firstLine="627" w:firstLineChars="196"/>
        <w:jc w:val="left"/>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（一）基本支出情况</w:t>
      </w:r>
    </w:p>
    <w:p>
      <w:pPr>
        <w:keepNext w:val="0"/>
        <w:keepLines w:val="0"/>
        <w:pageBreakBefore w:val="0"/>
        <w:kinsoku/>
        <w:wordWrap/>
        <w:overflowPunct/>
        <w:topLinePunct w:val="0"/>
        <w:autoSpaceDE/>
        <w:autoSpaceDN/>
        <w:bidi w:val="0"/>
        <w:adjustRightInd/>
        <w:snapToGrid/>
        <w:spacing w:line="580" w:lineRule="exact"/>
        <w:ind w:firstLine="960" w:firstLineChars="300"/>
        <w:textAlignment w:val="auto"/>
        <w:rPr>
          <w:rFonts w:hint="default"/>
          <w:lang w:val="en-US" w:eastAsia="zh-CN"/>
        </w:rPr>
      </w:pPr>
      <w:r>
        <w:rPr>
          <w:rFonts w:hint="eastAsia" w:ascii="仿宋_GB2312" w:hAnsi="仿宋_GB2312" w:eastAsia="仿宋_GB2312" w:cs="仿宋_GB2312"/>
          <w:b w:val="0"/>
          <w:bCs w:val="0"/>
          <w:color w:val="auto"/>
          <w:sz w:val="32"/>
          <w:szCs w:val="32"/>
          <w:lang w:val="en-US" w:eastAsia="zh-CN"/>
        </w:rPr>
        <w:t>区畜牧水产事务中心202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年全年基本支出</w:t>
      </w:r>
      <w:r>
        <w:rPr>
          <w:rFonts w:hint="eastAsia" w:ascii="仿宋_GB2312" w:hAnsi="仿宋_GB2312" w:cs="仿宋_GB2312"/>
          <w:b w:val="0"/>
          <w:bCs w:val="0"/>
          <w:color w:val="auto"/>
          <w:sz w:val="32"/>
          <w:szCs w:val="32"/>
          <w:lang w:val="en-US" w:eastAsia="zh-CN"/>
        </w:rPr>
        <w:t>1014.36</w:t>
      </w:r>
      <w:r>
        <w:rPr>
          <w:rFonts w:hint="eastAsia" w:ascii="仿宋_GB2312" w:hAnsi="仿宋_GB2312" w:eastAsia="仿宋_GB2312" w:cs="仿宋_GB2312"/>
          <w:b w:val="0"/>
          <w:bCs w:val="0"/>
          <w:color w:val="auto"/>
          <w:sz w:val="32"/>
          <w:szCs w:val="32"/>
          <w:lang w:val="en-US" w:eastAsia="zh-CN"/>
        </w:rPr>
        <w:t>万元，其中工资福利支出</w:t>
      </w:r>
      <w:r>
        <w:rPr>
          <w:rFonts w:hint="eastAsia" w:ascii="仿宋_GB2312" w:hAnsi="仿宋_GB2312" w:cs="仿宋_GB2312"/>
          <w:b w:val="0"/>
          <w:bCs w:val="0"/>
          <w:color w:val="auto"/>
          <w:sz w:val="32"/>
          <w:szCs w:val="32"/>
          <w:lang w:val="en-US" w:eastAsia="zh-CN"/>
        </w:rPr>
        <w:t>712.52</w:t>
      </w:r>
      <w:r>
        <w:rPr>
          <w:rFonts w:hint="eastAsia" w:ascii="仿宋_GB2312" w:hAnsi="仿宋_GB2312" w:eastAsia="仿宋_GB2312" w:cs="仿宋_GB2312"/>
          <w:b w:val="0"/>
          <w:bCs w:val="0"/>
          <w:color w:val="auto"/>
          <w:sz w:val="32"/>
          <w:szCs w:val="32"/>
          <w:lang w:val="en-US" w:eastAsia="zh-CN"/>
        </w:rPr>
        <w:t>万元，主要包括：基本工资、津贴补贴、奖金、伙食补助费、社会保障缴费、绩效工资、住房公积金等；商品和服务性支出</w:t>
      </w:r>
      <w:r>
        <w:rPr>
          <w:rFonts w:hint="eastAsia" w:ascii="仿宋_GB2312" w:hAnsi="仿宋_GB2312" w:cs="仿宋_GB2312"/>
          <w:b w:val="0"/>
          <w:bCs w:val="0"/>
          <w:color w:val="auto"/>
          <w:sz w:val="32"/>
          <w:szCs w:val="32"/>
          <w:lang w:val="en-US" w:eastAsia="zh-CN"/>
        </w:rPr>
        <w:t>289.86</w:t>
      </w:r>
      <w:r>
        <w:rPr>
          <w:rFonts w:hint="eastAsia" w:ascii="仿宋_GB2312" w:hAnsi="仿宋_GB2312" w:eastAsia="仿宋_GB2312" w:cs="仿宋_GB2312"/>
          <w:b w:val="0"/>
          <w:bCs w:val="0"/>
          <w:color w:val="auto"/>
          <w:sz w:val="32"/>
          <w:szCs w:val="32"/>
          <w:lang w:val="en-US" w:eastAsia="zh-CN"/>
        </w:rPr>
        <w:t>万元，主要包括：办公费、印刷费、水费、电费、邮电费、差旅费等；对个人和家庭的补助</w:t>
      </w:r>
      <w:r>
        <w:rPr>
          <w:rFonts w:hint="eastAsia" w:ascii="仿宋_GB2312" w:hAnsi="仿宋_GB2312" w:cs="仿宋_GB2312"/>
          <w:b w:val="0"/>
          <w:bCs w:val="0"/>
          <w:color w:val="auto"/>
          <w:sz w:val="32"/>
          <w:szCs w:val="32"/>
          <w:lang w:val="en-US" w:eastAsia="zh-CN"/>
        </w:rPr>
        <w:t>11.72</w:t>
      </w:r>
      <w:r>
        <w:rPr>
          <w:rFonts w:hint="eastAsia" w:ascii="仿宋_GB2312" w:hAnsi="仿宋_GB2312" w:eastAsia="仿宋_GB2312" w:cs="仿宋_GB2312"/>
          <w:b w:val="0"/>
          <w:bCs w:val="0"/>
          <w:color w:val="auto"/>
          <w:sz w:val="32"/>
          <w:szCs w:val="32"/>
          <w:lang w:val="en-US" w:eastAsia="zh-CN"/>
        </w:rPr>
        <w:t>万元，主要包括抚恤金等。</w:t>
      </w:r>
    </w:p>
    <w:p>
      <w:pPr>
        <w:numPr>
          <w:ilvl w:val="0"/>
          <w:numId w:val="1"/>
        </w:numPr>
        <w:spacing w:line="600" w:lineRule="exact"/>
        <w:ind w:firstLine="627" w:firstLineChars="196"/>
        <w:jc w:val="left"/>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项目支出情况</w:t>
      </w:r>
    </w:p>
    <w:p>
      <w:pPr>
        <w:pStyle w:val="3"/>
        <w:numPr>
          <w:ilvl w:val="0"/>
          <w:numId w:val="0"/>
        </w:numPr>
        <w:ind w:firstLine="960" w:firstLineChars="300"/>
        <w:rPr>
          <w:rFonts w:hint="eastAsia" w:ascii="仿宋_GB2312" w:hAnsi="仿宋_GB2312" w:cs="仿宋_GB2312"/>
          <w:kern w:val="0"/>
          <w:sz w:val="32"/>
          <w:szCs w:val="32"/>
          <w:lang w:val="en-US" w:eastAsia="zh-CN" w:bidi="ar-SA"/>
        </w:rPr>
      </w:pPr>
      <w:r>
        <w:rPr>
          <w:rFonts w:hint="eastAsia" w:ascii="仿宋_GB2312" w:hAnsi="仿宋_GB2312" w:eastAsia="仿宋_GB2312" w:cs="仿宋_GB2312"/>
          <w:b w:val="0"/>
          <w:bCs w:val="0"/>
          <w:color w:val="auto"/>
          <w:sz w:val="32"/>
          <w:szCs w:val="32"/>
          <w:lang w:val="en-US" w:eastAsia="zh-CN"/>
        </w:rPr>
        <w:t>区畜牧水产事务中心202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年全年</w:t>
      </w:r>
      <w:r>
        <w:rPr>
          <w:rFonts w:hint="eastAsia" w:ascii="仿宋_GB2312" w:hAnsi="仿宋_GB2312" w:cs="仿宋_GB2312"/>
          <w:b w:val="0"/>
          <w:bCs w:val="0"/>
          <w:color w:val="auto"/>
          <w:sz w:val="32"/>
          <w:szCs w:val="32"/>
          <w:lang w:val="en-US" w:eastAsia="zh-CN"/>
        </w:rPr>
        <w:t>项目</w:t>
      </w:r>
      <w:r>
        <w:rPr>
          <w:rFonts w:hint="eastAsia" w:ascii="仿宋_GB2312" w:hAnsi="仿宋_GB2312" w:eastAsia="仿宋_GB2312" w:cs="仿宋_GB2312"/>
          <w:b w:val="0"/>
          <w:bCs w:val="0"/>
          <w:color w:val="auto"/>
          <w:sz w:val="32"/>
          <w:szCs w:val="32"/>
          <w:lang w:val="en-US" w:eastAsia="zh-CN"/>
        </w:rPr>
        <w:t>支出</w:t>
      </w:r>
      <w:r>
        <w:rPr>
          <w:rFonts w:hint="eastAsia" w:ascii="仿宋_GB2312" w:hAnsi="仿宋_GB2312" w:cs="仿宋_GB2312"/>
          <w:b w:val="0"/>
          <w:bCs w:val="0"/>
          <w:color w:val="auto"/>
          <w:sz w:val="32"/>
          <w:szCs w:val="32"/>
          <w:lang w:val="en-US" w:eastAsia="zh-CN"/>
        </w:rPr>
        <w:t>2682.2</w:t>
      </w:r>
      <w:r>
        <w:rPr>
          <w:rFonts w:hint="eastAsia" w:ascii="仿宋_GB2312" w:hAnsi="仿宋_GB2312" w:eastAsia="仿宋_GB2312" w:cs="仿宋_GB2312"/>
          <w:b w:val="0"/>
          <w:bCs w:val="0"/>
          <w:color w:val="auto"/>
          <w:sz w:val="32"/>
          <w:szCs w:val="32"/>
          <w:lang w:val="en-US" w:eastAsia="zh-CN"/>
        </w:rPr>
        <w:t>万元，</w:t>
      </w:r>
      <w:r>
        <w:rPr>
          <w:rFonts w:hint="eastAsia" w:ascii="仿宋_GB2312" w:hAnsi="仿宋_GB2312" w:cs="仿宋_GB2312"/>
          <w:b w:val="0"/>
          <w:bCs w:val="0"/>
          <w:color w:val="auto"/>
          <w:sz w:val="32"/>
          <w:szCs w:val="32"/>
          <w:lang w:val="en-US" w:eastAsia="zh-CN"/>
        </w:rPr>
        <w:t>其中</w:t>
      </w:r>
      <w:r>
        <w:rPr>
          <w:rFonts w:hint="eastAsia" w:ascii="仿宋_GB2312" w:hAnsi="仿宋_GB2312" w:eastAsia="仿宋_GB2312" w:cs="仿宋_GB2312"/>
          <w:kern w:val="0"/>
          <w:sz w:val="32"/>
          <w:szCs w:val="32"/>
          <w:lang w:val="en-US" w:eastAsia="zh-CN" w:bidi="ar-SA"/>
        </w:rPr>
        <w:t>2023年度区级专项资金分配安排和使用管理情况</w:t>
      </w:r>
      <w:r>
        <w:rPr>
          <w:rFonts w:hint="eastAsia" w:ascii="仿宋_GB2312" w:hAnsi="仿宋_GB2312" w:cs="仿宋_GB2312"/>
          <w:kern w:val="0"/>
          <w:sz w:val="32"/>
          <w:szCs w:val="32"/>
          <w:lang w:val="en-US" w:eastAsia="zh-CN" w:bidi="ar-SA"/>
        </w:rPr>
        <w:t xml:space="preserve">如下：  </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年初-病死畜禽无害化处理工作经费4万元，2023年度使用3.16万元。资金执行率79.12%。</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年初-生猪定点屠宰管理工作经费 4万元，2023年度全部使用完成。资金执行率100%。</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年初-非洲猪瘟防控防疫4万元，2023年度全部使用完成。资金执行率100%。</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年初-瘦肉精检测9.6万元，2023年度全部使用完成。资金执行率100%。</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年初-畜牧防疫22.4万元，2023年度全部使用完成。资金执行率100%。</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年初-畜禽养殖污染整治工作经费 2.4万元，2023年度全部使用完成。资金执行率100%。</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年初-乡镇畜牧兽医分流人员社保金18.32万元，2023年度未下达，2024年度下达。</w:t>
      </w:r>
    </w:p>
    <w:p>
      <w:pPr>
        <w:pStyle w:val="3"/>
        <w:numPr>
          <w:ilvl w:val="0"/>
          <w:numId w:val="0"/>
        </w:numPr>
        <w:ind w:firstLine="640" w:firstLineChars="200"/>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总体项目资金支出情况如下：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其他污染减排支出</w:t>
      </w:r>
      <w:r>
        <w:rPr>
          <w:rFonts w:hint="eastAsia" w:ascii="仿宋_GB2312" w:hAnsi="仿宋_GB2312" w:cs="仿宋_GB2312"/>
          <w:b w:val="0"/>
          <w:bCs w:val="0"/>
          <w:color w:val="auto"/>
          <w:sz w:val="32"/>
          <w:szCs w:val="32"/>
          <w:highlight w:val="none"/>
          <w:lang w:val="en-US" w:eastAsia="zh-CN"/>
        </w:rPr>
        <w:t>0.87</w:t>
      </w:r>
      <w:r>
        <w:rPr>
          <w:rFonts w:hint="eastAsia" w:ascii="仿宋_GB2312" w:hAnsi="仿宋_GB2312" w:eastAsia="仿宋_GB2312" w:cs="仿宋_GB2312"/>
          <w:b w:val="0"/>
          <w:bCs w:val="0"/>
          <w:color w:val="auto"/>
          <w:sz w:val="32"/>
          <w:szCs w:val="32"/>
          <w:highlight w:val="none"/>
          <w:lang w:val="en-US" w:eastAsia="zh-CN"/>
        </w:rPr>
        <w:t>万元。用于支付湘财农指2020-9：2020通江湖泊及重要垸内湖泊沿岸畜禽退养</w:t>
      </w:r>
      <w:r>
        <w:rPr>
          <w:rFonts w:hint="eastAsia" w:ascii="仿宋_GB2312" w:hAnsi="仿宋_GB2312" w:cs="仿宋_GB2312"/>
          <w:b w:val="0"/>
          <w:bCs w:val="0"/>
          <w:color w:val="auto"/>
          <w:sz w:val="32"/>
          <w:szCs w:val="32"/>
          <w:highlight w:val="none"/>
          <w:lang w:val="en-US" w:eastAsia="zh-CN"/>
        </w:rPr>
        <w:t>0.87</w:t>
      </w:r>
      <w:r>
        <w:rPr>
          <w:rFonts w:hint="eastAsia" w:ascii="仿宋_GB2312" w:hAnsi="仿宋_GB2312" w:eastAsia="仿宋_GB2312" w:cs="仿宋_GB2312"/>
          <w:b w:val="0"/>
          <w:bCs w:val="0"/>
          <w:color w:val="auto"/>
          <w:sz w:val="32"/>
          <w:szCs w:val="32"/>
          <w:highlight w:val="none"/>
          <w:lang w:val="en-US" w:eastAsia="zh-CN"/>
        </w:rPr>
        <w:t>万元。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科技转化与推广服务资金</w:t>
      </w:r>
      <w:r>
        <w:rPr>
          <w:rFonts w:hint="eastAsia" w:ascii="仿宋_GB2312" w:hAnsi="仿宋_GB2312" w:cs="仿宋_GB2312"/>
          <w:b w:val="0"/>
          <w:bCs w:val="0"/>
          <w:color w:val="auto"/>
          <w:sz w:val="32"/>
          <w:szCs w:val="32"/>
          <w:highlight w:val="none"/>
          <w:lang w:val="en-US" w:eastAsia="zh-CN"/>
        </w:rPr>
        <w:t>45.67</w:t>
      </w:r>
      <w:r>
        <w:rPr>
          <w:rFonts w:hint="eastAsia" w:ascii="仿宋_GB2312" w:hAnsi="仿宋_GB2312" w:eastAsia="仿宋_GB2312" w:cs="仿宋_GB2312"/>
          <w:b w:val="0"/>
          <w:bCs w:val="0"/>
          <w:color w:val="auto"/>
          <w:sz w:val="32"/>
          <w:szCs w:val="32"/>
          <w:highlight w:val="none"/>
          <w:lang w:val="en-US" w:eastAsia="zh-CN"/>
        </w:rPr>
        <w:t>万元。用于支付农指2023-95：2023年中央基层农技推广体系改革与建设资金</w:t>
      </w:r>
      <w:r>
        <w:rPr>
          <w:rFonts w:hint="eastAsia" w:ascii="仿宋_GB2312" w:hAnsi="仿宋_GB2312" w:cs="仿宋_GB2312"/>
          <w:b w:val="0"/>
          <w:bCs w:val="0"/>
          <w:color w:val="auto"/>
          <w:sz w:val="32"/>
          <w:szCs w:val="32"/>
          <w:highlight w:val="none"/>
          <w:lang w:val="en-US" w:eastAsia="zh-CN"/>
        </w:rPr>
        <w:t>14万元和湘财预2022-0213：基层农技推广体系建设与农业实用技术示范资金31.67万元</w:t>
      </w:r>
      <w:r>
        <w:rPr>
          <w:rFonts w:hint="eastAsia" w:ascii="仿宋_GB2312" w:hAnsi="仿宋_GB2312" w:eastAsia="仿宋_GB2312" w:cs="仿宋_GB2312"/>
          <w:b w:val="0"/>
          <w:bCs w:val="0"/>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lang w:val="en-US" w:eastAsia="zh-CN"/>
        </w:rPr>
        <w:t>病虫害控制资金</w:t>
      </w:r>
      <w:r>
        <w:rPr>
          <w:rFonts w:hint="eastAsia" w:ascii="仿宋_GB2312" w:hAnsi="仿宋_GB2312" w:cs="仿宋_GB2312"/>
          <w:b w:val="0"/>
          <w:bCs w:val="0"/>
          <w:color w:val="auto"/>
          <w:sz w:val="32"/>
          <w:szCs w:val="32"/>
          <w:highlight w:val="none"/>
          <w:lang w:val="en-US" w:eastAsia="zh-CN"/>
        </w:rPr>
        <w:t>356.38</w:t>
      </w:r>
      <w:r>
        <w:rPr>
          <w:rFonts w:hint="eastAsia" w:ascii="仿宋_GB2312" w:hAnsi="仿宋_GB2312" w:eastAsia="仿宋_GB2312" w:cs="仿宋_GB2312"/>
          <w:b w:val="0"/>
          <w:bCs w:val="0"/>
          <w:color w:val="auto"/>
          <w:sz w:val="32"/>
          <w:szCs w:val="32"/>
          <w:highlight w:val="none"/>
          <w:lang w:val="en-US" w:eastAsia="zh-CN"/>
        </w:rPr>
        <w:t>万元。主要用于支付湘财预2022-0153：2022年第二批动物防疫补助经费和动物防疫员特聘计划补助资金</w:t>
      </w:r>
      <w:r>
        <w:rPr>
          <w:rFonts w:hint="eastAsia" w:ascii="仿宋_GB2312" w:hAnsi="仿宋_GB2312" w:cs="仿宋_GB2312"/>
          <w:b w:val="0"/>
          <w:bCs w:val="0"/>
          <w:color w:val="auto"/>
          <w:sz w:val="32"/>
          <w:szCs w:val="32"/>
          <w:highlight w:val="none"/>
          <w:lang w:val="en-US" w:eastAsia="zh-CN"/>
        </w:rPr>
        <w:t>38</w:t>
      </w:r>
      <w:r>
        <w:rPr>
          <w:rFonts w:hint="eastAsia" w:ascii="仿宋_GB2312" w:hAnsi="仿宋_GB2312" w:eastAsia="仿宋_GB2312" w:cs="仿宋_GB2312"/>
          <w:b w:val="0"/>
          <w:bCs w:val="0"/>
          <w:color w:val="auto"/>
          <w:sz w:val="32"/>
          <w:szCs w:val="32"/>
          <w:highlight w:val="none"/>
          <w:lang w:val="en-US" w:eastAsia="zh-CN"/>
        </w:rPr>
        <w:t>万元；支付湘财预2022-296：2023年中央动物防疫等补助经费</w:t>
      </w:r>
      <w:r>
        <w:rPr>
          <w:rFonts w:hint="eastAsia" w:ascii="仿宋_GB2312" w:hAnsi="仿宋_GB2312" w:cs="仿宋_GB2312"/>
          <w:b w:val="0"/>
          <w:bCs w:val="0"/>
          <w:color w:val="auto"/>
          <w:sz w:val="32"/>
          <w:szCs w:val="32"/>
          <w:highlight w:val="none"/>
          <w:lang w:val="en-US" w:eastAsia="zh-CN"/>
        </w:rPr>
        <w:t>129.52</w:t>
      </w:r>
      <w:r>
        <w:rPr>
          <w:rFonts w:hint="eastAsia" w:ascii="仿宋_GB2312" w:hAnsi="仿宋_GB2312" w:eastAsia="仿宋_GB2312" w:cs="仿宋_GB2312"/>
          <w:b w:val="0"/>
          <w:bCs w:val="0"/>
          <w:color w:val="auto"/>
          <w:sz w:val="32"/>
          <w:szCs w:val="32"/>
          <w:highlight w:val="none"/>
          <w:lang w:val="en-US" w:eastAsia="zh-CN"/>
        </w:rPr>
        <w:t>万元</w:t>
      </w:r>
      <w:r>
        <w:rPr>
          <w:rFonts w:hint="eastAsia" w:ascii="仿宋_GB2312" w:hAnsi="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支付湘财预2023-31：2023年第二批中央动物防疫补助资金（中央）</w:t>
      </w:r>
      <w:r>
        <w:rPr>
          <w:rFonts w:hint="eastAsia" w:ascii="仿宋_GB2312" w:hAnsi="仿宋_GB2312" w:cs="仿宋_GB2312"/>
          <w:b w:val="0"/>
          <w:bCs w:val="0"/>
          <w:color w:val="auto"/>
          <w:sz w:val="32"/>
          <w:szCs w:val="32"/>
          <w:highlight w:val="none"/>
          <w:lang w:val="en-US" w:eastAsia="zh-CN"/>
        </w:rPr>
        <w:t>84.49</w:t>
      </w:r>
      <w:r>
        <w:rPr>
          <w:rFonts w:hint="eastAsia" w:ascii="仿宋_GB2312" w:hAnsi="仿宋_GB2312" w:eastAsia="仿宋_GB2312" w:cs="仿宋_GB2312"/>
          <w:b w:val="0"/>
          <w:bCs w:val="0"/>
          <w:color w:val="auto"/>
          <w:sz w:val="32"/>
          <w:szCs w:val="32"/>
          <w:highlight w:val="none"/>
          <w:lang w:val="en-US" w:eastAsia="zh-CN"/>
        </w:rPr>
        <w:t>万元；支付湘财农指2022-0019：2022年省级动物防疫补助资金</w:t>
      </w:r>
      <w:r>
        <w:rPr>
          <w:rFonts w:hint="eastAsia" w:ascii="仿宋_GB2312" w:hAnsi="仿宋_GB2312" w:cs="仿宋_GB2312"/>
          <w:b w:val="0"/>
          <w:bCs w:val="0"/>
          <w:color w:val="auto"/>
          <w:sz w:val="32"/>
          <w:szCs w:val="32"/>
          <w:highlight w:val="none"/>
          <w:lang w:val="en-US" w:eastAsia="zh-CN"/>
        </w:rPr>
        <w:t>38</w:t>
      </w:r>
      <w:r>
        <w:rPr>
          <w:rFonts w:hint="eastAsia" w:ascii="仿宋_GB2312" w:hAnsi="仿宋_GB2312" w:eastAsia="仿宋_GB2312" w:cs="仿宋_GB2312"/>
          <w:b w:val="0"/>
          <w:bCs w:val="0"/>
          <w:color w:val="auto"/>
          <w:sz w:val="32"/>
          <w:szCs w:val="32"/>
          <w:highlight w:val="none"/>
          <w:lang w:val="en-US" w:eastAsia="zh-CN"/>
        </w:rPr>
        <w:t>万元；支付湘财农指2023-42：2023年省级动物防疫补助资金</w:t>
      </w:r>
      <w:r>
        <w:rPr>
          <w:rFonts w:hint="eastAsia" w:ascii="仿宋_GB2312" w:hAnsi="仿宋_GB2312" w:cs="仿宋_GB2312"/>
          <w:b w:val="0"/>
          <w:bCs w:val="0"/>
          <w:color w:val="auto"/>
          <w:sz w:val="32"/>
          <w:szCs w:val="32"/>
          <w:highlight w:val="none"/>
          <w:lang w:val="en-US" w:eastAsia="zh-CN"/>
        </w:rPr>
        <w:t>24.58</w:t>
      </w:r>
      <w:r>
        <w:rPr>
          <w:rFonts w:hint="eastAsia" w:ascii="仿宋_GB2312" w:hAnsi="仿宋_GB2312" w:eastAsia="仿宋_GB2312" w:cs="仿宋_GB2312"/>
          <w:b w:val="0"/>
          <w:bCs w:val="0"/>
          <w:color w:val="auto"/>
          <w:sz w:val="32"/>
          <w:szCs w:val="32"/>
          <w:highlight w:val="none"/>
          <w:lang w:val="en-US" w:eastAsia="zh-CN"/>
        </w:rPr>
        <w:t>万元；用于支付益财农指2023-30：2023年度动物防疫经费（市级）</w:t>
      </w:r>
      <w:r>
        <w:rPr>
          <w:rFonts w:hint="eastAsia" w:ascii="仿宋_GB2312" w:hAnsi="仿宋_GB2312" w:cs="仿宋_GB2312"/>
          <w:b w:val="0"/>
          <w:bCs w:val="0"/>
          <w:color w:val="auto"/>
          <w:sz w:val="32"/>
          <w:szCs w:val="32"/>
          <w:highlight w:val="none"/>
          <w:lang w:val="en-US" w:eastAsia="zh-CN"/>
        </w:rPr>
        <w:t>12.5</w:t>
      </w:r>
      <w:r>
        <w:rPr>
          <w:rFonts w:hint="eastAsia" w:ascii="仿宋_GB2312" w:hAnsi="仿宋_GB2312" w:eastAsia="仿宋_GB2312" w:cs="仿宋_GB2312"/>
          <w:b w:val="0"/>
          <w:bCs w:val="0"/>
          <w:color w:val="auto"/>
          <w:sz w:val="32"/>
          <w:szCs w:val="32"/>
          <w:highlight w:val="none"/>
          <w:lang w:val="en-US" w:eastAsia="zh-CN"/>
        </w:rPr>
        <w:t>万元；支付湘财预2021-272：2022年中央财政动物防疫经费</w:t>
      </w:r>
      <w:r>
        <w:rPr>
          <w:rFonts w:hint="eastAsia" w:ascii="仿宋_GB2312" w:hAnsi="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lang w:val="en-US" w:eastAsia="zh-CN"/>
        </w:rPr>
        <w:t>万元</w:t>
      </w:r>
      <w:r>
        <w:rPr>
          <w:rFonts w:hint="eastAsia" w:ascii="仿宋_GB2312" w:hAnsi="仿宋_GB2312" w:cs="仿宋_GB2312"/>
          <w:b w:val="0"/>
          <w:bCs w:val="0"/>
          <w:color w:val="auto"/>
          <w:sz w:val="32"/>
          <w:szCs w:val="32"/>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val="en-US" w:eastAsia="zh-CN"/>
        </w:rPr>
        <w:t>农业生产发展支出</w:t>
      </w:r>
      <w:r>
        <w:rPr>
          <w:rFonts w:hint="eastAsia" w:ascii="仿宋_GB2312" w:hAnsi="仿宋_GB2312" w:cs="仿宋_GB2312"/>
          <w:b w:val="0"/>
          <w:bCs w:val="0"/>
          <w:color w:val="auto"/>
          <w:sz w:val="32"/>
          <w:szCs w:val="32"/>
          <w:highlight w:val="none"/>
          <w:lang w:val="en-US" w:eastAsia="zh-CN"/>
        </w:rPr>
        <w:t>291</w:t>
      </w:r>
      <w:r>
        <w:rPr>
          <w:rFonts w:hint="eastAsia" w:ascii="仿宋_GB2312" w:hAnsi="仿宋_GB2312" w:eastAsia="仿宋_GB2312" w:cs="仿宋_GB2312"/>
          <w:b w:val="0"/>
          <w:bCs w:val="0"/>
          <w:color w:val="auto"/>
          <w:sz w:val="32"/>
          <w:szCs w:val="32"/>
          <w:highlight w:val="none"/>
          <w:lang w:val="en-US" w:eastAsia="zh-CN"/>
        </w:rPr>
        <w:t>万元。主要用于支付湘财预2022-271：2023年中央渔业发展补助资金</w:t>
      </w:r>
      <w:r>
        <w:rPr>
          <w:rFonts w:hint="eastAsia" w:ascii="仿宋_GB2312" w:hAnsi="仿宋_GB2312" w:cs="仿宋_GB2312"/>
          <w:b w:val="0"/>
          <w:bCs w:val="0"/>
          <w:color w:val="auto"/>
          <w:sz w:val="32"/>
          <w:szCs w:val="32"/>
          <w:highlight w:val="none"/>
          <w:lang w:val="en-US" w:eastAsia="zh-CN"/>
        </w:rPr>
        <w:t>210</w:t>
      </w:r>
      <w:r>
        <w:rPr>
          <w:rFonts w:hint="eastAsia" w:ascii="仿宋_GB2312" w:hAnsi="仿宋_GB2312" w:eastAsia="仿宋_GB2312" w:cs="仿宋_GB2312"/>
          <w:b w:val="0"/>
          <w:bCs w:val="0"/>
          <w:color w:val="auto"/>
          <w:sz w:val="32"/>
          <w:szCs w:val="32"/>
          <w:highlight w:val="none"/>
          <w:lang w:val="en-US" w:eastAsia="zh-CN"/>
        </w:rPr>
        <w:t>万元；湘财预2023-126：2023年中央畜牧业发展与奶业新型经营主体培育资金</w:t>
      </w:r>
      <w:r>
        <w:rPr>
          <w:rFonts w:hint="eastAsia" w:ascii="仿宋_GB2312" w:hAnsi="仿宋_GB2312" w:cs="仿宋_GB2312"/>
          <w:b w:val="0"/>
          <w:bCs w:val="0"/>
          <w:color w:val="auto"/>
          <w:sz w:val="32"/>
          <w:szCs w:val="32"/>
          <w:highlight w:val="none"/>
          <w:lang w:val="en-US" w:eastAsia="zh-CN"/>
        </w:rPr>
        <w:t>61</w:t>
      </w:r>
      <w:r>
        <w:rPr>
          <w:rFonts w:hint="eastAsia" w:ascii="仿宋_GB2312" w:hAnsi="仿宋_GB2312" w:eastAsia="仿宋_GB2312" w:cs="仿宋_GB2312"/>
          <w:b w:val="0"/>
          <w:bCs w:val="0"/>
          <w:color w:val="auto"/>
          <w:sz w:val="32"/>
          <w:szCs w:val="32"/>
          <w:highlight w:val="none"/>
          <w:lang w:val="en-US" w:eastAsia="zh-CN"/>
        </w:rPr>
        <w:t>万元以及农指2023-0014:2022年益阳市现代农业生产发展奖补资金</w:t>
      </w:r>
      <w:r>
        <w:rPr>
          <w:rFonts w:hint="eastAsia" w:ascii="仿宋_GB2312" w:hAnsi="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lang w:val="en-US" w:eastAsia="zh-CN"/>
        </w:rPr>
        <w:t>万元。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val="en-US" w:eastAsia="zh-CN"/>
        </w:rPr>
        <w:t>农业资源保护修复与利用资金</w:t>
      </w:r>
      <w:r>
        <w:rPr>
          <w:rFonts w:hint="eastAsia" w:ascii="仿宋_GB2312" w:hAnsi="仿宋_GB2312" w:cs="仿宋_GB2312"/>
          <w:b w:val="0"/>
          <w:bCs w:val="0"/>
          <w:color w:val="auto"/>
          <w:sz w:val="32"/>
          <w:szCs w:val="32"/>
          <w:highlight w:val="none"/>
          <w:lang w:val="en-US" w:eastAsia="zh-CN"/>
        </w:rPr>
        <w:t>32.71</w:t>
      </w:r>
      <w:r>
        <w:rPr>
          <w:rFonts w:hint="eastAsia" w:ascii="仿宋_GB2312" w:hAnsi="仿宋_GB2312" w:eastAsia="仿宋_GB2312" w:cs="仿宋_GB2312"/>
          <w:b w:val="0"/>
          <w:bCs w:val="0"/>
          <w:color w:val="auto"/>
          <w:sz w:val="32"/>
          <w:szCs w:val="32"/>
          <w:highlight w:val="none"/>
          <w:lang w:val="en-US" w:eastAsia="zh-CN"/>
        </w:rPr>
        <w:t>万元。主要用于支付湘财预2023-79：2023中央渔业资源保护资金</w:t>
      </w:r>
      <w:r>
        <w:rPr>
          <w:rFonts w:hint="eastAsia" w:ascii="仿宋_GB2312" w:hAnsi="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lang w:val="en-US" w:eastAsia="zh-CN"/>
        </w:rPr>
        <w:t>万元以及农指2023-101：黄颡鱼国家级水产种质资源保护区生态影响金</w:t>
      </w:r>
      <w:r>
        <w:rPr>
          <w:rFonts w:hint="eastAsia" w:ascii="仿宋_GB2312" w:hAnsi="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val="en-US" w:eastAsia="zh-CN"/>
        </w:rPr>
        <w:t>万元。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lang w:val="en-US" w:eastAsia="zh-CN"/>
        </w:rPr>
        <w:t>渔业发展支出</w:t>
      </w:r>
      <w:r>
        <w:rPr>
          <w:rFonts w:hint="eastAsia" w:ascii="仿宋_GB2312" w:hAnsi="仿宋_GB2312" w:cs="仿宋_GB2312"/>
          <w:b w:val="0"/>
          <w:bCs w:val="0"/>
          <w:color w:val="auto"/>
          <w:sz w:val="32"/>
          <w:szCs w:val="32"/>
          <w:highlight w:val="none"/>
          <w:lang w:val="en-US" w:eastAsia="zh-CN"/>
        </w:rPr>
        <w:t>290</w:t>
      </w:r>
      <w:r>
        <w:rPr>
          <w:rFonts w:hint="eastAsia" w:ascii="仿宋_GB2312" w:hAnsi="仿宋_GB2312" w:eastAsia="仿宋_GB2312" w:cs="仿宋_GB2312"/>
          <w:b w:val="0"/>
          <w:bCs w:val="0"/>
          <w:color w:val="auto"/>
          <w:sz w:val="32"/>
          <w:szCs w:val="32"/>
          <w:highlight w:val="none"/>
          <w:lang w:val="en-US" w:eastAsia="zh-CN"/>
        </w:rPr>
        <w:t>万元。主要用于支付湘财预2022-0193:2022年中央成品油价格调整对渔业补助和渔业增值放流资金</w:t>
      </w:r>
      <w:r>
        <w:rPr>
          <w:rFonts w:hint="eastAsia" w:ascii="仿宋_GB2312" w:hAnsi="仿宋_GB2312" w:cs="仿宋_GB2312"/>
          <w:b w:val="0"/>
          <w:bCs w:val="0"/>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（7）其他</w:t>
      </w:r>
      <w:r>
        <w:rPr>
          <w:rFonts w:hint="eastAsia" w:ascii="仿宋_GB2312" w:hAnsi="仿宋_GB2312" w:eastAsia="仿宋_GB2312" w:cs="仿宋_GB2312"/>
          <w:b w:val="0"/>
          <w:bCs w:val="0"/>
          <w:color w:val="auto"/>
          <w:sz w:val="32"/>
          <w:szCs w:val="32"/>
          <w:highlight w:val="none"/>
          <w:lang w:val="en-US" w:eastAsia="zh-CN"/>
        </w:rPr>
        <w:t>农业农村支出</w:t>
      </w:r>
      <w:r>
        <w:rPr>
          <w:rFonts w:hint="eastAsia" w:ascii="仿宋_GB2312" w:hAnsi="仿宋_GB2312" w:cs="仿宋_GB2312"/>
          <w:b w:val="0"/>
          <w:bCs w:val="0"/>
          <w:color w:val="auto"/>
          <w:sz w:val="32"/>
          <w:szCs w:val="32"/>
          <w:highlight w:val="none"/>
          <w:lang w:val="en-US" w:eastAsia="zh-CN"/>
        </w:rPr>
        <w:t>1173.32</w:t>
      </w:r>
      <w:r>
        <w:rPr>
          <w:rFonts w:hint="eastAsia" w:ascii="仿宋_GB2312" w:hAnsi="仿宋_GB2312" w:eastAsia="仿宋_GB2312" w:cs="仿宋_GB2312"/>
          <w:b w:val="0"/>
          <w:bCs w:val="0"/>
          <w:color w:val="auto"/>
          <w:sz w:val="32"/>
          <w:szCs w:val="32"/>
          <w:highlight w:val="none"/>
          <w:lang w:val="en-US" w:eastAsia="zh-CN"/>
        </w:rPr>
        <w:t>万元。主要用于支付资阳区渔场盘活经营权工作经费</w:t>
      </w:r>
      <w:r>
        <w:rPr>
          <w:rFonts w:hint="eastAsia" w:ascii="仿宋_GB2312" w:hAnsi="仿宋_GB2312" w:cs="仿宋_GB2312"/>
          <w:b w:val="0"/>
          <w:bCs w:val="0"/>
          <w:color w:val="auto"/>
          <w:sz w:val="32"/>
          <w:szCs w:val="32"/>
          <w:highlight w:val="none"/>
          <w:lang w:val="en-US" w:eastAsia="zh-CN"/>
        </w:rPr>
        <w:t>980</w:t>
      </w:r>
      <w:r>
        <w:rPr>
          <w:rFonts w:hint="eastAsia" w:ascii="仿宋_GB2312" w:hAnsi="仿宋_GB2312" w:eastAsia="仿宋_GB2312" w:cs="仿宋_GB2312"/>
          <w:b w:val="0"/>
          <w:bCs w:val="0"/>
          <w:color w:val="auto"/>
          <w:sz w:val="32"/>
          <w:szCs w:val="32"/>
          <w:highlight w:val="none"/>
          <w:lang w:val="en-US" w:eastAsia="zh-CN"/>
        </w:rPr>
        <w:t>万元以及渔场盘活经营权工作经费</w:t>
      </w:r>
      <w:r>
        <w:rPr>
          <w:rFonts w:hint="eastAsia" w:ascii="仿宋_GB2312" w:hAnsi="仿宋_GB2312" w:cs="仿宋_GB2312"/>
          <w:b w:val="0"/>
          <w:bCs w:val="0"/>
          <w:color w:val="auto"/>
          <w:sz w:val="32"/>
          <w:szCs w:val="32"/>
          <w:highlight w:val="none"/>
          <w:lang w:val="en-US" w:eastAsia="zh-CN"/>
        </w:rPr>
        <w:t>90</w:t>
      </w:r>
      <w:r>
        <w:rPr>
          <w:rFonts w:hint="eastAsia" w:ascii="仿宋_GB2312" w:hAnsi="仿宋_GB2312" w:eastAsia="仿宋_GB2312" w:cs="仿宋_GB2312"/>
          <w:b w:val="0"/>
          <w:bCs w:val="0"/>
          <w:color w:val="auto"/>
          <w:sz w:val="32"/>
          <w:szCs w:val="32"/>
          <w:highlight w:val="none"/>
          <w:lang w:val="en-US" w:eastAsia="zh-CN"/>
        </w:rPr>
        <w:t>万元</w:t>
      </w:r>
      <w:r>
        <w:rPr>
          <w:rFonts w:hint="eastAsia" w:ascii="仿宋_GB2312" w:hAnsi="仿宋_GB2312" w:cs="仿宋_GB2312"/>
          <w:b w:val="0"/>
          <w:bCs w:val="0"/>
          <w:color w:val="auto"/>
          <w:sz w:val="32"/>
          <w:szCs w:val="32"/>
          <w:highlight w:val="none"/>
          <w:lang w:val="en-US" w:eastAsia="zh-CN"/>
        </w:rPr>
        <w:t>以及资阳区涉渔工程渔业生态补偿76.5万元。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val="en-US" w:eastAsia="zh-CN"/>
        </w:rPr>
        <w:t>对村级公益事业建设的补助</w:t>
      </w:r>
      <w:r>
        <w:rPr>
          <w:rFonts w:hint="eastAsia" w:ascii="仿宋_GB2312" w:hAnsi="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万元。主要用于支付益财综改指2022-104：村级公益事业建设</w:t>
      </w:r>
      <w:r>
        <w:rPr>
          <w:rFonts w:hint="eastAsia" w:ascii="仿宋_GB2312" w:hAnsi="仿宋_GB2312" w:cs="仿宋_GB2312"/>
          <w:b w:val="0"/>
          <w:bCs w:val="0"/>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lang w:val="en-US" w:eastAsia="zh-CN"/>
        </w:rPr>
        <w:t>其他商业流通事务支出</w:t>
      </w:r>
      <w:r>
        <w:rPr>
          <w:rFonts w:hint="eastAsia" w:ascii="仿宋_GB2312" w:hAnsi="仿宋_GB2312" w:cs="仿宋_GB2312"/>
          <w:b w:val="0"/>
          <w:bCs w:val="0"/>
          <w:color w:val="auto"/>
          <w:sz w:val="32"/>
          <w:szCs w:val="32"/>
          <w:highlight w:val="none"/>
          <w:lang w:val="en-US" w:eastAsia="zh-CN"/>
        </w:rPr>
        <w:t>473</w:t>
      </w:r>
      <w:r>
        <w:rPr>
          <w:rFonts w:hint="eastAsia" w:ascii="仿宋_GB2312" w:hAnsi="仿宋_GB2312" w:eastAsia="仿宋_GB2312" w:cs="仿宋_GB2312"/>
          <w:b w:val="0"/>
          <w:bCs w:val="0"/>
          <w:color w:val="auto"/>
          <w:sz w:val="32"/>
          <w:szCs w:val="32"/>
          <w:highlight w:val="none"/>
          <w:lang w:val="en-US" w:eastAsia="zh-CN"/>
        </w:rPr>
        <w:t>万元。主要用于支付湘财预2022-278：2023年生猪调出大县奖励资金。</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（10）</w:t>
      </w:r>
      <w:r>
        <w:rPr>
          <w:rFonts w:hint="eastAsia" w:ascii="仿宋_GB2312" w:hAnsi="仿宋_GB2312" w:eastAsia="仿宋_GB2312" w:cs="仿宋_GB2312"/>
          <w:b w:val="0"/>
          <w:bCs w:val="0"/>
          <w:color w:val="auto"/>
          <w:sz w:val="32"/>
          <w:szCs w:val="32"/>
          <w:highlight w:val="none"/>
          <w:lang w:val="en-US" w:eastAsia="zh-CN"/>
        </w:rPr>
        <w:t>其他科学技术支出</w:t>
      </w:r>
      <w:r>
        <w:rPr>
          <w:rFonts w:hint="eastAsia" w:ascii="仿宋_GB2312" w:hAnsi="仿宋_GB2312" w:cs="仿宋_GB2312"/>
          <w:b w:val="0"/>
          <w:bCs w:val="0"/>
          <w:color w:val="auto"/>
          <w:sz w:val="32"/>
          <w:szCs w:val="32"/>
          <w:highlight w:val="none"/>
          <w:lang w:val="en-US" w:eastAsia="zh-CN"/>
        </w:rPr>
        <w:t>16.07</w:t>
      </w:r>
      <w:r>
        <w:rPr>
          <w:rFonts w:hint="eastAsia" w:ascii="仿宋_GB2312" w:hAnsi="仿宋_GB2312" w:eastAsia="仿宋_GB2312" w:cs="仿宋_GB2312"/>
          <w:b w:val="0"/>
          <w:bCs w:val="0"/>
          <w:color w:val="auto"/>
          <w:sz w:val="32"/>
          <w:szCs w:val="32"/>
          <w:highlight w:val="none"/>
          <w:lang w:val="en-US" w:eastAsia="zh-CN"/>
        </w:rPr>
        <w:t>万元。</w:t>
      </w:r>
      <w:r>
        <w:rPr>
          <w:rFonts w:hint="eastAsia" w:ascii="仿宋_GB2312" w:hAnsi="仿宋_GB2312" w:cs="仿宋_GB2312"/>
          <w:b w:val="0"/>
          <w:bCs w:val="0"/>
          <w:color w:val="auto"/>
          <w:sz w:val="32"/>
          <w:szCs w:val="32"/>
          <w:highlight w:val="none"/>
          <w:lang w:val="en-US" w:eastAsia="zh-CN"/>
        </w:rPr>
        <w:t>用于支付科学技术支出资金。</w:t>
      </w:r>
    </w:p>
    <w:p>
      <w:pPr>
        <w:pStyle w:val="3"/>
        <w:ind w:firstLine="640"/>
        <w:rPr>
          <w:rFonts w:hint="eastAsia" w:ascii="仿宋_GB2312" w:hAnsi="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（11）农产品质量安全支出1.18万元。用于市本级重点项目农产品质量安全专项资金。</w:t>
      </w:r>
    </w:p>
    <w:p>
      <w:pPr>
        <w:pStyle w:val="3"/>
        <w:ind w:firstLine="640"/>
        <w:rPr>
          <w:rFonts w:hint="default" w:ascii="仿宋_GB2312" w:hAnsi="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（12）项目支出其他说明。项目支出中2023年度预算数620.5万元，2023年度决算数2753.4万元。其中差额是由于年初预算项目支出数仅为区级项目支出数，未包括中央级以及省级专项资金，因此产生差额。</w:t>
      </w:r>
      <w:bookmarkStart w:id="2" w:name="_GoBack"/>
      <w:bookmarkEnd w:id="2"/>
    </w:p>
    <w:p>
      <w:pPr>
        <w:widowControl/>
        <w:autoSpaceDN w:val="0"/>
        <w:spacing w:line="54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三、部门整体支出绩效情况</w:t>
      </w:r>
    </w:p>
    <w:p>
      <w:pPr>
        <w:spacing w:line="600" w:lineRule="exact"/>
        <w:ind w:firstLine="627" w:firstLineChars="196"/>
        <w:rPr>
          <w:rFonts w:hint="default"/>
          <w:lang w:val="en-US" w:eastAsia="zh-CN"/>
        </w:rPr>
      </w:pPr>
      <w:r>
        <w:rPr>
          <w:rFonts w:hint="eastAsia" w:ascii="仿宋_GB2312" w:hAnsi="仿宋_GB2312" w:eastAsia="仿宋_GB2312" w:cs="仿宋_GB2312"/>
          <w:kern w:val="0"/>
          <w:sz w:val="32"/>
          <w:szCs w:val="32"/>
          <w:lang w:val="en-US" w:eastAsia="zh-CN" w:bidi="ar-SA"/>
        </w:rPr>
        <w:t>（一）</w:t>
      </w:r>
      <w:r>
        <w:rPr>
          <w:rFonts w:hint="eastAsia" w:ascii="仿宋_GB2312" w:hAnsi="仿宋_GB2312" w:cs="仿宋_GB2312"/>
          <w:kern w:val="0"/>
          <w:sz w:val="32"/>
          <w:szCs w:val="32"/>
          <w:lang w:val="en-US" w:eastAsia="zh-CN" w:bidi="ar-SA"/>
        </w:rPr>
        <w:t xml:space="preserve"> 通过对预算支出的完成，主要实现了以下产出和效益。</w:t>
      </w:r>
    </w:p>
    <w:p>
      <w:pPr>
        <w:keepNext w:val="0"/>
        <w:keepLines w:val="0"/>
        <w:pageBreakBefore w:val="0"/>
        <w:widowControl w:val="0"/>
        <w:kinsoku/>
        <w:wordWrap/>
        <w:overflowPunct/>
        <w:topLinePunct w:val="0"/>
        <w:autoSpaceDE/>
        <w:autoSpaceDN/>
        <w:bidi w:val="0"/>
        <w:adjustRightInd/>
        <w:snapToGrid/>
        <w:spacing w:line="600" w:lineRule="exact"/>
        <w:ind w:leftChars="0" w:firstLine="960" w:firstLineChars="300"/>
        <w:jc w:val="left"/>
        <w:textAlignment w:val="auto"/>
        <w:outlineLvl w:val="9"/>
        <w:rPr>
          <w:rFonts w:hint="eastAsia" w:ascii="仿宋_GB2312" w:eastAsia="仿宋_GB2312"/>
          <w:color w:val="000000"/>
          <w:sz w:val="32"/>
          <w:szCs w:val="32"/>
        </w:rPr>
      </w:pPr>
      <w:r>
        <w:rPr>
          <w:rFonts w:hint="eastAsia" w:ascii="仿宋_GB2312" w:hAnsi="仿宋_GB2312" w:cs="仿宋_GB2312"/>
          <w:b w:val="0"/>
          <w:bCs w:val="0"/>
          <w:kern w:val="0"/>
          <w:sz w:val="32"/>
          <w:szCs w:val="32"/>
          <w:lang w:val="en-US" w:eastAsia="zh-CN" w:bidi="ar-SA"/>
        </w:rPr>
        <w:t>1.</w:t>
      </w:r>
      <w:r>
        <w:rPr>
          <w:rFonts w:hint="eastAsia" w:ascii="仿宋_GB2312" w:hAnsi="仿宋_GB2312" w:cs="仿宋_GB2312"/>
          <w:b w:val="0"/>
          <w:bCs w:val="0"/>
          <w:color w:val="000000"/>
          <w:sz w:val="32"/>
          <w:szCs w:val="32"/>
          <w:lang w:val="en-US" w:eastAsia="zh-CN"/>
        </w:rPr>
        <w:t>推动</w:t>
      </w:r>
      <w:r>
        <w:rPr>
          <w:rFonts w:hint="eastAsia" w:ascii="仿宋_GB2312" w:hAnsi="仿宋_GB2312" w:eastAsia="仿宋_GB2312" w:cs="仿宋_GB2312"/>
          <w:b w:val="0"/>
          <w:bCs w:val="0"/>
          <w:color w:val="000000"/>
          <w:sz w:val="32"/>
          <w:szCs w:val="32"/>
          <w:lang w:val="en-US" w:eastAsia="zh-CN"/>
        </w:rPr>
        <w:t>畜牧渔业生产。预计</w:t>
      </w:r>
      <w:r>
        <w:rPr>
          <w:rFonts w:hint="default" w:ascii="仿宋_GB2312" w:hAnsi="仿宋_GB2312" w:eastAsia="仿宋_GB2312" w:cs="仿宋_GB2312"/>
          <w:b w:val="0"/>
          <w:bCs w:val="0"/>
          <w:color w:val="000000"/>
          <w:sz w:val="32"/>
          <w:szCs w:val="32"/>
          <w:lang w:val="en-US" w:eastAsia="zh-CN"/>
        </w:rPr>
        <w:t>全</w:t>
      </w:r>
      <w:r>
        <w:rPr>
          <w:rFonts w:hint="eastAsia" w:ascii="仿宋_GB2312" w:hAnsi="仿宋_GB2312" w:eastAsia="仿宋_GB2312" w:cs="仿宋_GB2312"/>
          <w:b w:val="0"/>
          <w:bCs w:val="0"/>
          <w:color w:val="000000"/>
          <w:sz w:val="32"/>
          <w:szCs w:val="32"/>
          <w:lang w:val="en-US" w:eastAsia="zh-CN"/>
        </w:rPr>
        <w:t>年</w:t>
      </w:r>
      <w:r>
        <w:rPr>
          <w:rFonts w:hint="default" w:ascii="仿宋_GB2312" w:hAnsi="仿宋_GB2312" w:eastAsia="仿宋_GB2312" w:cs="仿宋_GB2312"/>
          <w:b w:val="0"/>
          <w:bCs w:val="0"/>
          <w:color w:val="000000"/>
          <w:sz w:val="32"/>
          <w:szCs w:val="32"/>
          <w:lang w:val="en-US" w:eastAsia="zh-CN"/>
        </w:rPr>
        <w:t>生猪饲养量为</w:t>
      </w:r>
      <w:r>
        <w:rPr>
          <w:rFonts w:hint="eastAsia" w:ascii="仿宋_GB2312" w:hAnsi="仿宋_GB2312" w:eastAsia="仿宋_GB2312" w:cs="仿宋_GB2312"/>
          <w:b w:val="0"/>
          <w:bCs w:val="0"/>
          <w:color w:val="000000"/>
          <w:sz w:val="32"/>
          <w:szCs w:val="32"/>
          <w:lang w:val="en-US" w:eastAsia="zh-CN"/>
        </w:rPr>
        <w:t>101.17</w:t>
      </w:r>
      <w:r>
        <w:rPr>
          <w:rFonts w:hint="eastAsia" w:ascii="仿宋_GB2312" w:hAnsi="仿宋_GB2312" w:eastAsia="仿宋_GB2312" w:cs="仿宋_GB2312"/>
          <w:b w:val="0"/>
          <w:bCs w:val="0"/>
          <w:color w:val="000000"/>
          <w:sz w:val="32"/>
          <w:szCs w:val="32"/>
        </w:rPr>
        <w:t>万头，其中存栏</w:t>
      </w:r>
      <w:r>
        <w:rPr>
          <w:rFonts w:hint="eastAsia" w:ascii="仿宋_GB2312" w:hAnsi="仿宋_GB2312" w:eastAsia="仿宋_GB2312" w:cs="仿宋_GB2312"/>
          <w:b w:val="0"/>
          <w:bCs w:val="0"/>
          <w:color w:val="000000"/>
          <w:sz w:val="32"/>
          <w:szCs w:val="32"/>
          <w:lang w:val="en-US" w:eastAsia="zh-CN"/>
        </w:rPr>
        <w:t>40</w:t>
      </w:r>
      <w:r>
        <w:rPr>
          <w:rFonts w:hint="eastAsia" w:ascii="仿宋_GB2312" w:hAnsi="仿宋_GB2312" w:eastAsia="仿宋_GB2312" w:cs="仿宋_GB2312"/>
          <w:b w:val="0"/>
          <w:bCs w:val="0"/>
          <w:color w:val="000000"/>
          <w:sz w:val="32"/>
          <w:szCs w:val="32"/>
        </w:rPr>
        <w:t>.6</w:t>
      </w:r>
      <w:r>
        <w:rPr>
          <w:rFonts w:hint="eastAsia" w:ascii="仿宋_GB2312" w:hAnsi="仿宋_GB2312" w:eastAsia="仿宋_GB2312" w:cs="仿宋_GB2312"/>
          <w:b w:val="0"/>
          <w:bCs w:val="0"/>
          <w:color w:val="000000"/>
          <w:sz w:val="32"/>
          <w:szCs w:val="32"/>
          <w:lang w:val="en-US" w:eastAsia="zh-CN"/>
        </w:rPr>
        <w:t>5</w:t>
      </w:r>
      <w:r>
        <w:rPr>
          <w:rFonts w:hint="eastAsia" w:ascii="仿宋_GB2312" w:hAnsi="仿宋_GB2312" w:eastAsia="仿宋_GB2312" w:cs="仿宋_GB2312"/>
          <w:b w:val="0"/>
          <w:bCs w:val="0"/>
          <w:color w:val="000000"/>
          <w:sz w:val="32"/>
          <w:szCs w:val="32"/>
        </w:rPr>
        <w:t>万头，出栏6</w:t>
      </w:r>
      <w:r>
        <w:rPr>
          <w:rFonts w:hint="eastAsia" w:ascii="仿宋_GB2312" w:hAnsi="仿宋_GB2312" w:eastAsia="仿宋_GB2312" w:cs="仿宋_GB2312"/>
          <w:color w:val="000000"/>
          <w:sz w:val="32"/>
          <w:szCs w:val="32"/>
        </w:rPr>
        <w:t>0.</w:t>
      </w:r>
      <w:r>
        <w:rPr>
          <w:rFonts w:hint="eastAsia" w:ascii="仿宋_GB2312" w:hAnsi="仿宋_GB2312" w:eastAsia="仿宋_GB2312" w:cs="仿宋_GB2312"/>
          <w:color w:val="000000"/>
          <w:sz w:val="32"/>
          <w:szCs w:val="32"/>
          <w:lang w:val="en-US" w:eastAsia="zh-CN"/>
        </w:rPr>
        <w:t>52</w:t>
      </w:r>
      <w:r>
        <w:rPr>
          <w:rFonts w:hint="eastAsia" w:ascii="仿宋_GB2312" w:hAnsi="仿宋_GB2312" w:eastAsia="仿宋_GB2312" w:cs="仿宋_GB2312"/>
          <w:color w:val="000000"/>
          <w:sz w:val="32"/>
          <w:szCs w:val="32"/>
        </w:rPr>
        <w:t>万头，能繁母猪存栏3.4</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万头</w:t>
      </w:r>
      <w:r>
        <w:rPr>
          <w:rFonts w:hint="default" w:ascii="仿宋_GB2312" w:hAnsi="仿宋_GB2312" w:eastAsia="仿宋_GB2312" w:cs="仿宋_GB2312"/>
          <w:b w:val="0"/>
          <w:bCs w:val="0"/>
          <w:color w:val="000000"/>
          <w:sz w:val="32"/>
          <w:szCs w:val="32"/>
          <w:lang w:val="en-US" w:eastAsia="zh-CN"/>
        </w:rPr>
        <w:t>；</w:t>
      </w:r>
      <w:r>
        <w:rPr>
          <w:rFonts w:hint="eastAsia" w:ascii="仿宋_GB2312" w:hAnsi="仿宋_GB2312" w:eastAsia="仿宋_GB2312" w:cs="仿宋_GB2312"/>
          <w:color w:val="000000"/>
          <w:sz w:val="32"/>
          <w:szCs w:val="32"/>
        </w:rPr>
        <w:t>牛饲养量为1.</w:t>
      </w:r>
      <w:r>
        <w:rPr>
          <w:rFonts w:hint="eastAsia" w:ascii="仿宋_GB2312" w:hAnsi="仿宋_GB2312" w:eastAsia="仿宋_GB2312" w:cs="仿宋_GB2312"/>
          <w:color w:val="000000"/>
          <w:sz w:val="32"/>
          <w:szCs w:val="32"/>
          <w:lang w:val="en-US" w:eastAsia="zh-CN"/>
        </w:rPr>
        <w:t>67</w:t>
      </w:r>
      <w:r>
        <w:rPr>
          <w:rFonts w:hint="eastAsia" w:ascii="仿宋_GB2312" w:hAnsi="仿宋_GB2312" w:eastAsia="仿宋_GB2312" w:cs="仿宋_GB2312"/>
          <w:color w:val="000000"/>
          <w:sz w:val="32"/>
          <w:szCs w:val="32"/>
        </w:rPr>
        <w:t>万头，其中出栏0.</w:t>
      </w:r>
      <w:r>
        <w:rPr>
          <w:rFonts w:hint="eastAsia" w:ascii="仿宋_GB2312" w:hAnsi="仿宋_GB2312" w:eastAsia="仿宋_GB2312" w:cs="仿宋_GB2312"/>
          <w:color w:val="000000"/>
          <w:sz w:val="32"/>
          <w:szCs w:val="32"/>
          <w:lang w:val="en-US" w:eastAsia="zh-CN"/>
        </w:rPr>
        <w:t>49</w:t>
      </w:r>
      <w:r>
        <w:rPr>
          <w:rFonts w:hint="eastAsia" w:ascii="仿宋_GB2312" w:hAnsi="仿宋_GB2312" w:eastAsia="仿宋_GB2312" w:cs="仿宋_GB2312"/>
          <w:color w:val="000000"/>
          <w:sz w:val="32"/>
          <w:szCs w:val="32"/>
        </w:rPr>
        <w:t>万头，存栏</w:t>
      </w:r>
      <w:r>
        <w:rPr>
          <w:rFonts w:hint="eastAsia" w:ascii="仿宋_GB2312" w:hAnsi="仿宋_GB2312" w:eastAsia="仿宋_GB2312" w:cs="仿宋_GB2312"/>
          <w:color w:val="000000"/>
          <w:sz w:val="32"/>
          <w:szCs w:val="32"/>
          <w:lang w:val="en-US" w:eastAsia="zh-CN"/>
        </w:rPr>
        <w:t>1.18</w:t>
      </w:r>
      <w:r>
        <w:rPr>
          <w:rFonts w:hint="eastAsia" w:ascii="仿宋_GB2312" w:hAnsi="仿宋_GB2312" w:eastAsia="仿宋_GB2312" w:cs="仿宋_GB2312"/>
          <w:color w:val="000000"/>
          <w:sz w:val="32"/>
          <w:szCs w:val="32"/>
        </w:rPr>
        <w:t>万头</w:t>
      </w:r>
      <w:r>
        <w:rPr>
          <w:rFonts w:hint="default" w:ascii="仿宋_GB2312" w:hAnsi="仿宋_GB2312" w:eastAsia="仿宋_GB2312" w:cs="仿宋_GB2312"/>
          <w:b w:val="0"/>
          <w:bCs w:val="0"/>
          <w:color w:val="000000"/>
          <w:sz w:val="32"/>
          <w:szCs w:val="32"/>
          <w:lang w:val="en-US" w:eastAsia="zh-CN"/>
        </w:rPr>
        <w:t>；</w:t>
      </w:r>
      <w:r>
        <w:rPr>
          <w:rFonts w:hint="eastAsia" w:ascii="仿宋_GB2312" w:hAnsi="仿宋_GB2312" w:eastAsia="仿宋_GB2312" w:cs="仿宋_GB2312"/>
          <w:color w:val="000000"/>
          <w:sz w:val="32"/>
          <w:szCs w:val="32"/>
        </w:rPr>
        <w:t>羊饲养量2.</w:t>
      </w:r>
      <w:r>
        <w:rPr>
          <w:rFonts w:hint="eastAsia" w:ascii="仿宋_GB2312" w:hAnsi="仿宋_GB2312" w:eastAsia="仿宋_GB2312" w:cs="仿宋_GB2312"/>
          <w:color w:val="000000"/>
          <w:sz w:val="32"/>
          <w:szCs w:val="32"/>
          <w:lang w:val="en-US" w:eastAsia="zh-CN"/>
        </w:rPr>
        <w:t>42</w:t>
      </w:r>
      <w:r>
        <w:rPr>
          <w:rFonts w:hint="eastAsia" w:ascii="仿宋_GB2312" w:hAnsi="仿宋_GB2312" w:eastAsia="仿宋_GB2312" w:cs="仿宋_GB2312"/>
          <w:color w:val="000000"/>
          <w:sz w:val="32"/>
          <w:szCs w:val="32"/>
        </w:rPr>
        <w:t>万头，其中出栏</w:t>
      </w:r>
      <w:r>
        <w:rPr>
          <w:rFonts w:hint="eastAsia" w:ascii="仿宋_GB2312" w:hAnsi="仿宋_GB2312" w:eastAsia="仿宋_GB2312" w:cs="仿宋_GB2312"/>
          <w:color w:val="000000"/>
          <w:sz w:val="32"/>
          <w:szCs w:val="32"/>
          <w:lang w:val="en-US" w:eastAsia="zh-CN"/>
        </w:rPr>
        <w:t>1.19</w:t>
      </w:r>
      <w:r>
        <w:rPr>
          <w:rFonts w:hint="eastAsia" w:ascii="仿宋_GB2312" w:hAnsi="仿宋_GB2312" w:eastAsia="仿宋_GB2312" w:cs="仿宋_GB2312"/>
          <w:color w:val="000000"/>
          <w:sz w:val="32"/>
          <w:szCs w:val="32"/>
        </w:rPr>
        <w:t>万头，存栏1.</w:t>
      </w:r>
      <w:r>
        <w:rPr>
          <w:rFonts w:hint="eastAsia" w:ascii="仿宋_GB2312" w:hAnsi="仿宋_GB2312" w:eastAsia="仿宋_GB2312" w:cs="仿宋_GB2312"/>
          <w:color w:val="000000"/>
          <w:sz w:val="32"/>
          <w:szCs w:val="32"/>
          <w:lang w:val="en-US" w:eastAsia="zh-CN"/>
        </w:rPr>
        <w:t>23</w:t>
      </w:r>
      <w:r>
        <w:rPr>
          <w:rFonts w:hint="eastAsia" w:ascii="仿宋_GB2312" w:hAnsi="仿宋_GB2312" w:eastAsia="仿宋_GB2312" w:cs="仿宋_GB2312"/>
          <w:color w:val="000000"/>
          <w:sz w:val="32"/>
          <w:szCs w:val="32"/>
        </w:rPr>
        <w:t>万头</w:t>
      </w:r>
      <w:r>
        <w:rPr>
          <w:rFonts w:hint="default" w:ascii="仿宋_GB2312" w:hAnsi="仿宋_GB2312" w:eastAsia="仿宋_GB2312" w:cs="仿宋_GB2312"/>
          <w:b w:val="0"/>
          <w:bCs w:val="0"/>
          <w:color w:val="000000"/>
          <w:sz w:val="32"/>
          <w:szCs w:val="32"/>
          <w:lang w:val="en-US" w:eastAsia="zh-CN"/>
        </w:rPr>
        <w:t>；</w:t>
      </w:r>
      <w:r>
        <w:rPr>
          <w:rFonts w:hint="eastAsia" w:ascii="仿宋_GB2312" w:hAnsi="仿宋_GB2312" w:eastAsia="仿宋_GB2312" w:cs="仿宋_GB2312"/>
          <w:color w:val="000000"/>
          <w:sz w:val="32"/>
          <w:szCs w:val="32"/>
        </w:rPr>
        <w:t>饲养量</w:t>
      </w:r>
      <w:r>
        <w:rPr>
          <w:rFonts w:hint="eastAsia" w:ascii="仿宋_GB2312" w:hAnsi="仿宋_GB2312" w:eastAsia="仿宋_GB2312" w:cs="仿宋_GB2312"/>
          <w:color w:val="000000"/>
          <w:sz w:val="32"/>
          <w:szCs w:val="32"/>
          <w:lang w:eastAsia="zh-CN"/>
        </w:rPr>
        <w:t>预计</w:t>
      </w:r>
      <w:r>
        <w:rPr>
          <w:rFonts w:hint="eastAsia" w:ascii="仿宋_GB2312" w:hAnsi="仿宋_GB2312" w:eastAsia="仿宋_GB2312" w:cs="仿宋_GB2312"/>
          <w:color w:val="000000"/>
          <w:sz w:val="32"/>
          <w:szCs w:val="32"/>
        </w:rPr>
        <w:t>为5</w:t>
      </w:r>
      <w:r>
        <w:rPr>
          <w:rFonts w:hint="eastAsia" w:ascii="仿宋_GB2312" w:hAnsi="仿宋_GB2312" w:eastAsia="仿宋_GB2312" w:cs="仿宋_GB2312"/>
          <w:color w:val="000000"/>
          <w:sz w:val="32"/>
          <w:szCs w:val="32"/>
          <w:lang w:val="en-US" w:eastAsia="zh-CN"/>
        </w:rPr>
        <w:t>61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万羽，其中出笼</w:t>
      </w:r>
      <w:r>
        <w:rPr>
          <w:rFonts w:hint="eastAsia" w:ascii="仿宋_GB2312" w:hAnsi="仿宋_GB2312" w:eastAsia="仿宋_GB2312" w:cs="仿宋_GB2312"/>
          <w:color w:val="000000"/>
          <w:sz w:val="32"/>
          <w:szCs w:val="32"/>
          <w:lang w:val="en-US" w:eastAsia="zh-CN"/>
        </w:rPr>
        <w:t>308</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03</w:t>
      </w:r>
      <w:r>
        <w:rPr>
          <w:rFonts w:hint="eastAsia" w:ascii="仿宋_GB2312" w:hAnsi="仿宋_GB2312" w:eastAsia="仿宋_GB2312" w:cs="仿宋_GB2312"/>
          <w:color w:val="000000"/>
          <w:sz w:val="32"/>
          <w:szCs w:val="32"/>
        </w:rPr>
        <w:t>万羽，存笼</w:t>
      </w:r>
      <w:r>
        <w:rPr>
          <w:rFonts w:hint="eastAsia" w:ascii="仿宋_GB2312" w:hAnsi="仿宋_GB2312" w:eastAsia="仿宋_GB2312" w:cs="仿宋_GB2312"/>
          <w:color w:val="000000"/>
          <w:sz w:val="32"/>
          <w:szCs w:val="32"/>
          <w:lang w:val="en-US" w:eastAsia="zh-CN"/>
        </w:rPr>
        <w:t>253.09</w:t>
      </w:r>
      <w:r>
        <w:rPr>
          <w:rFonts w:hint="eastAsia" w:ascii="仿宋_GB2312" w:hAnsi="仿宋_GB2312" w:eastAsia="仿宋_GB2312" w:cs="仿宋_GB2312"/>
          <w:color w:val="000000"/>
          <w:sz w:val="32"/>
          <w:szCs w:val="32"/>
        </w:rPr>
        <w:t>万羽</w:t>
      </w:r>
      <w:r>
        <w:rPr>
          <w:rFonts w:hint="eastAsia" w:ascii="仿宋_GB2312" w:hAnsi="仿宋_GB2312" w:eastAsia="仿宋_GB2312" w:cs="仿宋_GB2312"/>
          <w:b w:val="0"/>
          <w:bCs w:val="0"/>
          <w:color w:val="000000"/>
          <w:sz w:val="32"/>
          <w:szCs w:val="32"/>
          <w:lang w:val="en-US" w:eastAsia="zh-CN"/>
        </w:rPr>
        <w:t>；</w:t>
      </w:r>
      <w:r>
        <w:rPr>
          <w:rFonts w:hint="default" w:ascii="仿宋_GB2312" w:hAnsi="仿宋_GB2312" w:eastAsia="仿宋_GB2312" w:cs="仿宋_GB2312"/>
          <w:b w:val="0"/>
          <w:bCs w:val="0"/>
          <w:color w:val="000000"/>
          <w:sz w:val="32"/>
          <w:szCs w:val="32"/>
          <w:lang w:val="en-US" w:eastAsia="zh-CN"/>
        </w:rPr>
        <w:t>禽蛋产量</w:t>
      </w:r>
      <w:r>
        <w:rPr>
          <w:rFonts w:hint="eastAsia" w:ascii="仿宋_GB2312" w:hAnsi="仿宋_GB2312" w:eastAsia="仿宋_GB2312" w:cs="仿宋_GB2312"/>
          <w:color w:val="000000"/>
          <w:sz w:val="32"/>
          <w:szCs w:val="32"/>
          <w:lang w:val="en-US" w:eastAsia="zh-CN"/>
        </w:rPr>
        <w:t>1.178万</w:t>
      </w:r>
      <w:r>
        <w:rPr>
          <w:rFonts w:hint="default" w:ascii="仿宋_GB2312" w:hAnsi="仿宋_GB2312" w:eastAsia="仿宋_GB2312" w:cs="仿宋_GB2312"/>
          <w:b w:val="0"/>
          <w:bCs w:val="0"/>
          <w:color w:val="000000"/>
          <w:sz w:val="32"/>
          <w:szCs w:val="32"/>
          <w:lang w:val="en-US" w:eastAsia="zh-CN"/>
        </w:rPr>
        <w:t>吨。</w:t>
      </w:r>
      <w:r>
        <w:rPr>
          <w:rFonts w:hint="eastAsia" w:ascii="仿宋_GB2312" w:eastAsia="仿宋_GB2312"/>
          <w:color w:val="000000"/>
          <w:sz w:val="32"/>
          <w:szCs w:val="32"/>
        </w:rPr>
        <w:t>全区养殖水面105492亩，稻田养殖面积101888亩，与去年持平。</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left"/>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cs="仿宋_GB2312"/>
          <w:b w:val="0"/>
          <w:bCs w:val="0"/>
          <w:color w:val="000000"/>
          <w:sz w:val="32"/>
          <w:szCs w:val="32"/>
          <w:lang w:val="en-US" w:eastAsia="zh-CN"/>
        </w:rPr>
        <w:t>（2）</w:t>
      </w:r>
      <w:r>
        <w:rPr>
          <w:rFonts w:hint="eastAsia" w:ascii="仿宋_GB2312" w:hAnsi="仿宋_GB2312" w:eastAsia="仿宋_GB2312" w:cs="仿宋_GB2312"/>
          <w:b w:val="0"/>
          <w:bCs w:val="0"/>
          <w:color w:val="000000"/>
          <w:sz w:val="32"/>
          <w:szCs w:val="32"/>
          <w:lang w:val="en-US" w:eastAsia="zh-CN"/>
        </w:rPr>
        <w:t>深入推进生猪生产保供和优质湘猪工程。存栏母猪控制在3.4万头左右，稳固基础生产能力。能繁母猪存栏量发生较大波动时，及时起动对应的调控措施，防止生猪产能大幅波动。</w:t>
      </w:r>
      <w:r>
        <w:rPr>
          <w:rFonts w:hint="eastAsia" w:ascii="仿宋_GB2312" w:hAnsi="仿宋_GB2312" w:eastAsia="仿宋_GB2312" w:cs="仿宋_GB2312"/>
          <w:b w:val="0"/>
          <w:bCs w:val="0"/>
          <w:color w:val="000000"/>
          <w:sz w:val="32"/>
          <w:szCs w:val="32"/>
        </w:rPr>
        <w:t>利用生猪调出大县奖励资金，对重点监测场户发放生产发展奖励，支持养殖企业引种、养殖场户改扩建、粪污设施改造升级等，提高</w:t>
      </w:r>
      <w:r>
        <w:rPr>
          <w:rFonts w:hint="eastAsia" w:ascii="仿宋_GB2312" w:hAnsi="仿宋_GB2312" w:eastAsia="仿宋_GB2312" w:cs="仿宋_GB2312"/>
          <w:b w:val="0"/>
          <w:bCs w:val="0"/>
          <w:color w:val="000000"/>
          <w:sz w:val="32"/>
          <w:szCs w:val="32"/>
          <w:lang w:eastAsia="zh-CN"/>
        </w:rPr>
        <w:t>了</w:t>
      </w:r>
      <w:r>
        <w:rPr>
          <w:rFonts w:hint="eastAsia" w:ascii="仿宋_GB2312" w:hAnsi="仿宋_GB2312" w:eastAsia="仿宋_GB2312" w:cs="仿宋_GB2312"/>
          <w:b w:val="0"/>
          <w:bCs w:val="0"/>
          <w:color w:val="000000"/>
          <w:sz w:val="32"/>
          <w:szCs w:val="32"/>
        </w:rPr>
        <w:t>生猪标准化程度和产能</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保障生猪产业健康稳定发展和市场供给。</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left"/>
        <w:textAlignment w:val="auto"/>
        <w:outlineLvl w:val="9"/>
        <w:rPr>
          <w:rFonts w:hint="default" w:ascii="Times New Roman" w:hAnsi="Times New Roman" w:eastAsia="仿宋_GB2312" w:cs="Times New Roman"/>
          <w:b w:val="0"/>
          <w:bCs w:val="0"/>
          <w:color w:val="000000"/>
          <w:sz w:val="32"/>
          <w:szCs w:val="32"/>
        </w:rPr>
      </w:pPr>
      <w:r>
        <w:rPr>
          <w:rFonts w:hint="eastAsia" w:ascii="仿宋_GB2312" w:hAnsi="仿宋_GB2312" w:cs="仿宋_GB2312"/>
          <w:b w:val="0"/>
          <w:bCs w:val="0"/>
          <w:color w:val="000000"/>
          <w:sz w:val="32"/>
          <w:szCs w:val="32"/>
          <w:lang w:val="en-US" w:eastAsia="zh-CN"/>
        </w:rPr>
        <w:t>（3）</w:t>
      </w:r>
      <w:r>
        <w:rPr>
          <w:rFonts w:hint="default" w:ascii="仿宋_GB2312" w:hAnsi="仿宋_GB2312" w:eastAsia="仿宋_GB2312" w:cs="仿宋_GB2312"/>
          <w:b w:val="0"/>
          <w:bCs w:val="0"/>
          <w:color w:val="000000"/>
          <w:sz w:val="32"/>
          <w:szCs w:val="32"/>
          <w:lang w:val="en-US" w:eastAsia="zh-CN"/>
        </w:rPr>
        <w:t>推进渔业高质量发展</w:t>
      </w:r>
      <w:r>
        <w:rPr>
          <w:rFonts w:hint="eastAsia" w:ascii="仿宋_GB2312" w:hAnsi="仿宋_GB2312" w:eastAsia="仿宋_GB2312" w:cs="仿宋_GB2312"/>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lang w:val="en-US" w:eastAsia="zh-CN"/>
        </w:rPr>
        <w:t>一是</w:t>
      </w:r>
      <w:r>
        <w:rPr>
          <w:rFonts w:hint="default" w:ascii="Times New Roman" w:hAnsi="Times New Roman" w:eastAsia="仿宋_GB2312" w:cs="Times New Roman"/>
          <w:b w:val="0"/>
          <w:bCs w:val="0"/>
          <w:color w:val="000000"/>
          <w:sz w:val="32"/>
          <w:szCs w:val="32"/>
        </w:rPr>
        <w:t>指导渔场以及示范场</w:t>
      </w:r>
      <w:r>
        <w:rPr>
          <w:rFonts w:hint="eastAsia"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rPr>
        <w:t>基地</w:t>
      </w:r>
      <w:r>
        <w:rPr>
          <w:rFonts w:hint="eastAsia"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lang w:val="en-US" w:eastAsia="zh-CN"/>
        </w:rPr>
        <w:t>做好生产</w:t>
      </w:r>
      <w:r>
        <w:rPr>
          <w:rFonts w:hint="default" w:ascii="Times New Roman" w:hAnsi="Times New Roman" w:eastAsia="仿宋_GB2312" w:cs="Times New Roman"/>
          <w:b w:val="0"/>
          <w:bCs w:val="0"/>
          <w:color w:val="000000"/>
          <w:sz w:val="32"/>
          <w:szCs w:val="32"/>
        </w:rPr>
        <w:t>规划</w:t>
      </w:r>
      <w:r>
        <w:rPr>
          <w:rFonts w:hint="eastAsia" w:ascii="Times New Roman" w:hAnsi="Times New Roman" w:eastAsia="仿宋_GB2312" w:cs="Times New Roman"/>
          <w:b w:val="0"/>
          <w:bCs w:val="0"/>
          <w:color w:val="000000"/>
          <w:sz w:val="32"/>
          <w:szCs w:val="32"/>
          <w:lang w:eastAsia="zh-CN"/>
        </w:rPr>
        <w:t>和养殖生产，指导有关企业做好项目申报与实施</w:t>
      </w:r>
      <w:r>
        <w:rPr>
          <w:rFonts w:hint="default" w:ascii="Times New Roman" w:hAnsi="Times New Roman" w:eastAsia="仿宋_GB2312" w:cs="Times New Roman"/>
          <w:b w:val="0"/>
          <w:bCs w:val="0"/>
          <w:color w:val="00000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left"/>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cs="仿宋_GB2312"/>
          <w:b w:val="0"/>
          <w:bCs w:val="0"/>
          <w:color w:val="000000"/>
          <w:sz w:val="32"/>
          <w:szCs w:val="32"/>
          <w:lang w:val="en-US" w:eastAsia="zh-CN"/>
        </w:rPr>
        <w:t>（4）</w:t>
      </w:r>
      <w:r>
        <w:rPr>
          <w:rFonts w:hint="default" w:ascii="仿宋_GB2312" w:hAnsi="仿宋_GB2312" w:eastAsia="仿宋_GB2312" w:cs="仿宋_GB2312"/>
          <w:b w:val="0"/>
          <w:bCs w:val="0"/>
          <w:color w:val="000000"/>
          <w:sz w:val="32"/>
          <w:szCs w:val="32"/>
          <w:lang w:val="en-US" w:eastAsia="zh-CN"/>
        </w:rPr>
        <w:t>加强重大动物疫病防控</w:t>
      </w:r>
      <w:r>
        <w:rPr>
          <w:rFonts w:hint="eastAsia" w:ascii="仿宋_GB2312" w:hAnsi="仿宋_GB2312" w:eastAsia="仿宋_GB2312" w:cs="仿宋_GB2312"/>
          <w:b w:val="0"/>
          <w:bCs w:val="0"/>
          <w:color w:val="000000"/>
          <w:sz w:val="32"/>
          <w:szCs w:val="32"/>
          <w:lang w:val="en-US" w:eastAsia="zh-CN"/>
        </w:rPr>
        <w:t>。一是做好春秋季动物防疫工作。</w:t>
      </w:r>
      <w:r>
        <w:rPr>
          <w:rFonts w:hint="eastAsia" w:ascii="仿宋_GB2312" w:hAnsi="仿宋_GB2312" w:eastAsia="仿宋_GB2312" w:cs="仿宋_GB2312"/>
          <w:b w:val="0"/>
          <w:bCs w:val="0"/>
          <w:color w:val="000000"/>
          <w:sz w:val="32"/>
          <w:szCs w:val="32"/>
          <w:lang w:eastAsia="zh-CN"/>
        </w:rPr>
        <w:t>开展了</w:t>
      </w:r>
      <w:r>
        <w:rPr>
          <w:rFonts w:hint="eastAsia" w:ascii="仿宋_GB2312" w:hAnsi="仿宋_GB2312" w:eastAsia="仿宋_GB2312" w:cs="仿宋_GB2312"/>
          <w:color w:val="000000"/>
          <w:sz w:val="32"/>
          <w:szCs w:val="32"/>
          <w:lang w:eastAsia="zh-CN"/>
        </w:rPr>
        <w:t>猪瘟、高致病性禽流感、口蹄疫等重大动物疫病集中免疫工作，畜禽群体常年免疫密度达到了</w:t>
      </w:r>
      <w:r>
        <w:rPr>
          <w:rFonts w:hint="eastAsia" w:ascii="仿宋_GB2312" w:hAnsi="仿宋_GB2312" w:eastAsia="仿宋_GB2312" w:cs="仿宋_GB2312"/>
          <w:color w:val="000000"/>
          <w:sz w:val="32"/>
          <w:szCs w:val="32"/>
          <w:lang w:val="en-US" w:eastAsia="zh-CN"/>
        </w:rPr>
        <w:t>90%、应免畜禽免疫达到100%、免疫抗体合格率达到70%以上。</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left"/>
        <w:textAlignment w:val="auto"/>
        <w:outlineLvl w:val="9"/>
        <w:rPr>
          <w:rFonts w:hint="eastAsia" w:ascii="仿宋_GB2312" w:hAnsi="仿宋_GB2312" w:eastAsia="仿宋_GB2312" w:cs="仿宋_GB2312"/>
          <w:b/>
          <w:bCs/>
          <w:color w:val="000000"/>
          <w:sz w:val="32"/>
          <w:szCs w:val="32"/>
          <w:lang w:val="en-US" w:eastAsia="zh-CN"/>
        </w:rPr>
      </w:pPr>
      <w:r>
        <w:rPr>
          <w:rFonts w:hint="eastAsia" w:ascii="仿宋_GB2312" w:hAnsi="仿宋_GB2312" w:cs="仿宋_GB2312"/>
          <w:b w:val="0"/>
          <w:bCs w:val="0"/>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5</w:t>
      </w:r>
      <w:r>
        <w:rPr>
          <w:rFonts w:hint="eastAsia" w:ascii="仿宋_GB2312" w:hAnsi="仿宋_GB2312" w:cs="仿宋_GB2312"/>
          <w:b w:val="0"/>
          <w:bCs w:val="0"/>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保障畜禽水产品质量安全。一是开展质量安全培训。举办</w:t>
      </w:r>
      <w:r>
        <w:rPr>
          <w:rFonts w:hint="eastAsia" w:ascii="仿宋_GB2312" w:hAnsi="仿宋_GB2312" w:eastAsia="仿宋_GB2312" w:cs="仿宋_GB2312"/>
          <w:color w:val="000000"/>
          <w:sz w:val="32"/>
          <w:szCs w:val="32"/>
          <w:lang w:val="en-US" w:eastAsia="zh-CN"/>
        </w:rPr>
        <w:t>兽用抗菌药使用减量化、食用农产品承诺达标合格证使用等培训，强化生产者主体责任，引导养殖户增强农产品质量安全意识。</w:t>
      </w:r>
      <w:r>
        <w:rPr>
          <w:rFonts w:hint="eastAsia" w:ascii="仿宋_GB2312" w:hAnsi="仿宋_GB2312" w:eastAsia="仿宋_GB2312" w:cs="仿宋_GB2312"/>
          <w:b/>
          <w:bCs/>
          <w:color w:val="000000"/>
          <w:sz w:val="32"/>
          <w:szCs w:val="32"/>
          <w:lang w:val="en-US" w:eastAsia="zh-CN"/>
        </w:rPr>
        <w:t>二是</w:t>
      </w:r>
      <w:r>
        <w:rPr>
          <w:rFonts w:hint="eastAsia" w:ascii="仿宋_GB2312" w:hAnsi="仿宋_GB2312" w:eastAsia="仿宋_GB2312" w:cs="仿宋_GB2312"/>
          <w:b w:val="0"/>
          <w:bCs w:val="0"/>
          <w:color w:val="000000"/>
          <w:sz w:val="32"/>
          <w:szCs w:val="32"/>
          <w:lang w:val="en-US" w:eastAsia="zh-CN"/>
        </w:rPr>
        <w:t>加强源头监管。</w:t>
      </w:r>
      <w:r>
        <w:rPr>
          <w:rFonts w:hint="eastAsia" w:ascii="仿宋_GB2312" w:hAnsi="仿宋_GB2312" w:eastAsia="仿宋_GB2312" w:cs="仿宋_GB2312"/>
          <w:color w:val="000000"/>
          <w:sz w:val="32"/>
          <w:szCs w:val="32"/>
          <w:lang w:eastAsia="zh-CN"/>
        </w:rPr>
        <w:t>接受上级部门</w:t>
      </w:r>
      <w:r>
        <w:rPr>
          <w:rFonts w:hint="eastAsia" w:ascii="仿宋_GB2312" w:hAnsi="仿宋_GB2312" w:eastAsia="仿宋_GB2312" w:cs="仿宋_GB2312"/>
          <w:color w:val="000000"/>
          <w:sz w:val="32"/>
          <w:szCs w:val="32"/>
        </w:rPr>
        <w:t>畜禽水产品质量安全监测</w:t>
      </w:r>
      <w:r>
        <w:rPr>
          <w:rFonts w:hint="eastAsia" w:ascii="仿宋_GB2312" w:hAnsi="仿宋_GB2312" w:eastAsia="仿宋_GB2312" w:cs="仿宋_GB2312"/>
          <w:color w:val="000000"/>
          <w:sz w:val="32"/>
          <w:szCs w:val="32"/>
          <w:lang w:eastAsia="zh-CN"/>
        </w:rPr>
        <w:t>抽样</w:t>
      </w:r>
      <w:r>
        <w:rPr>
          <w:rFonts w:hint="eastAsia" w:ascii="仿宋_GB2312" w:hAnsi="仿宋_GB2312" w:eastAsia="仿宋_GB2312" w:cs="仿宋_GB2312"/>
          <w:color w:val="000000"/>
          <w:sz w:val="32"/>
          <w:szCs w:val="32"/>
        </w:rPr>
        <w:t>216批次，合格率</w:t>
      </w:r>
      <w:r>
        <w:rPr>
          <w:rFonts w:hint="eastAsia" w:ascii="仿宋_GB2312" w:hAnsi="仿宋_GB2312" w:eastAsia="仿宋_GB2312" w:cs="仿宋_GB2312"/>
          <w:color w:val="000000"/>
          <w:sz w:val="32"/>
          <w:szCs w:val="32"/>
          <w:lang w:eastAsia="zh-CN"/>
        </w:rPr>
        <w:t>为</w:t>
      </w:r>
      <w:r>
        <w:rPr>
          <w:rFonts w:hint="eastAsia" w:ascii="仿宋_GB2312" w:hAnsi="仿宋_GB2312" w:eastAsia="仿宋_GB2312" w:cs="仿宋_GB2312"/>
          <w:color w:val="000000"/>
          <w:sz w:val="32"/>
          <w:szCs w:val="32"/>
        </w:rPr>
        <w:t>100%。</w:t>
      </w:r>
      <w:r>
        <w:rPr>
          <w:rFonts w:hint="eastAsia" w:ascii="仿宋_GB2312" w:hAnsi="仿宋_GB2312" w:eastAsia="仿宋_GB2312" w:cs="仿宋_GB2312"/>
          <w:b/>
          <w:bCs/>
          <w:color w:val="000000"/>
          <w:sz w:val="32"/>
          <w:szCs w:val="32"/>
          <w:lang w:eastAsia="zh-CN"/>
        </w:rPr>
        <w:t>三是</w:t>
      </w:r>
      <w:r>
        <w:rPr>
          <w:rFonts w:hint="eastAsia" w:ascii="仿宋_GB2312" w:hAnsi="仿宋_GB2312" w:eastAsia="仿宋_GB2312" w:cs="仿宋_GB2312"/>
          <w:b w:val="0"/>
          <w:bCs w:val="0"/>
          <w:color w:val="000000"/>
          <w:sz w:val="32"/>
          <w:szCs w:val="32"/>
          <w:lang w:val="en-US" w:eastAsia="zh-CN"/>
        </w:rPr>
        <w:t>加强检疫监管。落实产地检疫申报、到场（点）检疫、隔离观察等制度和措施，加强产地检疫，派驻官方兽医常驻屠宰企业加强监管，截止目前，检疫</w:t>
      </w:r>
      <w:r>
        <w:rPr>
          <w:rFonts w:hint="eastAsia" w:ascii="仿宋_GB2312" w:eastAsia="仿宋_GB2312"/>
          <w:color w:val="000000"/>
          <w:sz w:val="32"/>
          <w:szCs w:val="32"/>
          <w:lang w:val="en-US" w:eastAsia="zh-CN"/>
        </w:rPr>
        <w:t>生猪505665头、禽类1199630羽、牛137头。</w:t>
      </w:r>
      <w:r>
        <w:rPr>
          <w:rFonts w:hint="eastAsia" w:ascii="仿宋_GB2312" w:hAnsi="仿宋_GB2312" w:eastAsia="仿宋_GB2312" w:cs="仿宋_GB2312"/>
          <w:b w:val="0"/>
          <w:bCs w:val="0"/>
          <w:color w:val="000000"/>
          <w:sz w:val="32"/>
          <w:szCs w:val="32"/>
          <w:lang w:val="en-US" w:eastAsia="zh-CN"/>
        </w:rPr>
        <w:t>加强产品检疫，派官方兽医常驻屠宰企业，督促屠宰企业落实相关政策措施，严把质量关。截止目前，检疫猪肉产品</w:t>
      </w:r>
      <w:r>
        <w:rPr>
          <w:rFonts w:hint="eastAsia" w:ascii="仿宋_GB2312" w:eastAsia="仿宋_GB2312"/>
          <w:color w:val="000000"/>
          <w:sz w:val="32"/>
          <w:szCs w:val="32"/>
          <w:lang w:val="en-US" w:eastAsia="zh-CN"/>
        </w:rPr>
        <w:t>9.48</w:t>
      </w:r>
      <w:r>
        <w:rPr>
          <w:rFonts w:hint="eastAsia" w:ascii="仿宋_GB2312" w:hAnsi="仿宋_GB2312" w:eastAsia="仿宋_GB2312" w:cs="仿宋_GB2312"/>
          <w:b w:val="0"/>
          <w:bCs w:val="0"/>
          <w:color w:val="000000"/>
          <w:sz w:val="32"/>
          <w:szCs w:val="32"/>
          <w:lang w:val="en-US" w:eastAsia="zh-CN"/>
        </w:rPr>
        <w:t>万吨。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cs="仿宋_GB2312"/>
          <w:b w:val="0"/>
          <w:bCs w:val="0"/>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6</w:t>
      </w:r>
      <w:r>
        <w:rPr>
          <w:rFonts w:hint="eastAsia" w:ascii="仿宋_GB2312" w:hAnsi="仿宋_GB2312" w:cs="仿宋_GB2312"/>
          <w:b w:val="0"/>
          <w:bCs w:val="0"/>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养殖污染防治情况。</w:t>
      </w:r>
      <w:r>
        <w:rPr>
          <w:rFonts w:hint="eastAsia" w:ascii="仿宋_GB2312" w:hAnsi="仿宋_GB2312" w:eastAsia="仿宋_GB2312" w:cs="仿宋_GB2312"/>
          <w:b/>
          <w:bCs/>
          <w:color w:val="000000"/>
          <w:sz w:val="32"/>
          <w:szCs w:val="32"/>
          <w:lang w:val="en-US" w:eastAsia="zh-CN"/>
        </w:rPr>
        <w:t>一是</w:t>
      </w:r>
      <w:r>
        <w:rPr>
          <w:rFonts w:hint="eastAsia" w:ascii="仿宋_GB2312" w:hAnsi="仿宋_GB2312" w:eastAsia="仿宋_GB2312" w:cs="仿宋_GB2312"/>
          <w:color w:val="000000"/>
          <w:kern w:val="2"/>
          <w:sz w:val="32"/>
          <w:szCs w:val="32"/>
          <w:lang w:val="en-US" w:eastAsia="zh-CN" w:bidi="ar-SA"/>
        </w:rPr>
        <w:t>引导畜禽养殖场引进先进粪污处理设备和工艺，取代传统落后的沼气发酵模式，</w:t>
      </w:r>
      <w:r>
        <w:rPr>
          <w:rFonts w:hint="eastAsia" w:ascii="仿宋_GB2312" w:hAnsi="仿宋_GB2312" w:eastAsia="仿宋_GB2312" w:cs="仿宋_GB2312"/>
          <w:color w:val="000000"/>
          <w:sz w:val="32"/>
          <w:szCs w:val="32"/>
          <w:lang w:val="en-US" w:eastAsia="zh-CN"/>
        </w:rPr>
        <w:t>全区规模及以上养殖场畜禽粪污处理设施配套率达到100％。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lang w:val="en-US" w:eastAsia="zh-CN"/>
        </w:rPr>
      </w:pPr>
      <w:r>
        <w:rPr>
          <w:rFonts w:hint="eastAsia" w:ascii="仿宋_GB2312" w:hAnsi="仿宋_GB2312" w:cs="仿宋_GB2312"/>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7</w:t>
      </w:r>
      <w:r>
        <w:rPr>
          <w:rFonts w:hint="eastAsia" w:ascii="仿宋_GB2312" w:hAnsi="仿宋_GB2312" w:cs="仿宋_GB2312"/>
          <w:b w:val="0"/>
          <w:bCs w:val="0"/>
          <w:color w:val="000000"/>
          <w:sz w:val="32"/>
          <w:szCs w:val="32"/>
          <w:lang w:val="en-US" w:eastAsia="zh-CN"/>
        </w:rPr>
        <w:t>）</w:t>
      </w:r>
      <w:r>
        <w:rPr>
          <w:rFonts w:hint="default" w:ascii="仿宋_GB2312" w:hAnsi="仿宋_GB2312" w:eastAsia="仿宋_GB2312" w:cs="仿宋_GB2312"/>
          <w:b w:val="0"/>
          <w:bCs w:val="0"/>
          <w:color w:val="000000"/>
          <w:sz w:val="32"/>
          <w:szCs w:val="32"/>
          <w:lang w:val="en-US" w:eastAsia="zh-CN"/>
        </w:rPr>
        <w:t>加强渔业资源保护</w:t>
      </w:r>
      <w:r>
        <w:rPr>
          <w:rFonts w:hint="eastAsia" w:ascii="仿宋_GB2312" w:hAnsi="仿宋_GB2312" w:eastAsia="仿宋_GB2312" w:cs="仿宋_GB2312"/>
          <w:b w:val="0"/>
          <w:bCs w:val="0"/>
          <w:color w:val="000000"/>
          <w:sz w:val="32"/>
          <w:szCs w:val="32"/>
          <w:lang w:val="en-US" w:eastAsia="zh-CN"/>
        </w:rPr>
        <w:t>。一是开展人工增殖放流。在</w:t>
      </w:r>
      <w:r>
        <w:rPr>
          <w:rFonts w:hint="eastAsia" w:ascii="仿宋_GB2312" w:hAnsi="仿宋_GB2312" w:eastAsia="仿宋_GB2312" w:cs="仿宋_GB2312"/>
          <w:b w:val="0"/>
          <w:bCs w:val="0"/>
          <w:i w:val="0"/>
          <w:iCs w:val="0"/>
          <w:caps w:val="0"/>
          <w:color w:val="000000"/>
          <w:spacing w:val="0"/>
          <w:sz w:val="32"/>
          <w:szCs w:val="32"/>
          <w:shd w:val="clear" w:color="auto" w:fill="FFFFFF"/>
          <w:lang w:eastAsia="zh-CN"/>
        </w:rPr>
        <w:t>资江</w:t>
      </w:r>
      <w:r>
        <w:rPr>
          <w:rFonts w:hint="eastAsia" w:ascii="仿宋_GB2312" w:hAnsi="仿宋_GB2312" w:eastAsia="仿宋_GB2312" w:cs="仿宋_GB2312"/>
          <w:b w:val="0"/>
          <w:bCs w:val="0"/>
          <w:color w:val="000000"/>
          <w:sz w:val="32"/>
          <w:szCs w:val="32"/>
          <w:lang w:val="en-US" w:eastAsia="zh-CN"/>
        </w:rPr>
        <w:t>区渔政码头、黄家湖大湖</w:t>
      </w:r>
      <w:r>
        <w:rPr>
          <w:rFonts w:hint="eastAsia" w:ascii="仿宋_GB2312" w:hAnsi="仿宋_GB2312" w:eastAsia="仿宋_GB2312" w:cs="仿宋_GB2312"/>
          <w:b w:val="0"/>
          <w:bCs w:val="0"/>
          <w:i w:val="0"/>
          <w:iCs w:val="0"/>
          <w:caps w:val="0"/>
          <w:color w:val="000000"/>
          <w:spacing w:val="0"/>
          <w:sz w:val="32"/>
          <w:szCs w:val="32"/>
          <w:shd w:val="clear" w:color="auto" w:fill="FFFFFF"/>
          <w:lang w:eastAsia="zh-CN"/>
        </w:rPr>
        <w:t>投放</w:t>
      </w:r>
      <w:r>
        <w:rPr>
          <w:rFonts w:hint="eastAsia" w:ascii="仿宋_GB2312" w:hAnsi="仿宋_GB2312" w:eastAsia="仿宋_GB2312" w:cs="仿宋_GB2312"/>
          <w:color w:val="000000"/>
          <w:sz w:val="32"/>
          <w:szCs w:val="32"/>
          <w:lang w:val="en-US" w:eastAsia="zh-CN"/>
        </w:rPr>
        <w:t>黄颡鱼、鳜鱼、鲶鱼、草鱼、青鱼、鲢鱼、鳙鱼、鳊鱼等</w:t>
      </w:r>
      <w:r>
        <w:rPr>
          <w:rFonts w:hint="eastAsia" w:ascii="仿宋_GB2312" w:hAnsi="仿宋_GB2312" w:eastAsia="仿宋_GB2312" w:cs="仿宋_GB2312"/>
          <w:i w:val="0"/>
          <w:iCs w:val="0"/>
          <w:caps w:val="0"/>
          <w:color w:val="000000"/>
          <w:spacing w:val="0"/>
          <w:sz w:val="32"/>
          <w:szCs w:val="32"/>
          <w:shd w:val="clear" w:color="auto" w:fill="FFFFFF"/>
          <w:lang w:val="en-US" w:eastAsia="zh-CN"/>
        </w:rPr>
        <w:t>优质</w:t>
      </w:r>
      <w:r>
        <w:rPr>
          <w:rFonts w:hint="eastAsia" w:ascii="仿宋_GB2312" w:hAnsi="仿宋_GB2312" w:eastAsia="仿宋_GB2312" w:cs="仿宋_GB2312"/>
          <w:i w:val="0"/>
          <w:iCs w:val="0"/>
          <w:caps w:val="0"/>
          <w:color w:val="000000"/>
          <w:spacing w:val="0"/>
          <w:sz w:val="32"/>
          <w:szCs w:val="32"/>
          <w:shd w:val="clear" w:color="auto" w:fill="FFFFFF"/>
        </w:rPr>
        <w:t>鱼苗</w:t>
      </w:r>
      <w:r>
        <w:rPr>
          <w:rFonts w:hint="eastAsia" w:ascii="仿宋_GB2312" w:hAnsi="仿宋_GB2312" w:eastAsia="仿宋_GB2312" w:cs="仿宋_GB2312"/>
          <w:i w:val="0"/>
          <w:iCs w:val="0"/>
          <w:caps w:val="0"/>
          <w:color w:val="000000"/>
          <w:spacing w:val="0"/>
          <w:sz w:val="32"/>
          <w:szCs w:val="32"/>
          <w:shd w:val="clear" w:color="auto" w:fill="FFFFFF"/>
          <w:lang w:val="en-US" w:eastAsia="zh-CN"/>
        </w:rPr>
        <w:t>112</w:t>
      </w:r>
      <w:r>
        <w:rPr>
          <w:rFonts w:hint="eastAsia" w:ascii="仿宋_GB2312" w:hAnsi="仿宋_GB2312" w:eastAsia="仿宋_GB2312" w:cs="仿宋_GB2312"/>
          <w:i w:val="0"/>
          <w:iCs w:val="0"/>
          <w:caps w:val="0"/>
          <w:color w:val="000000"/>
          <w:spacing w:val="0"/>
          <w:sz w:val="32"/>
          <w:szCs w:val="32"/>
          <w:shd w:val="clear" w:color="auto" w:fill="FFFFFF"/>
        </w:rPr>
        <w:t>5.1万尾</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lang w:val="en-US" w:eastAsia="zh-CN"/>
        </w:rPr>
        <w:t>有效</w:t>
      </w:r>
      <w:r>
        <w:rPr>
          <w:rFonts w:hint="eastAsia" w:ascii="仿宋_GB2312" w:hAnsi="仿宋_GB2312" w:eastAsia="仿宋_GB2312" w:cs="仿宋_GB2312"/>
          <w:i w:val="0"/>
          <w:iCs w:val="0"/>
          <w:caps w:val="0"/>
          <w:color w:val="000000"/>
          <w:spacing w:val="0"/>
          <w:sz w:val="32"/>
          <w:szCs w:val="32"/>
          <w:shd w:val="clear" w:color="auto" w:fill="FFFFFF"/>
        </w:rPr>
        <w:t>补充经济鱼类种群数量，保护生物多样性</w:t>
      </w:r>
      <w:r>
        <w:rPr>
          <w:rFonts w:hint="eastAsia" w:ascii="仿宋_GB2312" w:hAnsi="仿宋_GB2312" w:eastAsia="仿宋_GB2312" w:cs="仿宋_GB2312"/>
          <w:b w:val="0"/>
          <w:bCs w:val="0"/>
          <w:i w:val="0"/>
          <w:iCs w:val="0"/>
          <w:caps w:val="0"/>
          <w:color w:val="000000"/>
          <w:spacing w:val="0"/>
          <w:sz w:val="32"/>
          <w:szCs w:val="32"/>
          <w:shd w:val="clear" w:color="auto" w:fill="FFFFFF"/>
        </w:rPr>
        <w:t>。</w:t>
      </w:r>
      <w:r>
        <w:rPr>
          <w:rFonts w:hint="eastAsia" w:ascii="仿宋_GB2312" w:hAnsi="仿宋_GB2312" w:eastAsia="仿宋_GB2312" w:cs="仿宋_GB2312"/>
          <w:b/>
          <w:bCs/>
          <w:i w:val="0"/>
          <w:iCs w:val="0"/>
          <w:caps w:val="0"/>
          <w:color w:val="000000"/>
          <w:spacing w:val="0"/>
          <w:sz w:val="32"/>
          <w:szCs w:val="32"/>
          <w:shd w:val="clear" w:color="auto" w:fill="FFFFFF"/>
          <w:lang w:val="en-US" w:eastAsia="zh-CN"/>
        </w:rPr>
        <w:t>二是</w:t>
      </w:r>
      <w:r>
        <w:rPr>
          <w:rFonts w:hint="eastAsia" w:ascii="仿宋_GB2312" w:hAnsi="仿宋_GB2312" w:eastAsia="仿宋_GB2312" w:cs="仿宋_GB2312"/>
          <w:b w:val="0"/>
          <w:bCs w:val="0"/>
          <w:color w:val="000000"/>
          <w:sz w:val="32"/>
          <w:szCs w:val="32"/>
          <w:lang w:val="en-US" w:eastAsia="zh-CN"/>
        </w:rPr>
        <w:t>铺设人工鱼巢。在资江刘公滩段设置人工鱼巢7000个</w:t>
      </w:r>
      <w:r>
        <w:rPr>
          <w:rFonts w:hint="eastAsia" w:ascii="仿宋_GB2312" w:hAnsi="仿宋_GB2312" w:eastAsia="仿宋_GB2312" w:cs="仿宋_GB2312"/>
          <w:color w:val="000000"/>
          <w:sz w:val="32"/>
          <w:szCs w:val="32"/>
          <w:lang w:eastAsia="zh-CN"/>
        </w:rPr>
        <w:t>，有助于鱼卵附着、孵化，为鱼类提供了良好的栖息环境和生长、索饵及庇敌的场所，养护江湖鱼类资源</w:t>
      </w:r>
      <w:r>
        <w:rPr>
          <w:rFonts w:hint="eastAsia" w:ascii="仿宋_GB2312" w:hAnsi="仿宋_GB2312" w:eastAsia="仿宋_GB2312" w:cs="仿宋_GB2312"/>
          <w:b w:val="0"/>
          <w:bCs w:val="0"/>
          <w:color w:val="000000"/>
          <w:sz w:val="32"/>
          <w:szCs w:val="32"/>
          <w:lang w:val="en-US" w:eastAsia="zh-CN"/>
        </w:rPr>
        <w:t>。</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（二）未实现既定绩效目标或未完成指标任务的分析说明。</w:t>
      </w:r>
    </w:p>
    <w:p>
      <w:pPr>
        <w:keepNext w:val="0"/>
        <w:keepLines w:val="0"/>
        <w:pageBreakBefore w:val="0"/>
        <w:widowControl/>
        <w:kinsoku/>
        <w:wordWrap/>
        <w:overflowPunct/>
        <w:topLinePunct w:val="0"/>
        <w:autoSpaceDE/>
        <w:autoSpaceDN/>
        <w:bidi w:val="0"/>
        <w:adjustRightInd/>
        <w:snapToGrid/>
        <w:spacing w:line="580" w:lineRule="exact"/>
        <w:ind w:firstLine="627" w:firstLineChars="196"/>
        <w:jc w:val="left"/>
        <w:textAlignment w:val="auto"/>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本级专项病死畜禽无害化处理工作经费40000元，已使用31650元，还剩8350元2023年度未使用。主要原因是经费拨付不及时，导致经费开支没能及时跟上。导致经费执行率为79%。未达100%</w:t>
      </w:r>
      <w:r>
        <w:rPr>
          <w:rFonts w:hint="eastAsia" w:ascii="仿宋_GB2312" w:hAnsi="仿宋_GB2312" w:cs="仿宋_GB2312"/>
          <w:kern w:val="0"/>
          <w:sz w:val="32"/>
          <w:szCs w:val="32"/>
          <w:lang w:val="en-US" w:eastAsia="zh-CN" w:bidi="ar-SA"/>
        </w:rPr>
        <w:t>.</w:t>
      </w:r>
    </w:p>
    <w:p>
      <w:pPr>
        <w:keepNext w:val="0"/>
        <w:keepLines w:val="0"/>
        <w:pageBreakBefore w:val="0"/>
        <w:widowControl/>
        <w:kinsoku/>
        <w:wordWrap/>
        <w:overflowPunct/>
        <w:topLinePunct w:val="0"/>
        <w:autoSpaceDE/>
        <w:autoSpaceDN/>
        <w:bidi w:val="0"/>
        <w:adjustRightInd/>
        <w:snapToGrid/>
        <w:spacing w:line="580" w:lineRule="exact"/>
        <w:ind w:firstLine="627" w:firstLineChars="196"/>
        <w:jc w:val="left"/>
        <w:textAlignment w:val="auto"/>
        <w:rPr>
          <w:rFonts w:hint="default" w:ascii="仿宋_GB2312" w:hAnsi="仿宋_GB2312" w:eastAsia="仿宋_GB2312" w:cs="仿宋_GB2312"/>
          <w:kern w:val="0"/>
          <w:sz w:val="32"/>
          <w:szCs w:val="32"/>
          <w:lang w:val="en-US" w:eastAsia="zh-CN" w:bidi="ar-SA"/>
        </w:rPr>
      </w:pPr>
    </w:p>
    <w:p>
      <w:pPr>
        <w:keepNext w:val="0"/>
        <w:keepLines w:val="0"/>
        <w:pageBreakBefore w:val="0"/>
        <w:widowControl/>
        <w:kinsoku/>
        <w:wordWrap/>
        <w:overflowPunct/>
        <w:topLinePunct w:val="0"/>
        <w:autoSpaceDE/>
        <w:autoSpaceDN/>
        <w:bidi w:val="0"/>
        <w:adjustRightInd/>
        <w:snapToGrid/>
        <w:spacing w:line="580" w:lineRule="exact"/>
        <w:ind w:firstLine="627" w:firstLineChars="196"/>
        <w:jc w:val="left"/>
        <w:textAlignment w:val="auto"/>
        <w:rPr>
          <w:rFonts w:hint="eastAsia" w:ascii="仿宋_GB2312" w:hAnsi="仿宋_GB2312" w:cs="仿宋_GB2312"/>
          <w:spacing w:val="-6"/>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（三）围绕部门（单位）职责、行业发展规划，以预算资金管理为主线，总结部门（单位）资产管理和开展业务情况，从运行成本、管理效率、履职效能、社会效应、可持续发展能力和服</w:t>
      </w:r>
      <w:r>
        <w:rPr>
          <w:rFonts w:hint="eastAsia" w:ascii="仿宋_GB2312" w:hAnsi="仿宋_GB2312" w:eastAsia="仿宋_GB2312" w:cs="仿宋_GB2312"/>
          <w:spacing w:val="-6"/>
          <w:kern w:val="0"/>
          <w:sz w:val="32"/>
          <w:szCs w:val="32"/>
          <w:lang w:val="en-US" w:eastAsia="zh-CN" w:bidi="ar-SA"/>
        </w:rPr>
        <w:t>务对象满意度等方面，衡量部门（单位）整体及核心业务实施效果。</w:t>
      </w:r>
      <w:r>
        <w:rPr>
          <w:rFonts w:hint="eastAsia" w:ascii="仿宋_GB2312" w:hAnsi="仿宋_GB2312" w:cs="仿宋_GB2312"/>
          <w:spacing w:val="-6"/>
          <w:kern w:val="0"/>
          <w:sz w:val="32"/>
          <w:szCs w:val="32"/>
          <w:lang w:val="en-US" w:eastAsia="zh-CN" w:bidi="ar-SA"/>
        </w:rPr>
        <w:t xml:space="preserve">    </w:t>
      </w:r>
    </w:p>
    <w:p>
      <w:pPr>
        <w:keepNext w:val="0"/>
        <w:keepLines w:val="0"/>
        <w:pageBreakBefore w:val="0"/>
        <w:widowControl/>
        <w:kinsoku/>
        <w:wordWrap/>
        <w:overflowPunct/>
        <w:topLinePunct w:val="0"/>
        <w:autoSpaceDE/>
        <w:autoSpaceDN/>
        <w:bidi w:val="0"/>
        <w:adjustRightInd/>
        <w:snapToGrid/>
        <w:spacing w:line="580" w:lineRule="exact"/>
        <w:ind w:firstLine="627" w:firstLineChars="196"/>
        <w:jc w:val="left"/>
        <w:textAlignment w:val="auto"/>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lang w:val="en-US" w:eastAsia="zh-CN"/>
        </w:rPr>
        <w:t>1.</w:t>
      </w:r>
      <w:r>
        <w:rPr>
          <w:rFonts w:hint="eastAsia" w:ascii="楷体_GB2312" w:hAnsi="楷体_GB2312" w:eastAsia="楷体_GB2312" w:cs="楷体_GB2312"/>
          <w:b w:val="0"/>
          <w:bCs w:val="0"/>
          <w:color w:val="auto"/>
          <w:sz w:val="32"/>
          <w:szCs w:val="32"/>
          <w:highlight w:val="none"/>
        </w:rPr>
        <w:t>工作职能及职责</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en-US" w:eastAsia="zh-CN"/>
        </w:rPr>
        <w:t>贯彻落实有关畜牧水产业的方针政策和法律法规。</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en-US" w:eastAsia="zh-CN"/>
        </w:rPr>
        <w:t>制订全区畜牧水产资源合理开发利用、畜牧水产生产发展规划和年度计划并组织实施；综合分析全区畜牧水产生产情况，协调生产中的重大问题；协调畜牧水产行业重大科研项目攻关和成果鉴定；负责重大生产项目的论证、申报并组织实施；负责科技推广项目的实施、验收与鉴定；负责定期普查畜牧水产资源，提出指导意见，做好综合统计。</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负责全区畜禽的疫病防治；组织扑灭畜禽传染病；做好动物血防工作；推广科学养殖、防治技术；对畜牧水产相关业务进行指导。</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lang w:val="en-US" w:eastAsia="zh-CN"/>
        </w:rPr>
        <w:t>配合抓好畜禽定点屠宰工作;负责监督定点屠宰证章和标志牌的使用情况；定期协调有关部门开展联合执法行动。</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lang w:val="en-US" w:eastAsia="zh-CN"/>
        </w:rPr>
        <w:t>负责全区畜禽水产品检疫、渔业水质监测、鱼病测报、饲料兽药监测等工作。</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lang w:val="en-US" w:eastAsia="zh-CN"/>
        </w:rPr>
        <w:t>完成区委、区政府交办的其他任务。</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lang w:val="en-US" w:eastAsia="zh-CN"/>
        </w:rPr>
        <w:t>2.</w:t>
      </w:r>
      <w:r>
        <w:rPr>
          <w:rFonts w:hint="eastAsia" w:ascii="楷体_GB2312" w:hAnsi="楷体_GB2312" w:eastAsia="楷体_GB2312" w:cs="楷体_GB2312"/>
          <w:b w:val="0"/>
          <w:bCs w:val="0"/>
          <w:color w:val="auto"/>
          <w:sz w:val="32"/>
          <w:szCs w:val="32"/>
          <w:highlight w:val="none"/>
        </w:rPr>
        <w:t>部门机构设置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根据工作职责，益阳市资阳区畜牧水产事务中心</w:t>
      </w:r>
      <w:bookmarkStart w:id="0" w:name="OLE_LINK1"/>
      <w:r>
        <w:rPr>
          <w:rFonts w:hint="eastAsia" w:ascii="仿宋_GB2312" w:hAnsi="仿宋_GB2312" w:eastAsia="仿宋_GB2312" w:cs="仿宋_GB2312"/>
          <w:b w:val="0"/>
          <w:bCs w:val="0"/>
          <w:color w:val="auto"/>
          <w:sz w:val="32"/>
          <w:szCs w:val="32"/>
          <w:lang w:val="en-US" w:eastAsia="zh-CN"/>
        </w:rPr>
        <w:t>本级设办公室（法制股）、人事教育股、计划财务股、生产科技股、 饲料行业股、畜禽水产品质量安全监督股(定点屠宰股)6个内设机构；</w:t>
      </w:r>
      <w:bookmarkEnd w:id="0"/>
      <w:bookmarkStart w:id="1" w:name="OLE_LINK2"/>
      <w:r>
        <w:rPr>
          <w:rFonts w:hint="eastAsia" w:ascii="仿宋_GB2312" w:hAnsi="仿宋_GB2312" w:eastAsia="仿宋_GB2312" w:cs="仿宋_GB2312"/>
          <w:b w:val="0"/>
          <w:bCs w:val="0"/>
          <w:color w:val="auto"/>
          <w:sz w:val="32"/>
          <w:szCs w:val="32"/>
          <w:lang w:val="en-US" w:eastAsia="zh-CN"/>
        </w:rPr>
        <w:t>有资阳区畜牧兽医工作站、资阳区水产工作站、资阳区动物卫生监督所、资阳区特种养殖实验场、资阳区家畜疫病防治检疫站、资阳区畜牧兽医服务中心、资阳区鱼类良种繁育场7个下属事业单位</w:t>
      </w:r>
      <w:bookmarkEnd w:id="1"/>
      <w:r>
        <w:rPr>
          <w:rFonts w:hint="eastAsia" w:ascii="仿宋_GB2312" w:hAnsi="仿宋_GB2312" w:eastAsia="仿宋_GB2312" w:cs="仿宋_GB2312"/>
          <w:b w:val="0"/>
          <w:bCs w:val="0"/>
          <w:color w:val="auto"/>
          <w:sz w:val="32"/>
          <w:szCs w:val="32"/>
          <w:lang w:val="en-US" w:eastAsia="zh-CN"/>
        </w:rPr>
        <w:t>。其中资阳区畜牧兽医工作站、资阳区水产工作站、资阳区动物卫生监督所与中心一起运行。资阳区特种养殖实验场、资阳区家畜疫病防治检疫站、资阳区畜牧兽医服务中心、资阳区鱼类良种繁育场独立运行。</w:t>
      </w:r>
    </w:p>
    <w:p>
      <w:pPr>
        <w:pStyle w:val="3"/>
        <w:rPr>
          <w:rFonts w:hint="eastAsia" w:ascii="仿宋_GB2312" w:hAnsi="仿宋_GB2312" w:cs="仿宋_GB2312"/>
          <w:spacing w:val="-6"/>
          <w:kern w:val="0"/>
          <w:sz w:val="32"/>
          <w:szCs w:val="32"/>
          <w:lang w:val="en-US" w:eastAsia="zh-CN" w:bidi="ar-SA"/>
        </w:rPr>
      </w:pPr>
      <w:r>
        <w:rPr>
          <w:rFonts w:hint="eastAsia" w:ascii="仿宋_GB2312" w:hAnsi="仿宋_GB2312" w:cs="仿宋_GB2312"/>
          <w:b w:val="0"/>
          <w:bCs w:val="0"/>
          <w:color w:val="auto"/>
          <w:sz w:val="32"/>
          <w:szCs w:val="32"/>
          <w:lang w:val="en-US" w:eastAsia="zh-CN"/>
        </w:rPr>
        <w:t xml:space="preserve">    3.本</w:t>
      </w:r>
      <w:r>
        <w:rPr>
          <w:rFonts w:hint="eastAsia" w:ascii="仿宋_GB2312" w:hAnsi="仿宋_GB2312" w:eastAsia="仿宋_GB2312" w:cs="仿宋_GB2312"/>
          <w:spacing w:val="-6"/>
          <w:kern w:val="0"/>
          <w:sz w:val="32"/>
          <w:szCs w:val="32"/>
          <w:lang w:val="en-US" w:eastAsia="zh-CN" w:bidi="ar-SA"/>
        </w:rPr>
        <w:t>单位整体及核心业务实施效果：</w:t>
      </w:r>
      <w:r>
        <w:rPr>
          <w:rFonts w:hint="eastAsia" w:ascii="仿宋_GB2312" w:hAnsi="仿宋_GB2312" w:cs="仿宋_GB2312"/>
          <w:spacing w:val="-6"/>
          <w:kern w:val="0"/>
          <w:sz w:val="32"/>
          <w:szCs w:val="32"/>
          <w:lang w:val="en-US" w:eastAsia="zh-CN" w:bidi="ar-SA"/>
        </w:rPr>
        <w:t>（1）</w:t>
      </w:r>
      <w:r>
        <w:rPr>
          <w:rFonts w:hint="eastAsia" w:ascii="仿宋_GB2312" w:hAnsi="仿宋_GB2312" w:eastAsia="仿宋_GB2312" w:cs="仿宋_GB2312"/>
          <w:spacing w:val="-6"/>
          <w:kern w:val="0"/>
          <w:sz w:val="32"/>
          <w:szCs w:val="32"/>
          <w:lang w:val="en-US" w:eastAsia="zh-CN" w:bidi="ar-SA"/>
        </w:rPr>
        <w:t>中心本级及所属二级单位运转正常；</w:t>
      </w:r>
      <w:r>
        <w:rPr>
          <w:rFonts w:hint="eastAsia" w:ascii="仿宋_GB2312" w:hAnsi="仿宋_GB2312" w:cs="仿宋_GB2312"/>
          <w:spacing w:val="-6"/>
          <w:kern w:val="0"/>
          <w:sz w:val="32"/>
          <w:szCs w:val="32"/>
          <w:lang w:val="en-US" w:eastAsia="zh-CN" w:bidi="ar-SA"/>
        </w:rPr>
        <w:t>（2）</w:t>
      </w:r>
      <w:r>
        <w:rPr>
          <w:rFonts w:hint="eastAsia" w:ascii="仿宋_GB2312" w:hAnsi="仿宋_GB2312" w:eastAsia="仿宋_GB2312" w:cs="仿宋_GB2312"/>
          <w:spacing w:val="-6"/>
          <w:kern w:val="0"/>
          <w:sz w:val="32"/>
          <w:szCs w:val="32"/>
          <w:lang w:val="en-US" w:eastAsia="zh-CN" w:bidi="ar-SA"/>
        </w:rPr>
        <w:t>全区能繁母猪稳定控制在3.4万头左右，稳固基础生产能力，其他畜禽产品稳定供应，全年水产品总产量3.7万吨；</w:t>
      </w:r>
      <w:r>
        <w:rPr>
          <w:rFonts w:hint="eastAsia" w:ascii="仿宋_GB2312" w:hAnsi="仿宋_GB2312" w:cs="仿宋_GB2312"/>
          <w:spacing w:val="-6"/>
          <w:kern w:val="0"/>
          <w:sz w:val="32"/>
          <w:szCs w:val="32"/>
          <w:lang w:val="en-US" w:eastAsia="zh-CN" w:bidi="ar-SA"/>
        </w:rPr>
        <w:t>（3）</w:t>
      </w:r>
      <w:r>
        <w:rPr>
          <w:rFonts w:hint="eastAsia" w:ascii="仿宋_GB2312" w:hAnsi="仿宋_GB2312" w:eastAsia="仿宋_GB2312" w:cs="仿宋_GB2312"/>
          <w:spacing w:val="-6"/>
          <w:kern w:val="0"/>
          <w:sz w:val="32"/>
          <w:szCs w:val="32"/>
          <w:lang w:val="en-US" w:eastAsia="zh-CN" w:bidi="ar-SA"/>
        </w:rPr>
        <w:t>全区未发生重大动物疫病疫情；</w:t>
      </w:r>
      <w:r>
        <w:rPr>
          <w:rFonts w:hint="eastAsia" w:ascii="仿宋_GB2312" w:hAnsi="仿宋_GB2312" w:cs="仿宋_GB2312"/>
          <w:spacing w:val="-6"/>
          <w:kern w:val="0"/>
          <w:sz w:val="32"/>
          <w:szCs w:val="32"/>
          <w:lang w:val="en-US" w:eastAsia="zh-CN" w:bidi="ar-SA"/>
        </w:rPr>
        <w:t>（4）</w:t>
      </w:r>
      <w:r>
        <w:rPr>
          <w:rFonts w:hint="eastAsia" w:ascii="仿宋_GB2312" w:hAnsi="仿宋_GB2312" w:eastAsia="仿宋_GB2312" w:cs="仿宋_GB2312"/>
          <w:spacing w:val="-6"/>
          <w:kern w:val="0"/>
          <w:sz w:val="32"/>
          <w:szCs w:val="32"/>
          <w:lang w:val="en-US" w:eastAsia="zh-CN" w:bidi="ar-SA"/>
        </w:rPr>
        <w:t>确保了畜禽水产品质量安全，未发生重大畜禽水产品安全事故；</w:t>
      </w:r>
      <w:r>
        <w:rPr>
          <w:rFonts w:hint="eastAsia" w:ascii="仿宋_GB2312" w:hAnsi="仿宋_GB2312" w:cs="仿宋_GB2312"/>
          <w:spacing w:val="-6"/>
          <w:kern w:val="0"/>
          <w:sz w:val="32"/>
          <w:szCs w:val="32"/>
          <w:lang w:val="en-US" w:eastAsia="zh-CN" w:bidi="ar-SA"/>
        </w:rPr>
        <w:t>（5）</w:t>
      </w:r>
      <w:r>
        <w:rPr>
          <w:rFonts w:hint="eastAsia" w:ascii="仿宋_GB2312" w:hAnsi="仿宋_GB2312" w:eastAsia="仿宋_GB2312" w:cs="仿宋_GB2312"/>
          <w:spacing w:val="-6"/>
          <w:kern w:val="0"/>
          <w:sz w:val="32"/>
          <w:szCs w:val="32"/>
          <w:lang w:val="en-US" w:eastAsia="zh-CN" w:bidi="ar-SA"/>
        </w:rPr>
        <w:t>全区畜禽粪污资源化利用率达91.61%，完成703亩池塘养殖尾水治理设施化改造建设；</w:t>
      </w:r>
      <w:r>
        <w:rPr>
          <w:rFonts w:hint="eastAsia" w:ascii="仿宋_GB2312" w:hAnsi="仿宋_GB2312" w:cs="仿宋_GB2312"/>
          <w:spacing w:val="-6"/>
          <w:kern w:val="0"/>
          <w:sz w:val="32"/>
          <w:szCs w:val="32"/>
          <w:lang w:val="en-US" w:eastAsia="zh-CN" w:bidi="ar-SA"/>
        </w:rPr>
        <w:t>（6）养殖户满意度达到96%。</w:t>
      </w:r>
    </w:p>
    <w:p>
      <w:pPr>
        <w:pStyle w:val="3"/>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（四）加强部门整体支出绩效管理的举措。</w:t>
      </w:r>
    </w:p>
    <w:p>
      <w:pPr>
        <w:pStyle w:val="3"/>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1.建立健全预算绩效目标编制管理制度</w:t>
      </w:r>
      <w:r>
        <w:rPr>
          <w:rFonts w:hint="eastAsia" w:ascii="仿宋_GB2312" w:hAnsi="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成立预算绩效目标编制工作领导小组，明确主任统筹调度，分管领导牵头推进，各科室共同参与的组织架构，为实现预算绩效目标编制责任层层细化、分工逐一量化。</w:t>
      </w:r>
    </w:p>
    <w:p>
      <w:pPr>
        <w:pStyle w:val="3"/>
        <w:keepNext w:val="0"/>
        <w:keepLines w:val="0"/>
        <w:pageBreakBefore w:val="0"/>
        <w:widowControl w:val="0"/>
        <w:kinsoku/>
        <w:wordWrap/>
        <w:overflowPunct/>
        <w:topLinePunct w:val="0"/>
        <w:autoSpaceDE/>
        <w:autoSpaceDN/>
        <w:bidi w:val="0"/>
        <w:adjustRightInd/>
        <w:snapToGrid/>
        <w:ind w:firstLine="640"/>
        <w:textAlignment w:val="auto"/>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压实预算绩效目标编制报送流程。按照“谁申请资金，谁编制目标”的原则，明确预算绩效目标编制的职责分工与审核，按实填报，财务科跟进业务科室项目绩效完成进度，紧盯指标进度，及时完成项目资金拨付。</w:t>
      </w:r>
    </w:p>
    <w:p>
      <w:pPr>
        <w:widowControl/>
        <w:autoSpaceDN w:val="0"/>
        <w:spacing w:line="540" w:lineRule="exact"/>
        <w:rPr>
          <w:rFonts w:ascii="黑体" w:hAnsi="黑体" w:eastAsia="黑体" w:cs="宋体"/>
          <w:color w:val="000000"/>
          <w:kern w:val="0"/>
          <w:sz w:val="32"/>
          <w:szCs w:val="32"/>
        </w:rPr>
      </w:pPr>
      <w:r>
        <w:rPr>
          <w:rFonts w:ascii="??_GB2312" w:hAnsi="仿宋" w:eastAsia="Times New Roman" w:cs="宋体"/>
          <w:color w:val="000000"/>
          <w:kern w:val="0"/>
          <w:sz w:val="32"/>
          <w:szCs w:val="32"/>
        </w:rPr>
        <w:t xml:space="preserve">    </w:t>
      </w:r>
      <w:r>
        <w:rPr>
          <w:rFonts w:hint="eastAsia" w:ascii="??_GB2312" w:hAnsi="仿宋" w:cs="宋体"/>
          <w:color w:val="000000"/>
          <w:kern w:val="0"/>
          <w:sz w:val="32"/>
          <w:szCs w:val="32"/>
        </w:rPr>
        <w:t xml:space="preserve"> </w:t>
      </w:r>
      <w:r>
        <w:rPr>
          <w:rFonts w:hint="eastAsia" w:ascii="黑体" w:hAnsi="黑体" w:eastAsia="黑体" w:cs="宋体"/>
          <w:color w:val="000000"/>
          <w:kern w:val="0"/>
          <w:sz w:val="32"/>
          <w:szCs w:val="32"/>
        </w:rPr>
        <w:t>四、总体评价和自评得分情况</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color w:val="auto"/>
          <w:lang w:val="en-US" w:eastAsia="zh-CN"/>
        </w:rPr>
      </w:pP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年，我中心通过积极作为，强化制度建设，增强内部管理，较好的完成了年度工作目标根据部门整体支出绩效评价指标体系。根据部门整体支出绩效评价指标体系，我单位202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年度评价得分为96分。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lang w:val="en-US" w:eastAsia="zh-CN"/>
        </w:rPr>
      </w:pPr>
      <w:r>
        <w:rPr>
          <w:rFonts w:hint="eastAsia" w:ascii="仿宋_GB2312" w:hAnsi="仿宋_GB2312" w:eastAsia="仿宋_GB2312" w:cs="仿宋_GB2312"/>
          <w:b w:val="0"/>
          <w:bCs w:val="0"/>
          <w:color w:val="auto"/>
          <w:sz w:val="32"/>
          <w:szCs w:val="32"/>
          <w:lang w:val="en-US" w:eastAsia="zh-CN"/>
        </w:rPr>
        <w:t>通过绩效自评，进一步掌握了资金使用情况和取得的效果， 总结了专项资金管理经验，认识到了工作中存在的问题和不足， 为今后完善年初预算编制、加强资金使用管理、健全资金支出项 目、提高资金绩效管理、加大资金使用效益工作提供了重要的参考依据绩效自评结果公开情况。</w:t>
      </w:r>
    </w:p>
    <w:p>
      <w:pPr>
        <w:pStyle w:val="14"/>
        <w:widowControl/>
        <w:spacing w:line="600" w:lineRule="exact"/>
        <w:ind w:firstLine="640"/>
        <w:jc w:val="left"/>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pStyle w:val="2"/>
        <w:numPr>
          <w:ilvl w:val="0"/>
          <w:numId w:val="2"/>
        </w:numPr>
        <w:ind w:firstLine="640" w:firstLineChars="200"/>
        <w:rPr>
          <w:rFonts w:hint="default"/>
          <w:lang w:val="en-US" w:eastAsia="zh-CN"/>
        </w:rPr>
      </w:pPr>
      <w:r>
        <w:rPr>
          <w:rFonts w:hint="eastAsia" w:ascii="仿宋_GB2312" w:hAnsi="仿宋_GB2312" w:eastAsia="仿宋_GB2312" w:cs="仿宋_GB2312"/>
          <w:b w:val="0"/>
          <w:bCs w:val="0"/>
          <w:color w:val="auto"/>
          <w:sz w:val="32"/>
          <w:szCs w:val="32"/>
          <w:lang w:val="en-US" w:eastAsia="zh-CN"/>
        </w:rPr>
        <w:t>年初在预算编制时，个别项目预算编制不够精准、全面，在执行中存在报财政批准调整情况。</w:t>
      </w:r>
    </w:p>
    <w:p>
      <w:pPr>
        <w:numPr>
          <w:ilvl w:val="0"/>
          <w:numId w:val="2"/>
        </w:numPr>
        <w:ind w:left="0" w:leftChars="0"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b w:val="0"/>
          <w:bCs w:val="0"/>
          <w:color w:val="auto"/>
          <w:sz w:val="32"/>
          <w:szCs w:val="32"/>
          <w:lang w:val="en-US" w:eastAsia="zh-CN"/>
        </w:rPr>
        <w:t>预算项目拨款不及时的情况。如病死畜禽无害化处理工作经费4万元本级专项经费拨付不及时，导致经费开支没能及时跟上的问题。</w:t>
      </w:r>
    </w:p>
    <w:p>
      <w:pPr>
        <w:widowControl/>
        <w:numPr>
          <w:ilvl w:val="0"/>
          <w:numId w:val="3"/>
        </w:numPr>
        <w:spacing w:line="600" w:lineRule="exact"/>
        <w:ind w:firstLine="640" w:firstLineChars="200"/>
        <w:jc w:val="left"/>
        <w:rPr>
          <w:rFonts w:hint="eastAsia" w:eastAsia="黑体"/>
          <w:sz w:val="32"/>
          <w:szCs w:val="32"/>
        </w:rPr>
      </w:pPr>
      <w:r>
        <w:rPr>
          <w:rFonts w:hint="eastAsia" w:eastAsia="黑体"/>
          <w:sz w:val="32"/>
          <w:szCs w:val="32"/>
        </w:rPr>
        <w:t>下一步改进措施</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cs="仿宋_GB2312"/>
          <w:b w:val="0"/>
          <w:bCs w:val="0"/>
          <w:color w:val="auto"/>
          <w:sz w:val="32"/>
          <w:szCs w:val="32"/>
          <w:lang w:val="en-US" w:eastAsia="zh-CN"/>
        </w:rPr>
        <w:t>一</w:t>
      </w:r>
      <w:r>
        <w:rPr>
          <w:rFonts w:hint="eastAsia" w:ascii="仿宋_GB2312" w:hAnsi="仿宋_GB2312" w:eastAsia="仿宋_GB2312" w:cs="仿宋_GB2312"/>
          <w:b w:val="0"/>
          <w:bCs w:val="0"/>
          <w:color w:val="auto"/>
          <w:sz w:val="32"/>
          <w:szCs w:val="32"/>
          <w:lang w:val="en-US" w:eastAsia="zh-CN"/>
        </w:rPr>
        <w:t>)细化预算编制工作。进一步加强各科室的预算管理意识， 严格按照预算编制的相关制度和要求，提高预算编制的科学性、合理性。</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pP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cs="仿宋_GB2312"/>
          <w:b w:val="0"/>
          <w:bCs w:val="0"/>
          <w:color w:val="auto"/>
          <w:sz w:val="32"/>
          <w:szCs w:val="32"/>
          <w:lang w:val="en-US" w:eastAsia="zh-CN"/>
        </w:rPr>
        <w:t>二</w:t>
      </w:r>
      <w:r>
        <w:rPr>
          <w:rFonts w:hint="eastAsia" w:ascii="仿宋_GB2312" w:hAnsi="仿宋_GB2312" w:eastAsia="仿宋_GB2312" w:cs="仿宋_GB2312"/>
          <w:b w:val="0"/>
          <w:bCs w:val="0"/>
          <w:color w:val="auto"/>
          <w:sz w:val="32"/>
          <w:szCs w:val="32"/>
          <w:lang w:val="en-US" w:eastAsia="zh-CN"/>
        </w:rPr>
        <w:t>)加强预算执行管理。遵循预算管理办法，按项目工作推 进提高资金支出进度，加强和各业务科室的沟通和督促项目资金使用，科学合理使用财政资金，确保财政资金发挥最大效益。加强人员培训。进一步加强管理人员对相关业务的学习，规范部门预算收支核算，切实提高预算收支管理水平。</w:t>
      </w:r>
    </w:p>
    <w:p>
      <w:pPr>
        <w:widowControl/>
        <w:spacing w:line="600" w:lineRule="exact"/>
        <w:ind w:firstLine="645"/>
        <w:jc w:val="left"/>
        <w:rPr>
          <w:rFonts w:hint="eastAsia" w:eastAsia="黑体"/>
          <w:sz w:val="32"/>
          <w:szCs w:val="32"/>
          <w:lang w:eastAsia="zh-CN"/>
        </w:rPr>
      </w:pPr>
      <w:r>
        <w:rPr>
          <w:rFonts w:hint="eastAsia" w:eastAsia="黑体"/>
          <w:sz w:val="32"/>
          <w:szCs w:val="32"/>
        </w:rPr>
        <w:t>七、整体支出绩效自评结果拟应用</w:t>
      </w:r>
      <w:r>
        <w:rPr>
          <w:rFonts w:hint="eastAsia" w:eastAsia="黑体"/>
          <w:sz w:val="32"/>
          <w:szCs w:val="32"/>
          <w:lang w:eastAsia="zh-CN"/>
        </w:rPr>
        <w:t>和</w:t>
      </w:r>
      <w:r>
        <w:rPr>
          <w:rFonts w:hint="eastAsia" w:eastAsia="黑体"/>
          <w:sz w:val="32"/>
          <w:szCs w:val="32"/>
        </w:rPr>
        <w:t>公开</w:t>
      </w:r>
      <w:r>
        <w:rPr>
          <w:rFonts w:hint="eastAsia" w:eastAsia="黑体"/>
          <w:sz w:val="32"/>
          <w:szCs w:val="32"/>
          <w:lang w:eastAsia="zh-CN"/>
        </w:rPr>
        <w:t>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lang w:val="en-US" w:eastAsia="zh-CN"/>
        </w:rPr>
      </w:pPr>
      <w:r>
        <w:rPr>
          <w:rFonts w:hint="eastAsia" w:ascii="仿宋_GB2312" w:hAnsi="仿宋_GB2312" w:eastAsia="仿宋_GB2312" w:cs="仿宋_GB2312"/>
          <w:b w:val="0"/>
          <w:bCs w:val="0"/>
          <w:color w:val="auto"/>
          <w:sz w:val="32"/>
          <w:szCs w:val="32"/>
          <w:lang w:val="en-US" w:eastAsia="zh-CN"/>
        </w:rPr>
        <w:t>此次绩效自评报告将在资阳区政府官网上予以全文公布，向社会公开，广泛接受群众监督。</w:t>
      </w:r>
      <w:r>
        <w:rPr>
          <w:rFonts w:hint="eastAsia" w:ascii="仿宋_GB2312" w:hAnsi="仿宋_GB2312" w:cs="仿宋_GB2312"/>
          <w:b w:val="0"/>
          <w:bCs w:val="0"/>
          <w:color w:val="auto"/>
          <w:sz w:val="32"/>
          <w:szCs w:val="32"/>
          <w:lang w:val="en-US" w:eastAsia="zh-CN"/>
        </w:rPr>
        <w:t xml:space="preserve">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报告需要以下附件：</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部门整体支出绩效评价基础数据表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部门整体支出绩效自评表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项目支出绩效自评表</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4.其他必要材料（当年度预算绩效目标申报表、单位年度工作总结、预决算报表、有关表彰奖励复印件等）及与自评报告、基础表、自评表内容相符的相关佐证材料（佐证资料必须列目录，与自评表指标对应）</w:t>
      </w:r>
    </w:p>
    <w:p>
      <w:pPr>
        <w:pStyle w:val="12"/>
        <w:ind w:left="0" w:leftChars="0" w:firstLine="0" w:firstLineChars="0"/>
        <w:rPr>
          <w:rFonts w:hint="default" w:eastAsia="仿宋"/>
          <w:lang w:val="en-US" w:eastAsia="zh-CN"/>
        </w:rPr>
      </w:pPr>
    </w:p>
    <w:p>
      <w:pPr>
        <w:pStyle w:val="7"/>
        <w:rPr>
          <w:rFonts w:hint="eastAsia" w:ascii="仿宋" w:hAnsi="仿宋" w:eastAsia="仿宋" w:cs="仿宋"/>
          <w:lang w:val="en-US" w:eastAsia="zh-CN"/>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jc w:val="left"/>
        <w:rPr>
          <w:rFonts w:hint="eastAsia" w:ascii="仿宋" w:hAnsi="仿宋" w:eastAsia="仿宋" w:cs="仿宋"/>
          <w:kern w:val="0"/>
          <w:sz w:val="22"/>
          <w:szCs w:val="24"/>
        </w:rPr>
      </w:pPr>
    </w:p>
    <w:p>
      <w:pPr>
        <w:keepNext w:val="0"/>
        <w:keepLines w:val="0"/>
        <w:pageBreakBefore/>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p>
    <w:p>
      <w:pPr>
        <w:spacing w:line="560" w:lineRule="exact"/>
        <w:jc w:val="center"/>
        <w:rPr>
          <w:rFonts w:hint="eastAsia" w:ascii="仿宋" w:hAnsi="仿宋" w:eastAsia="仿宋" w:cs="仿宋"/>
          <w:kern w:val="0"/>
          <w:sz w:val="36"/>
          <w:szCs w:val="36"/>
        </w:rPr>
      </w:pPr>
      <w:r>
        <w:rPr>
          <w:rFonts w:hint="eastAsia" w:ascii="仿宋" w:hAnsi="仿宋" w:eastAsia="仿宋" w:cs="仿宋"/>
          <w:kern w:val="0"/>
          <w:sz w:val="36"/>
          <w:szCs w:val="36"/>
          <w:lang w:val="en-US" w:eastAsia="zh-CN"/>
        </w:rPr>
        <w:t>2023年度</w:t>
      </w:r>
      <w:r>
        <w:rPr>
          <w:rFonts w:hint="eastAsia" w:ascii="仿宋" w:hAnsi="仿宋" w:eastAsia="仿宋" w:cs="仿宋"/>
          <w:kern w:val="0"/>
          <w:sz w:val="36"/>
          <w:szCs w:val="36"/>
        </w:rPr>
        <w:t>部门整体支出绩效评价基础数据表</w:t>
      </w:r>
    </w:p>
    <w:tbl>
      <w:tblPr>
        <w:tblStyle w:val="8"/>
        <w:tblpPr w:leftFromText="180" w:rightFromText="180" w:vertAnchor="text" w:horzAnchor="page" w:tblpX="1268" w:tblpY="105"/>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225"/>
        <w:gridCol w:w="855"/>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财政供养人员情况</w:t>
            </w:r>
            <w:r>
              <w:rPr>
                <w:rFonts w:hint="eastAsia" w:ascii="仿宋" w:hAnsi="仿宋" w:eastAsia="仿宋" w:cs="仿宋"/>
                <w:color w:val="000000"/>
                <w:kern w:val="0"/>
                <w:sz w:val="21"/>
                <w:szCs w:val="21"/>
                <w:lang w:eastAsia="zh-CN"/>
              </w:rPr>
              <w:t>（人）</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编制数</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年实际在职人数</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75</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64</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经费控制情况</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22</w:t>
            </w:r>
            <w:r>
              <w:rPr>
                <w:rFonts w:hint="eastAsia" w:ascii="仿宋" w:hAnsi="仿宋" w:eastAsia="仿宋" w:cs="仿宋"/>
                <w:color w:val="000000"/>
                <w:kern w:val="0"/>
                <w:sz w:val="21"/>
                <w:szCs w:val="21"/>
              </w:rPr>
              <w:t>年决算数</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年预算数</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三公经费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0.56</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10000</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1、公务用车购置和维护经费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其中：公车购置</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公车运行维护</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2、出国经费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3、公务接待</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0.56</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10000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3231.39</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620.5</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2753.4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1、业务工作经费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3154.39</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555.78</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2690.02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2、运行维护经费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w:t>
            </w:r>
            <w:r>
              <w:rPr>
                <w:rFonts w:hint="eastAsia" w:ascii="仿宋" w:hAnsi="仿宋" w:eastAsia="仿宋" w:cs="仿宋"/>
                <w:color w:val="000000"/>
                <w:kern w:val="0"/>
                <w:sz w:val="21"/>
                <w:szCs w:val="21"/>
                <w:lang w:eastAsia="zh-CN"/>
              </w:rPr>
              <w:t>、本</w:t>
            </w:r>
            <w:r>
              <w:rPr>
                <w:rFonts w:hint="eastAsia" w:ascii="仿宋" w:hAnsi="仿宋" w:eastAsia="仿宋" w:cs="仿宋"/>
                <w:color w:val="000000"/>
                <w:kern w:val="0"/>
                <w:sz w:val="21"/>
                <w:szCs w:val="21"/>
              </w:rPr>
              <w:t>级专项资金（一个专项一行）</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77</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64.72</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年初-病死畜禽无害化处理工作经费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年初-生猪定点屠宰管理工作经费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5</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年初-非洲猪瘟防控防疫</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5</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年初-瘦肉精检测</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12</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9.6</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年初-畜牧防疫</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28</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22.4</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年初-畜禽养殖污染整治工作经费 </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2.4</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3354" w:type="dxa"/>
            <w:noWrap w:val="0"/>
            <w:vAlign w:val="center"/>
          </w:tcPr>
          <w:p>
            <w:pPr>
              <w:widowControl/>
              <w:spacing w:line="240" w:lineRule="exact"/>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年初-乡镇畜牧兽医分流人员社保金</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19</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18.32</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17.82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公用经费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86.74</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37.01</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289.86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其中：办公费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10.9</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14.96</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52.69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水费、电费、差旅费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6.48</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17.24</w:t>
            </w: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会议费、培训费</w:t>
            </w:r>
          </w:p>
        </w:tc>
        <w:tc>
          <w:tcPr>
            <w:tcW w:w="203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4.76</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1.5</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政府采购金额</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207.9</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159.68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部门基本支出预算调整 </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354"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947</w:t>
            </w:r>
          </w:p>
        </w:tc>
        <w:tc>
          <w:tcPr>
            <w:tcW w:w="1718" w:type="dxa"/>
            <w:gridSpan w:val="2"/>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1014.36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楼堂馆所控制情况</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年完工项目）</w:t>
            </w:r>
          </w:p>
        </w:tc>
        <w:tc>
          <w:tcPr>
            <w:tcW w:w="118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批复规模</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w:t>
            </w:r>
          </w:p>
        </w:tc>
        <w:tc>
          <w:tcPr>
            <w:tcW w:w="84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实际规模（㎡）</w:t>
            </w:r>
          </w:p>
        </w:tc>
        <w:tc>
          <w:tcPr>
            <w:tcW w:w="112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规模控制率</w:t>
            </w:r>
          </w:p>
        </w:tc>
        <w:tc>
          <w:tcPr>
            <w:tcW w:w="122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预算投资（万元）</w:t>
            </w:r>
          </w:p>
        </w:tc>
        <w:tc>
          <w:tcPr>
            <w:tcW w:w="85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实际投资（万元）</w:t>
            </w:r>
          </w:p>
        </w:tc>
        <w:tc>
          <w:tcPr>
            <w:tcW w:w="86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118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4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2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5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6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1"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厉行节约保障措施</w:t>
            </w:r>
          </w:p>
        </w:tc>
        <w:tc>
          <w:tcPr>
            <w:tcW w:w="6110" w:type="dxa"/>
            <w:gridSpan w:val="6"/>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widowControl/>
        <w:tabs>
          <w:tab w:val="left" w:pos="3611"/>
          <w:tab w:val="left" w:pos="4791"/>
          <w:tab w:val="left" w:pos="5951"/>
          <w:tab w:val="left" w:pos="7071"/>
          <w:tab w:val="left" w:pos="8191"/>
          <w:tab w:val="left" w:pos="9311"/>
        </w:tabs>
        <w:ind w:left="91"/>
        <w:jc w:val="center"/>
        <w:rPr>
          <w:rFonts w:hint="eastAsia" w:ascii="仿宋" w:hAnsi="仿宋" w:eastAsia="仿宋" w:cs="仿宋"/>
          <w:kern w:val="0"/>
          <w:sz w:val="24"/>
        </w:rPr>
      </w:pPr>
      <w:r>
        <w:rPr>
          <w:rFonts w:hint="eastAsia" w:ascii="仿宋" w:hAnsi="仿宋" w:eastAsia="仿宋" w:cs="仿宋"/>
          <w:kern w:val="0"/>
          <w:sz w:val="24"/>
        </w:rPr>
        <w:tab/>
      </w:r>
    </w:p>
    <w:p>
      <w:pPr>
        <w:spacing w:line="360" w:lineRule="exact"/>
        <w:rPr>
          <w:rFonts w:hint="eastAsia" w:ascii="仿宋" w:hAnsi="仿宋" w:eastAsia="仿宋" w:cs="仿宋"/>
          <w:kern w:val="0"/>
          <w:sz w:val="22"/>
        </w:rPr>
      </w:pPr>
      <w:r>
        <w:rPr>
          <w:rFonts w:hint="eastAsia" w:ascii="仿宋" w:hAnsi="仿宋" w:eastAsia="仿宋" w:cs="仿宋"/>
          <w:kern w:val="0"/>
          <w:sz w:val="22"/>
        </w:rPr>
        <w:t>说明：“项目支出”需要填报基本支出以外的所有项目支出情况，“公用经费”填报基本支出中的一般商品和服务支出。</w:t>
      </w:r>
    </w:p>
    <w:p>
      <w:pPr>
        <w:spacing w:line="360" w:lineRule="exact"/>
        <w:rPr>
          <w:rFonts w:hint="eastAsia" w:ascii="仿宋" w:hAnsi="仿宋" w:eastAsia="仿宋" w:cs="仿宋"/>
          <w:sz w:val="32"/>
          <w:szCs w:val="32"/>
          <w:lang w:val="en-US" w:eastAsia="zh-CN"/>
        </w:rPr>
      </w:pPr>
      <w:r>
        <w:rPr>
          <w:rFonts w:hint="eastAsia" w:ascii="仿宋" w:hAnsi="仿宋" w:eastAsia="仿宋" w:cs="仿宋"/>
          <w:kern w:val="0"/>
          <w:sz w:val="22"/>
          <w:lang w:eastAsia="zh-CN"/>
        </w:rPr>
        <w:t>填表人：</w:t>
      </w:r>
      <w:r>
        <w:rPr>
          <w:rFonts w:hint="eastAsia" w:ascii="仿宋" w:hAnsi="仿宋" w:eastAsia="仿宋" w:cs="仿宋"/>
          <w:kern w:val="0"/>
          <w:sz w:val="22"/>
          <w:lang w:val="en-US" w:eastAsia="zh-CN"/>
        </w:rPr>
        <w:t xml:space="preserve">         填表日期：         联系电话：        单位负责人签字：</w:t>
      </w:r>
      <w:r>
        <w:rPr>
          <w:rFonts w:hint="eastAsia" w:ascii="仿宋" w:hAnsi="仿宋" w:eastAsia="仿宋" w:cs="仿宋"/>
          <w:kern w:val="0"/>
          <w:sz w:val="22"/>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2</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年度部门整体支出绩效自评表</w:t>
      </w:r>
    </w:p>
    <w:tbl>
      <w:tblPr>
        <w:tblStyle w:val="8"/>
        <w:tblW w:w="9993" w:type="dxa"/>
        <w:jc w:val="center"/>
        <w:tblInd w:w="0" w:type="dxa"/>
        <w:tblLayout w:type="fixed"/>
        <w:tblCellMar>
          <w:top w:w="0" w:type="dxa"/>
          <w:left w:w="108" w:type="dxa"/>
          <w:bottom w:w="0" w:type="dxa"/>
          <w:right w:w="108" w:type="dxa"/>
        </w:tblCellMar>
      </w:tblPr>
      <w:tblGrid>
        <w:gridCol w:w="1232"/>
        <w:gridCol w:w="928"/>
        <w:gridCol w:w="953"/>
        <w:gridCol w:w="1256"/>
        <w:gridCol w:w="95"/>
        <w:gridCol w:w="1200"/>
        <w:gridCol w:w="1276"/>
        <w:gridCol w:w="812"/>
        <w:gridCol w:w="889"/>
        <w:gridCol w:w="1352"/>
      </w:tblGrid>
      <w:tr>
        <w:tblPrEx>
          <w:tblLayout w:type="fixed"/>
          <w:tblCellMar>
            <w:top w:w="0" w:type="dxa"/>
            <w:left w:w="108" w:type="dxa"/>
            <w:bottom w:w="0" w:type="dxa"/>
            <w:right w:w="108" w:type="dxa"/>
          </w:tblCellMar>
        </w:tblPrEx>
        <w:trPr>
          <w:trHeight w:val="325" w:hRule="atLeast"/>
          <w:jc w:val="center"/>
        </w:trPr>
        <w:tc>
          <w:tcPr>
            <w:tcW w:w="123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预算部门</w:t>
            </w:r>
            <w:r>
              <w:rPr>
                <w:rFonts w:hint="eastAsia" w:ascii="仿宋" w:hAnsi="仿宋" w:eastAsia="仿宋" w:cs="仿宋"/>
                <w:color w:val="000000"/>
                <w:kern w:val="0"/>
                <w:sz w:val="21"/>
                <w:szCs w:val="21"/>
                <w:lang w:eastAsia="zh-CN"/>
              </w:rPr>
              <w:t>、单位名称</w:t>
            </w:r>
          </w:p>
        </w:tc>
        <w:tc>
          <w:tcPr>
            <w:tcW w:w="8761" w:type="dxa"/>
            <w:gridSpan w:val="9"/>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sz w:val="21"/>
                <w:szCs w:val="21"/>
                <w:lang w:eastAsia="zh-CN"/>
              </w:rPr>
              <w:t>资阳区畜牧水产事务中心</w:t>
            </w:r>
            <w:r>
              <w:rPr>
                <w:rFonts w:hint="eastAsia" w:ascii="仿宋" w:hAnsi="仿宋" w:eastAsia="仿宋" w:cs="仿宋"/>
                <w:sz w:val="21"/>
                <w:szCs w:val="21"/>
              </w:rPr>
              <w:t>　</w:t>
            </w:r>
          </w:p>
        </w:tc>
      </w:tr>
      <w:tr>
        <w:tblPrEx>
          <w:tblLayout w:type="fixed"/>
          <w:tblCellMar>
            <w:top w:w="0" w:type="dxa"/>
            <w:left w:w="108" w:type="dxa"/>
            <w:bottom w:w="0" w:type="dxa"/>
            <w:right w:w="108" w:type="dxa"/>
          </w:tblCellMar>
        </w:tblPrEx>
        <w:trPr>
          <w:jc w:val="center"/>
        </w:trPr>
        <w:tc>
          <w:tcPr>
            <w:tcW w:w="123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年度预</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算申请</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188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年初</w:t>
            </w:r>
          </w:p>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预算数</w:t>
            </w:r>
          </w:p>
        </w:tc>
        <w:tc>
          <w:tcPr>
            <w:tcW w:w="129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全年预算数</w:t>
            </w:r>
          </w:p>
        </w:tc>
        <w:tc>
          <w:tcPr>
            <w:tcW w:w="127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全年执行数</w:t>
            </w:r>
          </w:p>
        </w:tc>
        <w:tc>
          <w:tcPr>
            <w:tcW w:w="81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分值</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得分</w:t>
            </w:r>
          </w:p>
        </w:tc>
      </w:tr>
      <w:tr>
        <w:tblPrEx>
          <w:tblLayout w:type="fixed"/>
          <w:tblCellMar>
            <w:top w:w="0" w:type="dxa"/>
            <w:left w:w="108" w:type="dxa"/>
            <w:bottom w:w="0" w:type="dxa"/>
            <w:right w:w="108" w:type="dxa"/>
          </w:tblCellMar>
        </w:tblPrEx>
        <w:trPr>
          <w:jc w:val="center"/>
        </w:trPr>
        <w:tc>
          <w:tcPr>
            <w:tcW w:w="1232"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88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color w:val="000000"/>
                <w:kern w:val="0"/>
                <w:sz w:val="21"/>
                <w:szCs w:val="21"/>
              </w:rPr>
              <w:t>年度资金总额</w:t>
            </w: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2110.85</w:t>
            </w:r>
          </w:p>
        </w:tc>
        <w:tc>
          <w:tcPr>
            <w:tcW w:w="1295"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3767.76</w:t>
            </w:r>
          </w:p>
        </w:tc>
        <w:tc>
          <w:tcPr>
            <w:tcW w:w="127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lang w:val="en-US" w:eastAsia="zh-CN"/>
              </w:rPr>
              <w:t>3767.76</w:t>
            </w:r>
          </w:p>
        </w:tc>
        <w:tc>
          <w:tcPr>
            <w:tcW w:w="81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lang w:eastAsia="zh-CN"/>
              </w:rPr>
            </w:pPr>
            <w:r>
              <w:rPr>
                <w:rFonts w:hint="eastAsia" w:ascii="仿宋" w:hAnsi="仿宋" w:eastAsia="仿宋" w:cs="仿宋"/>
                <w:sz w:val="21"/>
                <w:szCs w:val="21"/>
              </w:rPr>
              <w:t>10</w:t>
            </w:r>
            <w:r>
              <w:rPr>
                <w:rFonts w:hint="eastAsia" w:ascii="仿宋" w:hAnsi="仿宋" w:eastAsia="仿宋" w:cs="仿宋"/>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10分</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按收入性质分：</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按支出性质分：</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xml:space="preserve">  其中：  一般公共预算：</w:t>
            </w:r>
            <w:r>
              <w:rPr>
                <w:rFonts w:hint="eastAsia" w:ascii="仿宋" w:hAnsi="仿宋" w:eastAsia="仿宋" w:cs="仿宋"/>
                <w:color w:val="000000"/>
                <w:kern w:val="0"/>
                <w:sz w:val="21"/>
                <w:szCs w:val="21"/>
                <w:lang w:val="en-US" w:eastAsia="zh-CN"/>
              </w:rPr>
              <w:t>3690.2</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其中：基本支出：</w:t>
            </w:r>
            <w:r>
              <w:rPr>
                <w:rFonts w:hint="eastAsia" w:ascii="仿宋" w:hAnsi="仿宋" w:eastAsia="仿宋" w:cs="仿宋"/>
                <w:color w:val="000000"/>
                <w:kern w:val="0"/>
                <w:sz w:val="21"/>
                <w:szCs w:val="21"/>
                <w:lang w:val="en-US" w:eastAsia="zh-CN"/>
              </w:rPr>
              <w:t>1014.36</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政府性基金拨款：</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ind w:firstLine="630" w:firstLineChars="3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项目支出：</w:t>
            </w:r>
            <w:r>
              <w:rPr>
                <w:rFonts w:hint="eastAsia" w:ascii="仿宋" w:hAnsi="仿宋" w:eastAsia="仿宋" w:cs="仿宋"/>
                <w:color w:val="000000"/>
                <w:kern w:val="0"/>
                <w:sz w:val="21"/>
                <w:szCs w:val="21"/>
                <w:lang w:val="en-US" w:eastAsia="zh-CN"/>
              </w:rPr>
              <w:t>2753.4</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纳入专户管理的非税收入拨款：</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ind w:firstLine="1470" w:firstLineChars="7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其他资金：</w:t>
            </w:r>
            <w:r>
              <w:rPr>
                <w:rFonts w:hint="eastAsia" w:ascii="仿宋" w:hAnsi="仿宋" w:eastAsia="仿宋" w:cs="仿宋"/>
                <w:color w:val="000000"/>
                <w:kern w:val="0"/>
                <w:sz w:val="21"/>
                <w:szCs w:val="21"/>
                <w:lang w:val="en-US" w:eastAsia="zh-CN"/>
              </w:rPr>
              <w:t>77.56</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432"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32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232"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single" w:color="auto" w:sz="4" w:space="0"/>
              <w:left w:val="nil"/>
              <w:bottom w:val="single" w:color="auto" w:sz="4" w:space="0"/>
              <w:right w:val="single" w:color="000000" w:sz="4" w:space="0"/>
            </w:tcBorders>
            <w:noWrap w:val="0"/>
            <w:vAlign w:val="center"/>
          </w:tcPr>
          <w:p>
            <w:pPr>
              <w:spacing w:line="240" w:lineRule="exact"/>
              <w:jc w:val="both"/>
              <w:rPr>
                <w:rFonts w:hint="eastAsia" w:ascii="宋体" w:hAnsi="宋体" w:eastAsia="宋体" w:cs="宋体"/>
                <w:i w:val="0"/>
                <w:iCs w:val="0"/>
                <w:caps w:val="0"/>
                <w:color w:val="auto"/>
                <w:spacing w:val="0"/>
                <w:sz w:val="20"/>
                <w:szCs w:val="20"/>
                <w:shd w:val="clear" w:color="auto" w:fill="FFFFFF"/>
              </w:rPr>
            </w:pPr>
            <w:r>
              <w:rPr>
                <w:rFonts w:hint="eastAsia" w:ascii="宋体" w:hAnsi="宋体" w:eastAsia="宋体" w:cs="宋体"/>
                <w:i w:val="0"/>
                <w:iCs w:val="0"/>
                <w:caps w:val="0"/>
                <w:color w:val="auto"/>
                <w:spacing w:val="0"/>
                <w:sz w:val="20"/>
                <w:szCs w:val="20"/>
                <w:shd w:val="clear" w:color="auto" w:fill="FFFFFF"/>
                <w:lang w:val="en-US" w:eastAsia="zh-CN"/>
              </w:rPr>
              <w:t>1.确保中心本级及所属二级单位正常运转；</w:t>
            </w:r>
          </w:p>
          <w:p>
            <w:pPr>
              <w:spacing w:line="240" w:lineRule="exact"/>
              <w:jc w:val="both"/>
              <w:rPr>
                <w:rFonts w:hint="default"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2.稳定全区畜禽渔业生产，能繁母猪控制在3.4万头左右，水产品总产量3.6万吨以上；</w:t>
            </w:r>
          </w:p>
          <w:p>
            <w:pPr>
              <w:spacing w:line="240" w:lineRule="exact"/>
              <w:jc w:val="both"/>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3.加强重大动物疫病和非洲猪瘟防控，确保全区不发生重大动物疫情；</w:t>
            </w:r>
          </w:p>
          <w:p>
            <w:pPr>
              <w:spacing w:line="240" w:lineRule="exact"/>
              <w:jc w:val="both"/>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4.加强监管，抓好畜禽水产品质量安全；</w:t>
            </w:r>
          </w:p>
          <w:p>
            <w:pPr>
              <w:spacing w:line="240" w:lineRule="exact"/>
              <w:jc w:val="both"/>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5.畜禽水产品养殖污染治理；</w:t>
            </w:r>
          </w:p>
          <w:p>
            <w:pPr>
              <w:widowControl/>
              <w:spacing w:line="240" w:lineRule="exact"/>
              <w:jc w:val="both"/>
              <w:rPr>
                <w:rFonts w:hint="eastAsia" w:ascii="仿宋" w:hAnsi="仿宋" w:eastAsia="仿宋" w:cs="仿宋"/>
                <w:color w:val="000000"/>
                <w:kern w:val="0"/>
                <w:sz w:val="21"/>
                <w:szCs w:val="21"/>
              </w:rPr>
            </w:pPr>
            <w:r>
              <w:rPr>
                <w:rFonts w:hint="eastAsia" w:ascii="宋体" w:hAnsi="宋体" w:eastAsia="宋体" w:cs="宋体"/>
                <w:i w:val="0"/>
                <w:iCs w:val="0"/>
                <w:caps w:val="0"/>
                <w:color w:val="auto"/>
                <w:spacing w:val="0"/>
                <w:sz w:val="20"/>
                <w:szCs w:val="20"/>
                <w:shd w:val="clear" w:color="auto" w:fill="FFFFFF"/>
                <w:lang w:val="en-US" w:eastAsia="zh-CN"/>
              </w:rPr>
              <w:t>6.做好项目实施。</w:t>
            </w:r>
            <w:r>
              <w:rPr>
                <w:rFonts w:hint="eastAsia" w:ascii="仿宋" w:hAnsi="仿宋" w:eastAsia="仿宋" w:cs="仿宋"/>
                <w:color w:val="000000"/>
                <w:kern w:val="0"/>
                <w:sz w:val="21"/>
                <w:szCs w:val="21"/>
              </w:rPr>
              <w:t>　</w:t>
            </w:r>
          </w:p>
        </w:tc>
        <w:tc>
          <w:tcPr>
            <w:tcW w:w="4329" w:type="dxa"/>
            <w:gridSpan w:val="4"/>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1.中心本级及所属二级单位运转正常；</w:t>
            </w:r>
          </w:p>
          <w:p>
            <w:pPr>
              <w:spacing w:line="240" w:lineRule="exact"/>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2.全区能繁母猪稳定控制在3.4万头左右，稳固基础生产能力，其他畜禽产品稳定供应，全年水产品总产量3.7万吨；</w:t>
            </w:r>
          </w:p>
          <w:p>
            <w:pPr>
              <w:spacing w:line="240" w:lineRule="exact"/>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3.全区未发生重大动物疫病疫情；</w:t>
            </w:r>
          </w:p>
          <w:p>
            <w:pPr>
              <w:spacing w:line="240" w:lineRule="exact"/>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4.确保了畜禽水产品质量安全，未发生重大畜禽水产品安全事故；</w:t>
            </w:r>
          </w:p>
          <w:p>
            <w:pPr>
              <w:spacing w:line="240" w:lineRule="exact"/>
              <w:rPr>
                <w:rFonts w:hint="eastAsia" w:ascii="宋体" w:hAnsi="宋体" w:eastAsia="宋体" w:cs="宋体"/>
                <w:i w:val="0"/>
                <w:iCs w:val="0"/>
                <w:caps w:val="0"/>
                <w:color w:val="auto"/>
                <w:spacing w:val="0"/>
                <w:sz w:val="20"/>
                <w:szCs w:val="20"/>
                <w:shd w:val="clear" w:color="auto" w:fill="FFFFFF"/>
                <w:lang w:val="en-US" w:eastAsia="zh-CN"/>
              </w:rPr>
            </w:pPr>
            <w:r>
              <w:rPr>
                <w:rFonts w:hint="eastAsia" w:ascii="宋体" w:hAnsi="宋体" w:eastAsia="宋体" w:cs="宋体"/>
                <w:i w:val="0"/>
                <w:iCs w:val="0"/>
                <w:caps w:val="0"/>
                <w:color w:val="auto"/>
                <w:spacing w:val="0"/>
                <w:sz w:val="20"/>
                <w:szCs w:val="20"/>
                <w:shd w:val="clear" w:color="auto" w:fill="FFFFFF"/>
                <w:lang w:val="en-US" w:eastAsia="zh-CN"/>
              </w:rPr>
              <w:t>5.全区畜禽粪污资源化利用率达91.61%，完成703亩池塘养殖尾水治理设施化改造建设；</w:t>
            </w:r>
          </w:p>
          <w:p>
            <w:pPr>
              <w:widowControl/>
              <w:spacing w:line="240" w:lineRule="exact"/>
              <w:jc w:val="left"/>
              <w:rPr>
                <w:rFonts w:hint="eastAsia" w:ascii="仿宋" w:hAnsi="仿宋" w:eastAsia="仿宋" w:cs="仿宋"/>
                <w:color w:val="000000"/>
                <w:kern w:val="0"/>
                <w:sz w:val="21"/>
                <w:szCs w:val="21"/>
              </w:rPr>
            </w:pPr>
            <w:r>
              <w:rPr>
                <w:rFonts w:hint="eastAsia" w:ascii="宋体" w:hAnsi="宋体" w:eastAsia="宋体" w:cs="宋体"/>
                <w:i w:val="0"/>
                <w:iCs w:val="0"/>
                <w:caps w:val="0"/>
                <w:color w:val="auto"/>
                <w:spacing w:val="0"/>
                <w:sz w:val="20"/>
                <w:szCs w:val="20"/>
                <w:shd w:val="clear" w:color="auto" w:fill="FFFFFF"/>
                <w:lang w:val="en-US" w:eastAsia="zh-CN"/>
              </w:rPr>
              <w:t>6.各项目顺利实施。</w:t>
            </w:r>
          </w:p>
        </w:tc>
      </w:tr>
      <w:tr>
        <w:tblPrEx>
          <w:tblLayout w:type="fixed"/>
          <w:tblCellMar>
            <w:top w:w="0" w:type="dxa"/>
            <w:left w:w="108" w:type="dxa"/>
            <w:bottom w:w="0" w:type="dxa"/>
            <w:right w:w="108" w:type="dxa"/>
          </w:tblCellMar>
        </w:tblPrEx>
        <w:trPr>
          <w:jc w:val="center"/>
        </w:trPr>
        <w:tc>
          <w:tcPr>
            <w:tcW w:w="123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spacing w:line="240" w:lineRule="exact"/>
              <w:jc w:val="center"/>
              <w:rPr>
                <w:rFonts w:hint="eastAsia" w:ascii="仿宋" w:hAnsi="仿宋" w:eastAsia="仿宋" w:cs="仿宋"/>
                <w:color w:val="000000"/>
                <w:kern w:val="0"/>
                <w:sz w:val="21"/>
                <w:szCs w:val="21"/>
              </w:rPr>
            </w:pPr>
          </w:p>
        </w:tc>
        <w:tc>
          <w:tcPr>
            <w:tcW w:w="9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95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276" w:type="dxa"/>
            <w:tcBorders>
              <w:top w:val="nil"/>
              <w:left w:val="nil"/>
              <w:bottom w:val="single" w:color="auto" w:sz="4" w:space="0"/>
              <w:right w:val="single" w:color="auto" w:sz="4" w:space="0"/>
            </w:tcBorders>
            <w:noWrap w:val="0"/>
            <w:vAlign w:val="center"/>
          </w:tcPr>
          <w:p>
            <w:pPr>
              <w:widowControl/>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实际完成值</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spacing w:line="240" w:lineRule="exact"/>
              <w:jc w:val="center"/>
              <w:rPr>
                <w:rFonts w:hint="eastAsia" w:ascii="仿宋" w:hAnsi="仿宋" w:eastAsia="仿宋" w:cs="仿宋"/>
                <w:color w:val="000000"/>
                <w:kern w:val="0"/>
                <w:sz w:val="21"/>
                <w:szCs w:val="21"/>
              </w:rPr>
            </w:pP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宋体" w:hAnsi="宋体" w:eastAsia="宋体" w:cs="宋体"/>
                <w:i w:val="0"/>
                <w:iCs w:val="0"/>
                <w:caps w:val="0"/>
                <w:color w:val="auto"/>
                <w:spacing w:val="0"/>
                <w:sz w:val="20"/>
                <w:szCs w:val="20"/>
                <w:shd w:val="clear" w:color="auto" w:fill="FFFFFF"/>
                <w:lang w:val="en-US" w:eastAsia="zh-CN"/>
              </w:rPr>
              <w:t>能繁母猪数量</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3.4万头左右</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3.4万头左右</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宋体" w:hAnsi="宋体" w:eastAsia="宋体" w:cs="宋体"/>
                <w:color w:val="auto"/>
                <w:sz w:val="20"/>
                <w:szCs w:val="20"/>
                <w:lang w:val="en-US" w:eastAsia="zh-CN"/>
              </w:rPr>
              <w:t>8</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宋体" w:hAnsi="宋体" w:eastAsia="宋体" w:cs="宋体"/>
                <w:color w:val="auto"/>
                <w:sz w:val="20"/>
                <w:szCs w:val="20"/>
                <w:lang w:val="en-US" w:eastAsia="zh-CN"/>
              </w:rPr>
              <w:t>8</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水产品总产量</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3.6万吨</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3.7万吨</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i w:val="0"/>
                <w:iCs w:val="0"/>
                <w:caps w:val="0"/>
                <w:color w:val="auto"/>
                <w:spacing w:val="0"/>
                <w:sz w:val="20"/>
                <w:szCs w:val="20"/>
                <w:shd w:val="clear" w:color="auto" w:fill="FFFFFF"/>
                <w:lang w:val="en-US" w:eastAsia="zh-CN"/>
              </w:rPr>
              <w:t>生猪产地检疫</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48万头</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50.6万头</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7</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6</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18"/>
                <w:szCs w:val="18"/>
                <w:lang w:val="en-US" w:eastAsia="zh-CN"/>
              </w:rPr>
              <w:t>存在未到现场检疫开票现象。今后将督促检疫员落实到场检疫制度。</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应免畜禽免疫密度</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100%</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100%</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7</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6</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left"/>
              <w:textAlignment w:val="baseline"/>
              <w:rPr>
                <w:rFonts w:hint="eastAsia" w:ascii="仿宋" w:hAnsi="仿宋" w:eastAsia="仿宋" w:cs="仿宋"/>
                <w:color w:val="000000"/>
                <w:kern w:val="0"/>
                <w:sz w:val="21"/>
                <w:szCs w:val="21"/>
              </w:rPr>
            </w:pPr>
            <w:r>
              <w:rPr>
                <w:rFonts w:hint="eastAsia" w:ascii="宋体" w:hAnsi="宋体" w:eastAsia="宋体" w:cs="宋体"/>
                <w:sz w:val="18"/>
                <w:szCs w:val="18"/>
                <w:lang w:val="en-US" w:eastAsia="zh-CN"/>
              </w:rPr>
              <w:t>部分养殖场动物免疫台账不规范。今后督促养殖场规范免疫台账。</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主要工作按计划完成程度</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按年度计划完成</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已按年度计划完成</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7</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7</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项目资金及时拨付使用</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按年度计划及时拨付</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已按年度计划及时拨付</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7</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6</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left"/>
              <w:textAlignment w:val="baseline"/>
              <w:rPr>
                <w:rFonts w:hint="eastAsia" w:ascii="仿宋" w:hAnsi="仿宋" w:eastAsia="仿宋" w:cs="仿宋"/>
                <w:color w:val="000000"/>
                <w:kern w:val="0"/>
                <w:sz w:val="21"/>
                <w:szCs w:val="21"/>
              </w:rPr>
            </w:pPr>
            <w:r>
              <w:rPr>
                <w:rFonts w:hint="eastAsia" w:ascii="宋体" w:hAnsi="宋体" w:eastAsia="宋体" w:cs="宋体"/>
                <w:sz w:val="18"/>
                <w:szCs w:val="18"/>
                <w:lang w:val="en-US" w:eastAsia="zh-CN"/>
              </w:rPr>
              <w:t>项目建设单位未按时完成建设项目，导致资金未按时拨付。今后将督促项目建设单位按期完成工程进度。</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财政预算执行率</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100%</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7</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7</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nil"/>
              <w:left w:val="nil"/>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spacing w:line="240" w:lineRule="exact"/>
              <w:jc w:val="left"/>
              <w:rPr>
                <w:rFonts w:hint="eastAsia" w:ascii="仿宋" w:hAnsi="仿宋" w:eastAsia="仿宋" w:cs="仿宋"/>
                <w:color w:val="000000"/>
                <w:kern w:val="0"/>
                <w:sz w:val="21"/>
                <w:szCs w:val="21"/>
              </w:rPr>
            </w:pP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spacing w:line="240" w:lineRule="exact"/>
              <w:jc w:val="center"/>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确保不发生重大疫情</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不发生</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未发生</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4</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4</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生猪出栏量</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59万头</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60.7万头</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4</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4</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重大畜禽水产品安全事故</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确保不发生</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未发生</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5</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5</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畜禽水产品供应</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稳定供应</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稳定供应</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5</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4</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畜牧水产品距高质量发展存在一定的差距，今后将引导养殖提高养殖产品品质。</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铺设人工鱼巢</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800㎡</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840平方米</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4</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4</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人工增殖放流</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1000万尾</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1125.1万尾</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4</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4</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trHeight w:val="480"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3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i w:val="0"/>
                <w:iCs w:val="0"/>
                <w:caps w:val="0"/>
                <w:color w:val="auto"/>
                <w:spacing w:val="0"/>
                <w:sz w:val="20"/>
                <w:szCs w:val="20"/>
                <w:shd w:val="clear" w:color="auto" w:fill="FFFFFF"/>
                <w:lang w:val="en-US" w:eastAsia="zh-CN"/>
              </w:rPr>
              <w:t>畜禽粪污资源化利用率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90%</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91.61%</w:t>
            </w:r>
          </w:p>
        </w:tc>
        <w:tc>
          <w:tcPr>
            <w:tcW w:w="8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5</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5</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trHeight w:val="270" w:hRule="atLeast"/>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i w:val="0"/>
                <w:iCs w:val="0"/>
                <w:caps w:val="0"/>
                <w:color w:val="auto"/>
                <w:spacing w:val="0"/>
                <w:sz w:val="20"/>
                <w:szCs w:val="20"/>
                <w:shd w:val="clear" w:color="auto" w:fill="FFFFFF"/>
                <w:lang w:val="en-US" w:eastAsia="zh-CN"/>
              </w:rPr>
              <w:t>池塘养殖尾水治理设施化改造建设</w:t>
            </w:r>
          </w:p>
        </w:tc>
        <w:tc>
          <w:tcPr>
            <w:tcW w:w="12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完成</w:t>
            </w:r>
          </w:p>
        </w:tc>
        <w:tc>
          <w:tcPr>
            <w:tcW w:w="127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完成</w:t>
            </w:r>
          </w:p>
        </w:tc>
        <w:tc>
          <w:tcPr>
            <w:tcW w:w="8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5</w:t>
            </w:r>
          </w:p>
        </w:tc>
        <w:tc>
          <w:tcPr>
            <w:tcW w:w="88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5</w:t>
            </w:r>
          </w:p>
        </w:tc>
        <w:tc>
          <w:tcPr>
            <w:tcW w:w="135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trHeight w:val="480" w:hRule="atLeast"/>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53" w:type="dxa"/>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35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养殖户满意率</w:t>
            </w:r>
          </w:p>
        </w:tc>
        <w:tc>
          <w:tcPr>
            <w:tcW w:w="1200"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i w:val="0"/>
                <w:iCs w:val="0"/>
                <w:caps w:val="0"/>
                <w:color w:val="auto"/>
                <w:spacing w:val="0"/>
                <w:sz w:val="20"/>
                <w:szCs w:val="20"/>
                <w:highlight w:val="none"/>
                <w:shd w:val="clear" w:color="auto" w:fill="FFFFFF"/>
              </w:rPr>
              <w:t>≥</w:t>
            </w:r>
            <w:r>
              <w:rPr>
                <w:rFonts w:hint="eastAsia" w:ascii="宋体" w:hAnsi="宋体" w:eastAsia="宋体" w:cs="宋体"/>
                <w:color w:val="auto"/>
                <w:sz w:val="20"/>
                <w:szCs w:val="20"/>
                <w:highlight w:val="none"/>
                <w:lang w:val="en-US" w:eastAsia="zh-CN"/>
              </w:rPr>
              <w:t>90%</w:t>
            </w:r>
          </w:p>
        </w:tc>
        <w:tc>
          <w:tcPr>
            <w:tcW w:w="127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highlight w:val="none"/>
              </w:rPr>
            </w:pPr>
            <w:r>
              <w:rPr>
                <w:rFonts w:hint="eastAsia" w:ascii="宋体" w:hAnsi="宋体" w:eastAsia="宋体" w:cs="宋体"/>
                <w:color w:val="auto"/>
                <w:sz w:val="20"/>
                <w:szCs w:val="20"/>
                <w:highlight w:val="none"/>
                <w:lang w:val="en-US" w:eastAsia="zh-CN"/>
              </w:rPr>
              <w:t>96%</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color w:val="auto"/>
                <w:sz w:val="20"/>
                <w:szCs w:val="20"/>
                <w:lang w:val="en-US" w:eastAsia="zh-CN"/>
              </w:rPr>
              <w:t>4</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r>
              <w:rPr>
                <w:rFonts w:hint="eastAsia" w:ascii="宋体" w:hAnsi="宋体" w:eastAsia="宋体" w:cs="宋体"/>
                <w:sz w:val="20"/>
                <w:szCs w:val="20"/>
                <w:lang w:val="en-US" w:eastAsia="zh-CN"/>
              </w:rPr>
              <w:t>4</w:t>
            </w:r>
          </w:p>
        </w:tc>
        <w:tc>
          <w:tcPr>
            <w:tcW w:w="1352"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jc w:val="center"/>
              <w:textAlignment w:val="baseline"/>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trHeight w:val="270" w:hRule="atLeast"/>
          <w:jc w:val="center"/>
        </w:trPr>
        <w:tc>
          <w:tcPr>
            <w:tcW w:w="6940" w:type="dxa"/>
            <w:gridSpan w:val="7"/>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12"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96分</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rPr>
      </w:pPr>
    </w:p>
    <w:p>
      <w:pPr>
        <w:pStyle w:val="3"/>
        <w:rPr>
          <w:rFonts w:hint="eastAsia" w:ascii="仿宋" w:hAnsi="仿宋" w:eastAsia="仿宋" w:cs="仿宋"/>
          <w:sz w:val="32"/>
          <w:szCs w:val="32"/>
        </w:rPr>
      </w:pPr>
    </w:p>
    <w:p>
      <w:pPr>
        <w:pStyle w:val="3"/>
        <w:rPr>
          <w:rFonts w:hint="eastAsia" w:ascii="仿宋" w:hAnsi="仿宋" w:eastAsia="仿宋" w:cs="仿宋"/>
          <w:sz w:val="32"/>
          <w:szCs w:val="32"/>
        </w:rPr>
      </w:pPr>
    </w:p>
    <w:p>
      <w:pPr>
        <w:pStyle w:val="3"/>
        <w:rPr>
          <w:rFonts w:hint="eastAsia" w:ascii="仿宋" w:hAnsi="仿宋" w:eastAsia="仿宋" w:cs="仿宋"/>
          <w:sz w:val="32"/>
          <w:szCs w:val="32"/>
        </w:rPr>
      </w:pPr>
    </w:p>
    <w:p>
      <w:pPr>
        <w:pStyle w:val="3"/>
        <w:rPr>
          <w:rFonts w:hint="eastAsia" w:ascii="仿宋" w:hAnsi="仿宋" w:eastAsia="仿宋" w:cs="仿宋"/>
          <w:sz w:val="32"/>
          <w:szCs w:val="32"/>
        </w:rPr>
      </w:pPr>
    </w:p>
    <w:p>
      <w:pPr>
        <w:jc w:val="left"/>
        <w:rPr>
          <w:rFonts w:hint="eastAsia" w:ascii="仿宋" w:hAnsi="仿宋" w:eastAsia="仿宋" w:cs="仿宋"/>
          <w:kern w:val="0"/>
          <w:sz w:val="22"/>
          <w:szCs w:val="24"/>
        </w:rPr>
      </w:pPr>
      <w:r>
        <w:rPr>
          <w:rFonts w:hint="eastAsia" w:ascii="仿宋" w:hAnsi="仿宋" w:eastAsia="仿宋" w:cs="仿宋"/>
          <w:kern w:val="0"/>
          <w:sz w:val="22"/>
          <w:szCs w:val="24"/>
        </w:rPr>
        <w:br w:type="page"/>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kern w:val="0"/>
                <w:sz w:val="24"/>
                <w:lang w:eastAsia="zh-CN"/>
              </w:rPr>
              <w:t xml:space="preserve"> 年初</w:t>
            </w:r>
            <w:r>
              <w:rPr>
                <w:rFonts w:hint="eastAsia" w:ascii="仿宋" w:hAnsi="仿宋" w:eastAsia="仿宋" w:cs="仿宋"/>
                <w:kern w:val="0"/>
                <w:sz w:val="24"/>
                <w:lang w:val="en-US" w:eastAsia="zh-CN"/>
              </w:rPr>
              <w:t>-</w:t>
            </w:r>
            <w:r>
              <w:rPr>
                <w:rFonts w:hint="eastAsia" w:ascii="仿宋" w:hAnsi="仿宋" w:eastAsia="仿宋" w:cs="仿宋"/>
                <w:kern w:val="0"/>
                <w:sz w:val="24"/>
                <w:lang w:eastAsia="zh-CN"/>
              </w:rPr>
              <w:t>生猪定点屠宰管理工作经费</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规范屠宰行为，加强生猪定点屠宰场监管和私屠滥宰巡查，确保不发生肉食品安全事件</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规范屠宰行为，加强生猪定点屠宰场监管和私屠滥宰巡查，确保不发生肉食品安全事件</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加强生猪定点屠宰宣传、日常监督、执法巡查率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≥95%</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96%</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生猪屠宰场出场肉品质量的合格率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项目年度完成进度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规范生猪定点屠宰，减少私屠滥宰</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规范生猪定点屠宰尚有规范空间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为市民提供安全优质的猪肉产品</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确保不发生肉食品安全事件</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eastAsia="zh-CN"/>
              </w:rPr>
              <w:t>未发生</w:t>
            </w:r>
            <w:r>
              <w:rPr>
                <w:rFonts w:hint="eastAsia" w:ascii="仿宋" w:hAnsi="仿宋" w:eastAsia="仿宋" w:cs="仿宋"/>
                <w:color w:val="000000"/>
                <w:kern w:val="0"/>
                <w:sz w:val="21"/>
                <w:szCs w:val="21"/>
              </w:rPr>
              <w:t>食品安全事件</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生猪屠宰环节病死生猪、</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“三腺”无害化处理率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促进定点屠宰可持续稳定发展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定点屠宰可持续稳定发展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定点屠宰可持续稳定发展</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日后加大定点屠宰监督力度</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社会公众对食品安全满意度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≥95%</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98分</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pStyle w:val="2"/>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4</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kern w:val="0"/>
                <w:sz w:val="24"/>
                <w:lang w:eastAsia="zh-CN"/>
              </w:rPr>
              <w:t xml:space="preserve"> 年初</w:t>
            </w:r>
            <w:r>
              <w:rPr>
                <w:rFonts w:hint="eastAsia" w:ascii="仿宋" w:hAnsi="仿宋" w:eastAsia="仿宋" w:cs="仿宋"/>
                <w:kern w:val="0"/>
                <w:sz w:val="24"/>
                <w:lang w:val="en-US" w:eastAsia="zh-CN"/>
              </w:rPr>
              <w:t>-</w:t>
            </w:r>
            <w:r>
              <w:rPr>
                <w:rFonts w:hint="eastAsia" w:ascii="仿宋" w:hAnsi="仿宋" w:eastAsia="仿宋" w:cs="仿宋"/>
                <w:kern w:val="0"/>
                <w:sz w:val="24"/>
                <w:lang w:eastAsia="zh-CN"/>
              </w:rPr>
              <w:t>畜禽养殖污染整治工作经费</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2.4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2.4</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指导养殖场（户）对畜禽粪污设施升级改造和粪污资源化利用，畜禽养殖资源化利用率90%以上；养殖环境不断改善，养殖效益不断提高；粪污养殖污染整治工作经费使用效率进一步提高。</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指导养殖场（户）对畜禽粪污设施升级改造和粪污资源化利用，畜禽养殖资源化利用率90%以上；养殖环境不断改善，养殖效益不断提高；粪污养殖污染整治工作经费使用效率进一步提高。</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规模养殖场</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101个</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101个</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畜禽粪污综合利用率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项目年度完成进度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畜禽粪污资源化利用，提高养殖效益</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提高养殖效益转变有上升空间</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提升养殖环境安全保障率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≥97%</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97%</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减少养殖粪污对造成环境的影响</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养殖户意识有待加强</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粪污资源化利用，持续降低养殖风险</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保障人员和动物健康，可持续发展提升率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≥80%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85%</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粪污治理养殖场户满意度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≥95%</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96%</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98分</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仿宋" w:hAnsi="仿宋" w:eastAsia="仿宋" w:cs="仿宋"/>
          <w:sz w:val="32"/>
          <w:szCs w:val="32"/>
          <w:lang w:val="en-US" w:eastAsia="zh-CN"/>
        </w:r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5</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w:t>
            </w:r>
            <w:r>
              <w:rPr>
                <w:rFonts w:hint="eastAsia" w:ascii="仿宋" w:hAnsi="仿宋" w:eastAsia="仿宋" w:cs="仿宋"/>
                <w:color w:val="000000"/>
                <w:kern w:val="0"/>
                <w:sz w:val="21"/>
                <w:szCs w:val="21"/>
                <w:lang w:eastAsia="zh-CN"/>
              </w:rPr>
              <w:t xml:space="preserve">  年初</w:t>
            </w:r>
            <w:r>
              <w:rPr>
                <w:rFonts w:hint="eastAsia" w:ascii="仿宋" w:hAnsi="仿宋" w:eastAsia="仿宋" w:cs="仿宋"/>
                <w:color w:val="000000"/>
                <w:kern w:val="0"/>
                <w:sz w:val="21"/>
                <w:szCs w:val="21"/>
                <w:lang w:val="en-US" w:eastAsia="zh-CN"/>
              </w:rPr>
              <w:t>-</w:t>
            </w:r>
            <w:r>
              <w:rPr>
                <w:rFonts w:hint="eastAsia" w:ascii="仿宋" w:hAnsi="仿宋" w:eastAsia="仿宋" w:cs="仿宋"/>
                <w:color w:val="000000"/>
                <w:kern w:val="0"/>
                <w:sz w:val="21"/>
                <w:szCs w:val="21"/>
                <w:lang w:eastAsia="zh-CN"/>
              </w:rPr>
              <w:t>乡镇畜牧兽医分流人员社保金</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18.6</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18.6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18.32</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98.49%</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18.6</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18.6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18.32</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98.49%</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对全区原乡镇畜牧兽医分流人员的社保补贴按时发放，确保此类人群稳定</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对全区原乡镇畜牧兽医分流人员的社保补贴按时发放，确保此类人群稳定</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乡镇畜牧兽医分流人员社保补贴人数</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3</w:t>
            </w:r>
            <w:r>
              <w:rPr>
                <w:rFonts w:hint="eastAsia" w:ascii="仿宋_GB2312" w:hAnsi="宋体" w:cs="仿宋_GB2312"/>
                <w:i w:val="0"/>
                <w:iCs w:val="0"/>
                <w:color w:val="000000"/>
                <w:kern w:val="0"/>
                <w:sz w:val="22"/>
                <w:szCs w:val="22"/>
                <w:u w:val="none"/>
                <w:lang w:val="en-US" w:eastAsia="zh-CN" w:bidi="ar"/>
              </w:rPr>
              <w:t>4</w:t>
            </w:r>
            <w:r>
              <w:rPr>
                <w:rFonts w:hint="default" w:ascii="仿宋_GB2312" w:hAnsi="宋体" w:eastAsia="仿宋_GB2312" w:cs="仿宋_GB2312"/>
                <w:i w:val="0"/>
                <w:iCs w:val="0"/>
                <w:color w:val="000000"/>
                <w:kern w:val="0"/>
                <w:sz w:val="22"/>
                <w:szCs w:val="22"/>
                <w:u w:val="none"/>
                <w:lang w:val="en-US" w:eastAsia="zh-CN" w:bidi="ar"/>
              </w:rPr>
              <w:t>人</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default" w:ascii="仿宋_GB2312" w:hAnsi="宋体" w:eastAsia="仿宋_GB2312" w:cs="仿宋_GB2312"/>
                <w:i w:val="0"/>
                <w:iCs w:val="0"/>
                <w:color w:val="000000"/>
                <w:kern w:val="0"/>
                <w:sz w:val="22"/>
                <w:szCs w:val="22"/>
                <w:u w:val="none"/>
                <w:lang w:val="en-US" w:eastAsia="zh-CN" w:bidi="ar"/>
              </w:rPr>
              <w:t>3</w:t>
            </w:r>
            <w:r>
              <w:rPr>
                <w:rFonts w:hint="eastAsia" w:ascii="仿宋_GB2312" w:hAnsi="宋体" w:cs="仿宋_GB2312"/>
                <w:i w:val="0"/>
                <w:iCs w:val="0"/>
                <w:color w:val="000000"/>
                <w:kern w:val="0"/>
                <w:sz w:val="22"/>
                <w:szCs w:val="22"/>
                <w:u w:val="none"/>
                <w:lang w:val="en-US" w:eastAsia="zh-CN" w:bidi="ar"/>
              </w:rPr>
              <w:t>4</w:t>
            </w:r>
            <w:r>
              <w:rPr>
                <w:rFonts w:hint="default" w:ascii="仿宋_GB2312" w:hAnsi="宋体" w:eastAsia="仿宋_GB2312" w:cs="仿宋_GB2312"/>
                <w:i w:val="0"/>
                <w:iCs w:val="0"/>
                <w:color w:val="000000"/>
                <w:kern w:val="0"/>
                <w:sz w:val="22"/>
                <w:szCs w:val="22"/>
                <w:u w:val="none"/>
                <w:lang w:val="en-US" w:eastAsia="zh-CN" w:bidi="ar"/>
              </w:rPr>
              <w:t>人</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 xml:space="preserve"> 20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乡镇畜牧兽医分流人员社保补贴完成率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default" w:ascii="仿宋_GB2312" w:hAnsi="宋体" w:eastAsia="仿宋_GB2312" w:cs="仿宋_GB2312"/>
                <w:i w:val="0"/>
                <w:iCs w:val="0"/>
                <w:color w:val="000000"/>
                <w:kern w:val="0"/>
                <w:sz w:val="22"/>
                <w:szCs w:val="22"/>
                <w:u w:val="none"/>
                <w:lang w:val="en-US" w:eastAsia="zh-CN" w:bidi="ar"/>
              </w:rPr>
              <w:t>100%</w:t>
            </w:r>
          </w:p>
        </w:tc>
        <w:tc>
          <w:tcPr>
            <w:tcW w:w="828"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及时办理率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95%</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该专项区财政对该笔资金存拨付及时性有待加强</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资金使用率</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default" w:ascii="仿宋_GB2312" w:hAnsi="宋体" w:eastAsia="仿宋_GB2312" w:cs="仿宋_GB2312"/>
                <w:i w:val="0"/>
                <w:iCs w:val="0"/>
                <w:color w:val="000000"/>
                <w:kern w:val="0"/>
                <w:sz w:val="22"/>
                <w:szCs w:val="22"/>
                <w:u w:val="none"/>
                <w:lang w:val="en-US" w:eastAsia="zh-CN" w:bidi="ar"/>
              </w:rPr>
              <w:t>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原乡镇畜牧兽医分流人员年老后生活有保障</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21"/>
                <w:szCs w:val="21"/>
                <w:u w:val="none"/>
                <w:lang w:val="en-US" w:eastAsia="zh-CN" w:bidi="ar"/>
              </w:rPr>
              <w:t>资金使用无重大违规违纪问题</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Style w:val="16"/>
                <w:lang w:val="en-US" w:eastAsia="zh-CN" w:bidi="ar"/>
              </w:rPr>
              <w:t>无</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Style w:val="16"/>
                <w:lang w:val="en-US" w:eastAsia="zh-CN" w:bidi="ar"/>
              </w:rPr>
              <w:t>无</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保障原乡镇分流人员稳定和谐</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经济社会可持续发展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效果明显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效果明显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原乡镇畜牧兽医分流人员满意度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default" w:ascii="仿宋_GB2312" w:hAnsi="宋体" w:eastAsia="仿宋_GB2312" w:cs="仿宋_GB2312"/>
                <w:i w:val="0"/>
                <w:iCs w:val="0"/>
                <w:color w:val="000000"/>
                <w:kern w:val="0"/>
                <w:sz w:val="22"/>
                <w:szCs w:val="22"/>
                <w:u w:val="none"/>
                <w:lang w:val="en-US" w:eastAsia="zh-CN" w:bidi="ar"/>
              </w:rPr>
              <w:t>≥98%</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_GB2312" w:hAnsi="宋体" w:cs="仿宋_GB2312"/>
                <w:i w:val="0"/>
                <w:iCs w:val="0"/>
                <w:color w:val="000000"/>
                <w:kern w:val="0"/>
                <w:sz w:val="22"/>
                <w:szCs w:val="22"/>
                <w:u w:val="none"/>
                <w:lang w:val="en-US" w:eastAsia="zh-CN" w:bidi="ar"/>
              </w:rPr>
              <w:t>100</w:t>
            </w:r>
            <w:r>
              <w:rPr>
                <w:rFonts w:hint="default" w:ascii="仿宋_GB2312" w:hAnsi="宋体" w:eastAsia="仿宋_GB2312" w:cs="仿宋_GB2312"/>
                <w:i w:val="0"/>
                <w:iCs w:val="0"/>
                <w:color w:val="000000"/>
                <w:kern w:val="0"/>
                <w:sz w:val="22"/>
                <w:szCs w:val="22"/>
                <w:u w:val="none"/>
                <w:lang w:val="en-US" w:eastAsia="zh-CN" w:bidi="ar"/>
              </w:rPr>
              <w:t>%</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98分</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6</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kern w:val="0"/>
                <w:sz w:val="24"/>
                <w:lang w:eastAsia="zh-CN"/>
              </w:rPr>
              <w:t xml:space="preserve">   年初</w:t>
            </w:r>
            <w:r>
              <w:rPr>
                <w:rFonts w:hint="eastAsia" w:ascii="仿宋" w:hAnsi="仿宋" w:eastAsia="仿宋" w:cs="仿宋"/>
                <w:kern w:val="0"/>
                <w:sz w:val="24"/>
                <w:lang w:val="en-US" w:eastAsia="zh-CN"/>
              </w:rPr>
              <w:t>-</w:t>
            </w:r>
            <w:r>
              <w:rPr>
                <w:rFonts w:hint="eastAsia" w:ascii="仿宋" w:hAnsi="仿宋" w:eastAsia="仿宋" w:cs="仿宋"/>
                <w:kern w:val="0"/>
                <w:sz w:val="24"/>
                <w:lang w:eastAsia="zh-CN"/>
              </w:rPr>
              <w:t>非洲猪瘟防控防疫</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加强病死畜禽无害化处理监管，防止病源传播，确保不发生重大动物疫情</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加强病死畜禽无害化处理监管，防止病源传播，确保不发生重大动物疫情</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年出栏2000头以上的规模猪场非洲猪瘟入户监测率</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重大动物疫情处理率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项目年度完成进度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降低非洲猪瘟发生率，提高养殖效益</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资金使用重大违规违纪问题</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无</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无</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减少非洲猪瘟疫情对环境影响</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促进畜牧业可持续稳定发展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畜牧业可持续稳定发展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达到效果</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养殖户意识有待加强</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补助对象对项目实施满意率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92%</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98分</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仿宋" w:hAnsi="仿宋" w:eastAsia="仿宋" w:cs="仿宋"/>
          <w:sz w:val="32"/>
          <w:szCs w:val="32"/>
          <w:lang w:val="en-US" w:eastAsia="zh-CN"/>
        </w:r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7</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w:t>
            </w:r>
            <w:r>
              <w:rPr>
                <w:rFonts w:hint="eastAsia" w:ascii="仿宋" w:hAnsi="仿宋" w:eastAsia="仿宋" w:cs="仿宋"/>
                <w:color w:val="000000"/>
                <w:kern w:val="0"/>
                <w:sz w:val="21"/>
                <w:szCs w:val="21"/>
                <w:lang w:eastAsia="zh-CN"/>
              </w:rPr>
              <w:t>年初</w:t>
            </w:r>
            <w:r>
              <w:rPr>
                <w:rFonts w:hint="eastAsia" w:ascii="仿宋" w:hAnsi="仿宋" w:eastAsia="仿宋" w:cs="仿宋"/>
                <w:color w:val="000000"/>
                <w:kern w:val="0"/>
                <w:sz w:val="21"/>
                <w:szCs w:val="21"/>
                <w:lang w:val="en-US" w:eastAsia="zh-CN"/>
              </w:rPr>
              <w:t>-</w:t>
            </w:r>
            <w:r>
              <w:rPr>
                <w:rFonts w:hint="eastAsia" w:ascii="仿宋" w:hAnsi="仿宋" w:eastAsia="仿宋" w:cs="仿宋"/>
                <w:color w:val="000000"/>
                <w:kern w:val="0"/>
                <w:sz w:val="21"/>
                <w:szCs w:val="21"/>
                <w:lang w:eastAsia="zh-CN"/>
              </w:rPr>
              <w:t>瘦肉精检测</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9.6</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9</w:t>
            </w:r>
            <w:r>
              <w:rPr>
                <w:rFonts w:hint="eastAsia" w:ascii="仿宋" w:hAnsi="仿宋" w:eastAsia="仿宋" w:cs="仿宋"/>
                <w:color w:val="000000"/>
                <w:kern w:val="0"/>
                <w:sz w:val="21"/>
                <w:szCs w:val="21"/>
                <w:lang w:val="en-US" w:eastAsia="zh-CN"/>
              </w:rPr>
              <w:t>.6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9.6</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9.6</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eastAsia="zh-CN"/>
              </w:rPr>
              <w:t>9</w:t>
            </w:r>
            <w:r>
              <w:rPr>
                <w:rFonts w:hint="eastAsia" w:ascii="仿宋" w:hAnsi="仿宋" w:eastAsia="仿宋" w:cs="仿宋"/>
                <w:color w:val="000000"/>
                <w:kern w:val="0"/>
                <w:sz w:val="21"/>
                <w:szCs w:val="21"/>
                <w:lang w:val="en-US" w:eastAsia="zh-CN"/>
              </w:rPr>
              <w:t>.6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9.6</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加强对含瘦肉精的检测力度，确保肉食品安全</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加强对含瘦肉精的检测力度，确保肉食品安全</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生猪屠宰企业“瘦肉精”试剂使用率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100%（生猪每批5%的比例检测）</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依法对含瘦肉精的生猪处置率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项目年度完成进度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提高肉食品质量，提高经济效益</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经济效益明显提高</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经济效益明显提高</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868"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确保不发生肉品质量安全事件</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确保不发生肉品质量安全事件</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未发生</w:t>
            </w:r>
            <w:r>
              <w:rPr>
                <w:rFonts w:hint="eastAsia" w:ascii="仿宋" w:hAnsi="仿宋" w:eastAsia="仿宋" w:cs="仿宋"/>
                <w:color w:val="000000"/>
                <w:kern w:val="0"/>
                <w:sz w:val="21"/>
                <w:szCs w:val="21"/>
              </w:rPr>
              <w:t>安全事件</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含瘦肉精的畜禽及产品无害化处理率粪污对造成环境的影响</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达到效果</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生猪屠宰企业无害化处理意识有待加强</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促进畜牧业可持续稳定发展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畜牧业可持续稳定发展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可持续稳定发展</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企业使用满意率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≥98%</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97%</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98分</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仿宋" w:hAnsi="仿宋" w:eastAsia="仿宋" w:cs="仿宋"/>
          <w:sz w:val="32"/>
          <w:szCs w:val="32"/>
          <w:lang w:val="en-US" w:eastAsia="zh-CN"/>
        </w:r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8</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kern w:val="0"/>
                <w:sz w:val="24"/>
                <w:lang w:eastAsia="zh-CN"/>
              </w:rPr>
              <w:t xml:space="preserve"> 年初</w:t>
            </w:r>
            <w:r>
              <w:rPr>
                <w:rFonts w:hint="eastAsia" w:ascii="仿宋" w:hAnsi="仿宋" w:eastAsia="仿宋" w:cs="仿宋"/>
                <w:kern w:val="0"/>
                <w:sz w:val="24"/>
                <w:lang w:val="en-US" w:eastAsia="zh-CN"/>
              </w:rPr>
              <w:t>-</w:t>
            </w:r>
            <w:r>
              <w:rPr>
                <w:rFonts w:hint="eastAsia" w:ascii="仿宋" w:hAnsi="仿宋" w:eastAsia="仿宋" w:cs="仿宋"/>
                <w:kern w:val="0"/>
                <w:sz w:val="24"/>
                <w:lang w:eastAsia="zh-CN"/>
              </w:rPr>
              <w:t>畜牧防疫</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22.4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22.4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22.4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22.4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22.4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22.4</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实施猪牛羊口蹄疫、高致病性禽流感、羊小反刍兽疫集中免疫，平均免疫抗体合格率70%以上</w:t>
            </w:r>
            <w:r>
              <w:rPr>
                <w:rFonts w:hint="eastAsia" w:ascii="仿宋" w:hAnsi="仿宋" w:eastAsia="仿宋" w:cs="仿宋"/>
                <w:color w:val="000000"/>
                <w:kern w:val="0"/>
                <w:sz w:val="21"/>
                <w:szCs w:val="21"/>
                <w:lang w:eastAsia="zh-CN"/>
              </w:rPr>
              <w:t>。</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全年不发生重大动物疫情</w:t>
            </w:r>
            <w:r>
              <w:rPr>
                <w:rFonts w:hint="eastAsia" w:ascii="仿宋" w:hAnsi="仿宋" w:eastAsia="仿宋" w:cs="仿宋"/>
                <w:color w:val="000000"/>
                <w:kern w:val="0"/>
                <w:sz w:val="21"/>
                <w:szCs w:val="21"/>
                <w:lang w:eastAsia="zh-CN"/>
              </w:rPr>
              <w:t>。</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畜禽强制免疫病种免疫密度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≥90%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w:t>
            </w:r>
            <w:r>
              <w:rPr>
                <w:rFonts w:hint="eastAsia" w:ascii="仿宋" w:hAnsi="仿宋" w:eastAsia="仿宋" w:cs="仿宋"/>
                <w:color w:val="000000"/>
                <w:kern w:val="0"/>
                <w:sz w:val="21"/>
                <w:szCs w:val="21"/>
                <w:lang w:val="en-US" w:eastAsia="zh-CN"/>
              </w:rPr>
              <w:t>2</w:t>
            </w:r>
            <w:r>
              <w:rPr>
                <w:rFonts w:hint="eastAsia" w:ascii="仿宋" w:hAnsi="仿宋" w:eastAsia="仿宋" w:cs="仿宋"/>
                <w:color w:val="000000"/>
                <w:kern w:val="0"/>
                <w:sz w:val="21"/>
                <w:szCs w:val="21"/>
              </w:rPr>
              <w:t>%</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应免畜禽免疫率</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≥90%</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90%</w:t>
            </w:r>
          </w:p>
        </w:tc>
        <w:tc>
          <w:tcPr>
            <w:tcW w:w="828"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猪牛羊口蹄疫、高致病性禽流感、羊小反刍兽疫平均免疫抗体合格率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r>
              <w:rPr>
                <w:rFonts w:hint="eastAsia" w:ascii="仿宋" w:hAnsi="仿宋" w:eastAsia="仿宋" w:cs="仿宋"/>
                <w:color w:val="000000"/>
                <w:kern w:val="0"/>
                <w:sz w:val="21"/>
                <w:szCs w:val="21"/>
              </w:rPr>
              <w:t>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7</w:t>
            </w:r>
            <w:r>
              <w:rPr>
                <w:rFonts w:hint="eastAsia" w:ascii="仿宋" w:hAnsi="仿宋" w:eastAsia="仿宋" w:cs="仿宋"/>
                <w:color w:val="000000"/>
                <w:kern w:val="0"/>
                <w:sz w:val="21"/>
                <w:szCs w:val="21"/>
              </w:rPr>
              <w:t>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项目年度完成进度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采购防疫物质</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22.4万元</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22.4万元</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畜禽病死率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≤7%</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7%</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口蹄疫、高致病性禽流感、布鲁氏菌病等保持平稳</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保持平稳</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保持平稳</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资金使用无重大违规违纪问题发生</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无</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无</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畜禽粪污资源化利用率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效果明显</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达到效果</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6</w:t>
            </w: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养殖户畜禽粪污资源化利用意识有待加强</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通过集中免疫，确保不发生重大动物疫病，促进畜牧业持续健康高质量发展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畜牧业持续健康高质量发展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畜牧业持续健康高质量发展</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补助对象对项目实施满意率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≥95%</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95%</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98分</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pStyle w:val="2"/>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9</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1078"/>
        <w:gridCol w:w="1213"/>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kern w:val="0"/>
                <w:sz w:val="24"/>
                <w:lang w:eastAsia="zh-CN"/>
              </w:rPr>
              <w:t xml:space="preserve">   年初</w:t>
            </w:r>
            <w:r>
              <w:rPr>
                <w:rFonts w:hint="eastAsia" w:ascii="仿宋" w:hAnsi="仿宋" w:eastAsia="仿宋" w:cs="仿宋"/>
                <w:kern w:val="0"/>
                <w:sz w:val="24"/>
                <w:lang w:val="en-US" w:eastAsia="zh-CN"/>
              </w:rPr>
              <w:t>-</w:t>
            </w:r>
            <w:r>
              <w:rPr>
                <w:rFonts w:hint="eastAsia" w:ascii="仿宋" w:hAnsi="仿宋" w:eastAsia="仿宋" w:cs="仿宋"/>
                <w:kern w:val="0"/>
                <w:sz w:val="24"/>
                <w:lang w:eastAsia="zh-CN"/>
              </w:rPr>
              <w:t>病死畜禽无害化处理工作经费</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kern w:val="0"/>
                <w:sz w:val="24"/>
                <w:lang w:eastAsia="zh-CN"/>
              </w:rPr>
              <w:t>资阳区畜牧水产事务中心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107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21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107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lang w:val="en-US" w:eastAsia="zh-CN"/>
              </w:rPr>
              <w:t>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4</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10分</w:t>
            </w:r>
          </w:p>
        </w:tc>
        <w:tc>
          <w:tcPr>
            <w:tcW w:w="107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21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加强病死畜禽无害化处理监管，防止病源传播，确保不发生重大动物疫情</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加强病死畜禽无害化处理监管，防止病源传播，确保不发生重大动物疫情</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107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21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病死畜禽收集</w:t>
            </w:r>
            <w:r>
              <w:rPr>
                <w:rFonts w:hint="eastAsia" w:ascii="仿宋" w:hAnsi="仿宋" w:eastAsia="仿宋" w:cs="仿宋"/>
                <w:color w:val="000000"/>
                <w:kern w:val="0"/>
                <w:sz w:val="21"/>
                <w:szCs w:val="21"/>
                <w:lang w:eastAsia="zh-CN"/>
              </w:rPr>
              <w:t>数</w:t>
            </w:r>
          </w:p>
        </w:tc>
        <w:tc>
          <w:tcPr>
            <w:tcW w:w="1134" w:type="dxa"/>
            <w:tcBorders>
              <w:top w:val="nil"/>
              <w:left w:val="nil"/>
              <w:bottom w:val="single" w:color="auto" w:sz="4" w:space="0"/>
              <w:right w:val="single" w:color="auto" w:sz="4" w:space="0"/>
            </w:tcBorders>
            <w:noWrap w:val="0"/>
            <w:vAlign w:val="center"/>
          </w:tcPr>
          <w:p>
            <w:pPr>
              <w:widowControl/>
              <w:ind w:firstLine="210" w:firstLineChars="1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20000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29575</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20</w:t>
            </w:r>
          </w:p>
        </w:tc>
        <w:tc>
          <w:tcPr>
            <w:tcW w:w="1078"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20</w:t>
            </w:r>
            <w:r>
              <w:rPr>
                <w:rFonts w:hint="eastAsia" w:ascii="仿宋" w:hAnsi="仿宋" w:eastAsia="仿宋" w:cs="仿宋"/>
                <w:color w:val="000000"/>
                <w:kern w:val="0"/>
                <w:sz w:val="21"/>
                <w:szCs w:val="21"/>
              </w:rPr>
              <w:t>　</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病死畜禽无害化处理率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078" w:type="dxa"/>
            <w:tcBorders>
              <w:top w:val="nil"/>
              <w:left w:val="nil"/>
              <w:bottom w:val="single" w:color="auto" w:sz="4" w:space="0"/>
              <w:right w:val="single" w:color="auto" w:sz="4" w:space="0"/>
            </w:tcBorders>
            <w:noWrap w:val="0"/>
            <w:vAlign w:val="center"/>
          </w:tcPr>
          <w:p>
            <w:pPr>
              <w:widowControl/>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r>
              <w:rPr>
                <w:rFonts w:hint="eastAsia" w:ascii="仿宋" w:hAnsi="仿宋" w:eastAsia="仿宋" w:cs="仿宋"/>
                <w:color w:val="000000"/>
                <w:kern w:val="0"/>
                <w:sz w:val="21"/>
                <w:szCs w:val="21"/>
              </w:rPr>
              <w:t>　</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项目年度完成进度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07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资金使用率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07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降低动物疾病发生</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i w:val="0"/>
                <w:iCs w:val="0"/>
                <w:color w:val="000000"/>
                <w:kern w:val="0"/>
                <w:sz w:val="18"/>
                <w:szCs w:val="18"/>
                <w:u w:val="none"/>
                <w:lang w:val="en-US" w:eastAsia="zh-CN" w:bidi="ar"/>
              </w:rPr>
              <w:t>疫情保持平稳</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达到预期目标</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0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618"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减少动物疫病传播</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有效阻断疫病传播</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0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减少病死畜禽对环境的影响</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减少乱丢乱弃病死畜禽</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效果明显</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0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促进畜牧业可持续稳定发展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畜牧业可持续稳定发展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heme="majorEastAsia" w:hAnsiTheme="majorEastAsia" w:eastAsiaTheme="majorEastAsia" w:cstheme="majorEastAsia"/>
                <w:b w:val="0"/>
                <w:bCs w:val="0"/>
                <w:color w:val="000000"/>
                <w:kern w:val="0"/>
                <w:sz w:val="18"/>
                <w:szCs w:val="18"/>
                <w:lang w:eastAsia="zh-CN"/>
              </w:rPr>
              <w:t>效果明显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21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补助对象对项目实施满意率</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0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8</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107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97.92分</w:t>
            </w:r>
          </w:p>
        </w:tc>
        <w:tc>
          <w:tcPr>
            <w:tcW w:w="121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pStyle w:val="2"/>
        <w:rPr>
          <w:rFonts w:hint="eastAsia"/>
        </w:rPr>
        <w:sectPr>
          <w:pgSz w:w="11906" w:h="16838"/>
          <w:pgMar w:top="1814" w:right="1361" w:bottom="1644" w:left="1587" w:header="851" w:footer="1304" w:gutter="0"/>
          <w:cols w:space="720" w:num="1"/>
          <w:rtlGutter w:val="0"/>
          <w:docGrid w:type="lines" w:linePitch="319" w:charSpace="0"/>
        </w:sect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p>
    <w:p/>
    <w:sectPr>
      <w:footerReference r:id="rId3" w:type="default"/>
      <w:footerReference r:id="rId4" w:type="even"/>
      <w:pgSz w:w="16840" w:h="11907" w:orient="landscape"/>
      <w:pgMar w:top="1531" w:right="2041" w:bottom="1531" w:left="1871" w:header="851" w:footer="1304" w:gutter="0"/>
      <w:cols w:space="720" w:num="1"/>
      <w:rtlGutter w:val="0"/>
      <w:docGrid w:type="linesAndChars" w:linePitch="58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righ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3</w:t>
    </w:r>
    <w:r>
      <w:rPr>
        <w:rFonts w:ascii="宋体" w:hAnsi="宋体" w:eastAsia="宋体"/>
        <w:sz w:val="28"/>
      </w:rPr>
      <w:fldChar w:fldCharType="end"/>
    </w:r>
    <w:r>
      <w:rPr>
        <w:rStyle w:val="11"/>
        <w:rFonts w:hint="eastAsia" w:ascii="宋体" w:hAnsi="宋体" w:eastAsia="宋体"/>
        <w:sz w:val="28"/>
      </w:rPr>
      <w:t>—</w:t>
    </w:r>
  </w:p>
  <w:p>
    <w:pPr>
      <w:pStyle w:val="5"/>
      <w:ind w:right="360" w:firstLine="360"/>
      <w:jc w:val="right"/>
      <w:rPr>
        <w:rFonts w:hint="eastAsia"/>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lef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4</w:t>
    </w:r>
    <w:r>
      <w:rPr>
        <w:rFonts w:ascii="宋体" w:hAnsi="宋体" w:eastAsia="宋体"/>
        <w:sz w:val="28"/>
      </w:rPr>
      <w:fldChar w:fldCharType="end"/>
    </w:r>
    <w:r>
      <w:rPr>
        <w:rStyle w:val="11"/>
        <w:rFonts w:hint="eastAsia" w:ascii="宋体" w:hAnsi="宋体" w:eastAsia="宋体"/>
        <w:sz w:val="28"/>
      </w:rPr>
      <w:t>—</w:t>
    </w:r>
  </w:p>
  <w:p>
    <w:pPr>
      <w:pStyle w:val="5"/>
      <w:ind w:left="300" w:right="360" w:firstLine="360"/>
      <w:rPr>
        <w:rFonts w:hint="eastAsia"/>
        <w:sz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C9B81B"/>
    <w:multiLevelType w:val="singleLevel"/>
    <w:tmpl w:val="C5C9B81B"/>
    <w:lvl w:ilvl="0" w:tentative="0">
      <w:start w:val="2"/>
      <w:numFmt w:val="chineseCounting"/>
      <w:suff w:val="nothing"/>
      <w:lvlText w:val="（%1）"/>
      <w:lvlJc w:val="left"/>
      <w:rPr>
        <w:rFonts w:hint="eastAsia"/>
      </w:rPr>
    </w:lvl>
  </w:abstractNum>
  <w:abstractNum w:abstractNumId="1">
    <w:nsid w:val="CFFD8FB6"/>
    <w:multiLevelType w:val="singleLevel"/>
    <w:tmpl w:val="CFFD8FB6"/>
    <w:lvl w:ilvl="0" w:tentative="0">
      <w:start w:val="6"/>
      <w:numFmt w:val="chineseCounting"/>
      <w:suff w:val="nothing"/>
      <w:lvlText w:val="%1、"/>
      <w:lvlJc w:val="left"/>
      <w:rPr>
        <w:rFonts w:hint="eastAsia"/>
      </w:rPr>
    </w:lvl>
  </w:abstractNum>
  <w:abstractNum w:abstractNumId="2">
    <w:nsid w:val="1B971E6E"/>
    <w:multiLevelType w:val="singleLevel"/>
    <w:tmpl w:val="1B971E6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MGY3Y2M4M2Q1N2E0ZjhiM2NkNzU1OGFjYmQzMzEifQ=="/>
  </w:docVars>
  <w:rsids>
    <w:rsidRoot w:val="599C2549"/>
    <w:rsid w:val="005D5BA5"/>
    <w:rsid w:val="00627559"/>
    <w:rsid w:val="040756B6"/>
    <w:rsid w:val="05A41151"/>
    <w:rsid w:val="063C22B1"/>
    <w:rsid w:val="06FD2E08"/>
    <w:rsid w:val="097D4A21"/>
    <w:rsid w:val="09E6344B"/>
    <w:rsid w:val="0A854E82"/>
    <w:rsid w:val="0B4E7969"/>
    <w:rsid w:val="0B66341F"/>
    <w:rsid w:val="0C525237"/>
    <w:rsid w:val="0C697316"/>
    <w:rsid w:val="0DC857B1"/>
    <w:rsid w:val="10E23C55"/>
    <w:rsid w:val="10E53D53"/>
    <w:rsid w:val="110E6A9C"/>
    <w:rsid w:val="11911AF4"/>
    <w:rsid w:val="124847D3"/>
    <w:rsid w:val="14BD0721"/>
    <w:rsid w:val="177C2629"/>
    <w:rsid w:val="1A976C37"/>
    <w:rsid w:val="1AAB65CD"/>
    <w:rsid w:val="21F4028B"/>
    <w:rsid w:val="232D0A25"/>
    <w:rsid w:val="273622DD"/>
    <w:rsid w:val="28B44E58"/>
    <w:rsid w:val="2B471FB3"/>
    <w:rsid w:val="2BFF7DB6"/>
    <w:rsid w:val="2C8F648C"/>
    <w:rsid w:val="31946712"/>
    <w:rsid w:val="33FC76B3"/>
    <w:rsid w:val="353C71A1"/>
    <w:rsid w:val="36521CE0"/>
    <w:rsid w:val="36B47001"/>
    <w:rsid w:val="39BC591B"/>
    <w:rsid w:val="39D5177B"/>
    <w:rsid w:val="3A14555B"/>
    <w:rsid w:val="3CDD3EC9"/>
    <w:rsid w:val="3D90570D"/>
    <w:rsid w:val="3E7A63E2"/>
    <w:rsid w:val="3E9009C1"/>
    <w:rsid w:val="434F4373"/>
    <w:rsid w:val="444035EC"/>
    <w:rsid w:val="46814950"/>
    <w:rsid w:val="46947406"/>
    <w:rsid w:val="46C10A14"/>
    <w:rsid w:val="48407AB7"/>
    <w:rsid w:val="49353EC6"/>
    <w:rsid w:val="4C1B6FEB"/>
    <w:rsid w:val="4C714C8A"/>
    <w:rsid w:val="51094FA1"/>
    <w:rsid w:val="5144202D"/>
    <w:rsid w:val="516C634F"/>
    <w:rsid w:val="531A2EAF"/>
    <w:rsid w:val="53264E04"/>
    <w:rsid w:val="57282BDD"/>
    <w:rsid w:val="573B211D"/>
    <w:rsid w:val="58357B9D"/>
    <w:rsid w:val="599C2549"/>
    <w:rsid w:val="5B410E4F"/>
    <w:rsid w:val="5CF709BF"/>
    <w:rsid w:val="607E1A4F"/>
    <w:rsid w:val="61F5736C"/>
    <w:rsid w:val="628B3911"/>
    <w:rsid w:val="63CA5C41"/>
    <w:rsid w:val="688B3B15"/>
    <w:rsid w:val="69AC47FF"/>
    <w:rsid w:val="6A79693A"/>
    <w:rsid w:val="6BBA195D"/>
    <w:rsid w:val="6BCF7A41"/>
    <w:rsid w:val="6F2B69C7"/>
    <w:rsid w:val="6F355817"/>
    <w:rsid w:val="723A51D6"/>
    <w:rsid w:val="75CC4909"/>
    <w:rsid w:val="78093021"/>
    <w:rsid w:val="782E17BB"/>
    <w:rsid w:val="7A000BCA"/>
    <w:rsid w:val="7D861794"/>
    <w:rsid w:val="7F232712"/>
    <w:rsid w:val="7FA85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Body Text"/>
    <w:basedOn w:val="1"/>
    <w:unhideWhenUsed/>
    <w:qFormat/>
    <w:uiPriority w:val="99"/>
    <w:pPr>
      <w:spacing w:after="120"/>
    </w:pPr>
  </w:style>
  <w:style w:type="paragraph" w:styleId="4">
    <w:name w:val="Body Text Indent"/>
    <w:basedOn w:val="1"/>
    <w:qFormat/>
    <w:uiPriority w:val="0"/>
    <w:pPr>
      <w:ind w:firstLine="632" w:firstLine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7">
    <w:name w:val="Body Text First Indent 2"/>
    <w:basedOn w:val="4"/>
    <w:qFormat/>
    <w:uiPriority w:val="0"/>
    <w:pPr>
      <w:spacing w:before="100" w:beforeAutospacing="1" w:after="0"/>
      <w:ind w:left="0"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page number"/>
    <w:basedOn w:val="10"/>
    <w:qFormat/>
    <w:uiPriority w:val="0"/>
  </w:style>
  <w:style w:type="paragraph" w:customStyle="1" w:styleId="12">
    <w:name w:val="BodyText1I2"/>
    <w:basedOn w:val="13"/>
    <w:qFormat/>
    <w:uiPriority w:val="0"/>
    <w:pPr>
      <w:ind w:firstLine="420"/>
    </w:pPr>
  </w:style>
  <w:style w:type="paragraph" w:customStyle="1" w:styleId="13">
    <w:name w:val="BodyTextIndent"/>
    <w:basedOn w:val="1"/>
    <w:qFormat/>
    <w:uiPriority w:val="0"/>
    <w:pPr>
      <w:spacing w:after="120"/>
      <w:ind w:left="420" w:leftChars="200" w:firstLine="200" w:firstLineChars="200"/>
      <w:textAlignment w:val="baseline"/>
    </w:pPr>
  </w:style>
  <w:style w:type="paragraph" w:styleId="14">
    <w:name w:val="List Paragraph"/>
    <w:basedOn w:val="1"/>
    <w:qFormat/>
    <w:uiPriority w:val="99"/>
    <w:pPr>
      <w:ind w:firstLine="420" w:firstLineChars="200"/>
    </w:pPr>
    <w:rPr>
      <w:rFonts w:ascii="Calibri" w:hAnsi="Calibri"/>
      <w:szCs w:val="22"/>
    </w:rPr>
  </w:style>
  <w:style w:type="table" w:customStyle="1" w:styleId="15">
    <w:name w:val="Table Normal"/>
    <w:semiHidden/>
    <w:unhideWhenUsed/>
    <w:qFormat/>
    <w:uiPriority w:val="0"/>
    <w:tblPr>
      <w:tblLayout w:type="fixed"/>
      <w:tblCellMar>
        <w:top w:w="0" w:type="dxa"/>
        <w:left w:w="0" w:type="dxa"/>
        <w:bottom w:w="0" w:type="dxa"/>
        <w:right w:w="0" w:type="dxa"/>
      </w:tblCellMar>
    </w:tblPr>
  </w:style>
  <w:style w:type="character" w:customStyle="1" w:styleId="16">
    <w:name w:val="font2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21</Pages>
  <Words>7073</Words>
  <Characters>7414</Characters>
  <Lines>0</Lines>
  <Paragraphs>0</Paragraphs>
  <TotalTime>17</TotalTime>
  <ScaleCrop>false</ScaleCrop>
  <LinksUpToDate>false</LinksUpToDate>
  <CharactersWithSpaces>7831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2024-04-24T03:36:00Z</dcterms:created>
  <dc:creator>Administrator</dc:creator>
  <cp:lastModifiedBy>Administrator</cp:lastModifiedBy>
  <cp:lastPrinted>2024-05-30T08:23:00Z</cp:lastPrinted>
  <dcterms:modified xsi:type="dcterms:W3CDTF">2024-05-31T02:25:12Z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AF6A97F54D4744D291C3C932C1D407B3_13</vt:lpwstr>
  </property>
</Properties>
</file>