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3454"/>
        </w:tabs>
        <w:kinsoku/>
        <w:wordWrap/>
        <w:overflowPunct/>
        <w:topLinePunct w:val="0"/>
        <w:autoSpaceDE/>
        <w:autoSpaceDN/>
        <w:bidi w:val="0"/>
        <w:adjustRightInd/>
        <w:snapToGrid/>
        <w:spacing w:line="360" w:lineRule="auto"/>
        <w:ind w:firstLine="883" w:firstLineChars="200"/>
        <w:jc w:val="center"/>
        <w:textAlignment w:val="auto"/>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2023年</w:t>
      </w:r>
      <w:r>
        <w:rPr>
          <w:rFonts w:hint="eastAsia" w:ascii="黑体" w:hAnsi="黑体" w:eastAsia="黑体" w:cs="黑体"/>
          <w:b/>
          <w:bCs/>
          <w:sz w:val="44"/>
          <w:szCs w:val="44"/>
        </w:rPr>
        <w:t>度</w:t>
      </w:r>
      <w:r>
        <w:rPr>
          <w:rFonts w:hint="eastAsia" w:ascii="黑体" w:hAnsi="黑体" w:eastAsia="黑体" w:cs="黑体"/>
          <w:b/>
          <w:bCs/>
          <w:sz w:val="44"/>
          <w:szCs w:val="44"/>
          <w:lang w:val="en-US" w:eastAsia="zh-CN"/>
        </w:rPr>
        <w:t>益阳市资阳区疾病预防中心</w:t>
      </w:r>
    </w:p>
    <w:p>
      <w:pPr>
        <w:spacing w:line="560" w:lineRule="exact"/>
        <w:jc w:val="center"/>
        <w:rPr>
          <w:rFonts w:hint="eastAsia" w:ascii="黑体" w:hAnsi="黑体" w:eastAsia="黑体" w:cs="黑体"/>
          <w:b/>
          <w:bCs/>
          <w:sz w:val="44"/>
          <w:szCs w:val="44"/>
        </w:rPr>
      </w:pPr>
      <w:r>
        <w:rPr>
          <w:rFonts w:hint="eastAsia" w:ascii="黑体" w:hAnsi="黑体" w:eastAsia="黑体" w:cs="黑体"/>
          <w:b/>
          <w:bCs/>
          <w:sz w:val="44"/>
          <w:szCs w:val="44"/>
        </w:rPr>
        <w:t>整体支出绩效自评报告</w:t>
      </w:r>
    </w:p>
    <w:p>
      <w:pPr>
        <w:spacing w:line="560" w:lineRule="exact"/>
        <w:jc w:val="center"/>
        <w:rPr>
          <w:rFonts w:hint="eastAsia" w:ascii="Times New Roman" w:hAnsi="Times New Roman" w:eastAsia="方正小标宋_GBK" w:cs="Times New Roman"/>
          <w:b/>
          <w:bCs/>
          <w:sz w:val="36"/>
          <w:szCs w:val="36"/>
        </w:rPr>
      </w:pPr>
    </w:p>
    <w:p>
      <w:pPr>
        <w:keepNext w:val="0"/>
        <w:keepLines w:val="0"/>
        <w:pageBreakBefore w:val="0"/>
        <w:widowControl w:val="0"/>
        <w:tabs>
          <w:tab w:val="left" w:pos="3454"/>
        </w:tabs>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宋体" w:eastAsia="仿宋_GB2312" w:cs="Times New Roman"/>
          <w:sz w:val="32"/>
          <w:szCs w:val="32"/>
          <w:lang w:val="en-US" w:eastAsia="zh-CN"/>
        </w:rPr>
      </w:pPr>
      <w:r>
        <w:rPr>
          <w:rFonts w:hint="default" w:ascii="原版宋体" w:hAnsi="原版宋体" w:eastAsia="仿宋_GB2312" w:cs="Times New Roman"/>
          <w:sz w:val="32"/>
          <w:szCs w:val="32"/>
          <w:lang w:eastAsia="zh-CN"/>
        </w:rPr>
        <w:t>为进一步规范</w:t>
      </w:r>
      <w:r>
        <w:rPr>
          <w:rFonts w:hint="eastAsia" w:ascii="原版宋体" w:hAnsi="原版宋体" w:eastAsia="仿宋_GB2312" w:cs="Times New Roman"/>
          <w:sz w:val="32"/>
          <w:szCs w:val="32"/>
          <w:lang w:eastAsia="zh-CN"/>
        </w:rPr>
        <w:t>全省卫生健康系统</w:t>
      </w:r>
      <w:r>
        <w:rPr>
          <w:rFonts w:hint="default" w:ascii="原版宋体" w:hAnsi="原版宋体" w:eastAsia="仿宋_GB2312" w:cs="Times New Roman"/>
          <w:sz w:val="32"/>
          <w:szCs w:val="32"/>
          <w:lang w:eastAsia="zh-CN"/>
        </w:rPr>
        <w:t>财政资金管理，强化绩效和责任意识，切实提高财政资金使用效益，</w:t>
      </w:r>
      <w:r>
        <w:rPr>
          <w:rFonts w:hint="default" w:ascii="原版宋体" w:hAnsi="原版宋体" w:eastAsia="仿宋_GB2312" w:cs="Times New Roman"/>
          <w:sz w:val="32"/>
          <w:szCs w:val="32"/>
        </w:rPr>
        <w:t>根据</w:t>
      </w:r>
      <w:r>
        <w:rPr>
          <w:rFonts w:hint="eastAsia" w:ascii="原版宋体" w:hAnsi="原版宋体" w:cs="Times New Roman"/>
          <w:sz w:val="32"/>
          <w:szCs w:val="32"/>
          <w:lang w:eastAsia="zh-CN"/>
        </w:rPr>
        <w:t>相关文件</w:t>
      </w:r>
      <w:bookmarkStart w:id="0" w:name="_GoBack"/>
      <w:bookmarkEnd w:id="0"/>
      <w:r>
        <w:rPr>
          <w:rFonts w:hint="eastAsia" w:ascii="仿宋_GB2312" w:hAnsi="宋体" w:eastAsia="仿宋_GB2312" w:cs="Times New Roman"/>
          <w:sz w:val="32"/>
          <w:szCs w:val="32"/>
          <w:lang w:val="en-US" w:eastAsia="zh-CN"/>
        </w:rPr>
        <w:t>的要求，结合我中心的具体情况，认真组织开展了</w:t>
      </w:r>
      <w:r>
        <w:rPr>
          <w:rFonts w:hint="eastAsia" w:ascii="仿宋_GB2312" w:hAnsi="宋体" w:cs="Times New Roman"/>
          <w:sz w:val="32"/>
          <w:szCs w:val="32"/>
          <w:lang w:val="en-US" w:eastAsia="zh-CN"/>
        </w:rPr>
        <w:t>2023年</w:t>
      </w:r>
      <w:r>
        <w:rPr>
          <w:rFonts w:hint="eastAsia" w:ascii="仿宋_GB2312" w:hAnsi="宋体" w:eastAsia="仿宋_GB2312" w:cs="Times New Roman"/>
          <w:sz w:val="32"/>
          <w:szCs w:val="32"/>
          <w:lang w:val="en-US" w:eastAsia="zh-CN"/>
        </w:rPr>
        <w:t>度绩效自评工作，现将我中心</w:t>
      </w:r>
      <w:r>
        <w:rPr>
          <w:rFonts w:hint="eastAsia" w:ascii="仿宋_GB2312" w:hAnsi="宋体" w:cs="Times New Roman"/>
          <w:sz w:val="32"/>
          <w:szCs w:val="32"/>
          <w:lang w:val="en-US" w:eastAsia="zh-CN"/>
        </w:rPr>
        <w:t>2023年</w:t>
      </w:r>
      <w:r>
        <w:rPr>
          <w:rFonts w:hint="eastAsia" w:ascii="仿宋_GB2312" w:hAnsi="宋体" w:eastAsia="仿宋_GB2312" w:cs="Times New Roman"/>
          <w:sz w:val="32"/>
          <w:szCs w:val="32"/>
          <w:lang w:val="en-US" w:eastAsia="zh-CN"/>
        </w:rPr>
        <w:t>度部门整体支出绩效情况报告体如下：</w:t>
      </w:r>
    </w:p>
    <w:p>
      <w:pPr>
        <w:keepNext w:val="0"/>
        <w:keepLines w:val="0"/>
        <w:pageBreakBefore w:val="0"/>
        <w:widowControl w:val="0"/>
        <w:tabs>
          <w:tab w:val="left" w:pos="3454"/>
        </w:tabs>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宋体" w:eastAsia="仿宋_GB2312" w:cs="Times New Roman"/>
          <w:sz w:val="32"/>
          <w:szCs w:val="32"/>
        </w:rPr>
      </w:pPr>
    </w:p>
    <w:p>
      <w:pPr>
        <w:numPr>
          <w:ilvl w:val="0"/>
          <w:numId w:val="1"/>
        </w:numPr>
        <w:ind w:left="-320" w:leftChars="0" w:firstLine="640" w:firstLineChars="0"/>
        <w:rPr>
          <w:rFonts w:hint="eastAsia" w:ascii="黑体" w:hAnsi="Times New Roman" w:eastAsia="黑体" w:cs="Times New Roman"/>
          <w:sz w:val="32"/>
          <w:szCs w:val="32"/>
        </w:rPr>
      </w:pPr>
      <w:r>
        <w:rPr>
          <w:rFonts w:hint="eastAsia" w:ascii="黑体" w:hAnsi="Times New Roman" w:eastAsia="黑体" w:cs="Times New Roman"/>
          <w:sz w:val="32"/>
          <w:szCs w:val="32"/>
        </w:rPr>
        <w:t>部门（单位）基本情况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420" w:firstLineChars="200"/>
        <w:jc w:val="both"/>
        <w:textAlignment w:val="auto"/>
        <w:outlineLvl w:val="9"/>
        <w:rPr>
          <w:rFonts w:hint="eastAsia"/>
          <w:b/>
          <w:bCs/>
          <w:sz w:val="28"/>
          <w:szCs w:val="28"/>
          <w:lang w:val="en-US" w:eastAsia="zh-CN"/>
        </w:rPr>
      </w:pPr>
      <w:r>
        <w:rPr>
          <w:rFonts w:hint="eastAsia" w:ascii="黑体" w:hAnsi="Times New Roman" w:eastAsia="黑体" w:cs="Times New Roman"/>
          <w:sz w:val="21"/>
          <w:szCs w:val="21"/>
          <w:lang w:val="en-US" w:eastAsia="zh-CN"/>
        </w:rPr>
        <w:t xml:space="preserve"> </w:t>
      </w:r>
      <w:r>
        <w:rPr>
          <w:rFonts w:hint="eastAsia" w:ascii="黑体" w:hAnsi="Times New Roman" w:eastAsia="黑体" w:cs="Times New Roman"/>
          <w:sz w:val="28"/>
          <w:szCs w:val="28"/>
          <w:lang w:val="en-US" w:eastAsia="zh-CN"/>
        </w:rPr>
        <w:t xml:space="preserve"> </w:t>
      </w:r>
      <w:r>
        <w:rPr>
          <w:rFonts w:hint="eastAsia"/>
          <w:b/>
          <w:bCs/>
          <w:sz w:val="28"/>
          <w:szCs w:val="28"/>
          <w:lang w:val="en-US" w:eastAsia="zh-CN"/>
        </w:rPr>
        <w:t>一、单位基本情况说明</w:t>
      </w:r>
    </w:p>
    <w:p>
      <w:pPr>
        <w:keepNext w:val="0"/>
        <w:keepLines w:val="0"/>
        <w:pageBreakBefore w:val="0"/>
        <w:widowControl w:val="0"/>
        <w:tabs>
          <w:tab w:val="left" w:pos="3454"/>
        </w:tabs>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（一）单位名称：益阳市资阳区疾病预防控制中心</w:t>
      </w:r>
    </w:p>
    <w:p>
      <w:pPr>
        <w:keepNext w:val="0"/>
        <w:keepLines w:val="0"/>
        <w:pageBreakBefore w:val="0"/>
        <w:widowControl w:val="0"/>
        <w:tabs>
          <w:tab w:val="left" w:pos="3454"/>
        </w:tabs>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（二）单位性质：公益</w:t>
      </w:r>
      <w:r>
        <w:rPr>
          <w:rFonts w:hint="eastAsia" w:ascii="仿宋_GB2312" w:hAnsi="宋体" w:eastAsia="仿宋_GB2312"/>
          <w:sz w:val="32"/>
          <w:szCs w:val="32"/>
          <w:lang w:val="en-US" w:eastAsia="zh-CN"/>
        </w:rPr>
        <w:t>一类</w:t>
      </w:r>
      <w:r>
        <w:rPr>
          <w:rFonts w:hint="eastAsia" w:ascii="仿宋_GB2312" w:hAnsi="宋体" w:eastAsia="仿宋_GB2312" w:cs="Times New Roman"/>
          <w:sz w:val="32"/>
          <w:szCs w:val="32"/>
          <w:lang w:val="en-US" w:eastAsia="zh-CN"/>
        </w:rPr>
        <w:t>事业单位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textAlignment w:val="auto"/>
        <w:rPr>
          <w:rFonts w:hint="eastAsia" w:ascii="仿宋_GB2312" w:hAnsi="宋体" w:eastAsia="仿宋_GB2312"/>
          <w:sz w:val="32"/>
          <w:szCs w:val="32"/>
          <w:lang w:eastAsia="zh-CN"/>
        </w:rPr>
      </w:pPr>
      <w:r>
        <w:rPr>
          <w:rFonts w:hint="eastAsia" w:ascii="仿宋_GB2312" w:hAnsi="宋体" w:eastAsia="仿宋_GB2312" w:cs="Times New Roman"/>
          <w:sz w:val="32"/>
          <w:szCs w:val="32"/>
          <w:lang w:val="en-US" w:eastAsia="zh-CN"/>
        </w:rPr>
        <w:t>（三）主要职责：</w:t>
      </w:r>
      <w:r>
        <w:rPr>
          <w:rFonts w:hint="eastAsia" w:ascii="仿宋_GB2312" w:hAnsi="宋体" w:eastAsia="仿宋_GB2312"/>
          <w:sz w:val="32"/>
          <w:szCs w:val="32"/>
        </w:rPr>
        <w:t>传染病、寄生虫病、地方病、非传染性疾病等预防与控制；突发公共卫生事件应急处置；疫情及健康相关因素信息管理，开展疾病监测，收集、报告、分析；开展食源性、职业性、放射性、环境性等疾病的监测评价和流行病学调查</w:t>
      </w:r>
      <w:r>
        <w:rPr>
          <w:rFonts w:hint="eastAsia" w:ascii="仿宋_GB2312" w:hAnsi="宋体" w:eastAsia="仿宋_GB2312"/>
          <w:sz w:val="32"/>
          <w:szCs w:val="32"/>
          <w:lang w:eastAsia="zh-CN"/>
        </w:rPr>
        <w:t>；</w:t>
      </w:r>
      <w:r>
        <w:rPr>
          <w:rFonts w:hint="eastAsia" w:ascii="仿宋_GB2312" w:hAnsi="宋体" w:eastAsia="仿宋_GB2312"/>
          <w:sz w:val="32"/>
          <w:szCs w:val="32"/>
        </w:rPr>
        <w:t>健康教育与健康促进，对公众进行健康指导和不良健康行为干预等</w:t>
      </w:r>
      <w:r>
        <w:rPr>
          <w:rFonts w:hint="eastAsia" w:ascii="仿宋_GB2312" w:hAnsi="宋体"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textAlignment w:val="auto"/>
        <w:rPr>
          <w:rFonts w:hint="default" w:ascii="黑体" w:hAnsi="黑体" w:eastAsia="仿宋_GB2312" w:cs="黑体"/>
          <w:sz w:val="32"/>
          <w:szCs w:val="32"/>
          <w:lang w:val="en-US" w:eastAsia="zh-CN"/>
        </w:rPr>
      </w:pPr>
      <w:r>
        <w:rPr>
          <w:rFonts w:hint="eastAsia" w:ascii="仿宋_GB2312" w:hAnsi="宋体" w:eastAsia="仿宋_GB2312"/>
          <w:sz w:val="32"/>
          <w:szCs w:val="32"/>
        </w:rPr>
        <w:t>设有</w:t>
      </w:r>
      <w:r>
        <w:rPr>
          <w:rFonts w:hint="eastAsia" w:ascii="仿宋_GB2312" w:hAnsi="宋体" w:eastAsia="仿宋_GB2312"/>
          <w:sz w:val="32"/>
          <w:szCs w:val="32"/>
          <w:lang w:val="en-US" w:eastAsia="zh-CN"/>
        </w:rPr>
        <w:t>8</w:t>
      </w:r>
      <w:r>
        <w:rPr>
          <w:rFonts w:hint="eastAsia" w:ascii="仿宋_GB2312" w:hAnsi="宋体" w:eastAsia="仿宋_GB2312"/>
          <w:sz w:val="32"/>
          <w:szCs w:val="32"/>
        </w:rPr>
        <w:t>个业务股室和</w:t>
      </w:r>
      <w:r>
        <w:rPr>
          <w:rFonts w:hint="eastAsia" w:ascii="仿宋_GB2312" w:hAnsi="宋体"/>
          <w:sz w:val="32"/>
          <w:szCs w:val="32"/>
          <w:lang w:val="en-US" w:eastAsia="zh-CN"/>
        </w:rPr>
        <w:t>4</w:t>
      </w:r>
      <w:r>
        <w:rPr>
          <w:rFonts w:hint="eastAsia" w:ascii="仿宋_GB2312" w:hAnsi="宋体" w:eastAsia="仿宋_GB2312"/>
          <w:sz w:val="32"/>
          <w:szCs w:val="32"/>
        </w:rPr>
        <w:t>个职能股室</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分别为办公室、行政后勤科、财务室、</w:t>
      </w:r>
      <w:r>
        <w:rPr>
          <w:rFonts w:hint="eastAsia" w:ascii="仿宋_GB2312" w:hAnsi="宋体"/>
          <w:sz w:val="32"/>
          <w:szCs w:val="32"/>
          <w:lang w:val="en-US" w:eastAsia="zh-CN"/>
        </w:rPr>
        <w:t>政采科、</w:t>
      </w:r>
      <w:r>
        <w:rPr>
          <w:rFonts w:hint="eastAsia" w:ascii="仿宋_GB2312" w:hAnsi="宋体" w:eastAsia="仿宋_GB2312"/>
          <w:sz w:val="32"/>
          <w:szCs w:val="32"/>
          <w:lang w:val="en-US" w:eastAsia="zh-CN"/>
        </w:rPr>
        <w:t>慢性病防治科、</w:t>
      </w:r>
      <w:r>
        <w:rPr>
          <w:rFonts w:hint="default" w:ascii="黑体" w:hAnsi="黑体" w:eastAsia="仿宋_GB2312" w:cs="黑体"/>
          <w:sz w:val="32"/>
          <w:szCs w:val="32"/>
          <w:lang w:val="en-US" w:eastAsia="zh-CN"/>
        </w:rPr>
        <w:t>传染病防治科</w:t>
      </w:r>
      <w:r>
        <w:rPr>
          <w:rFonts w:hint="eastAsia" w:ascii="黑体" w:hAnsi="黑体" w:eastAsia="仿宋_GB2312" w:cs="黑体"/>
          <w:sz w:val="32"/>
          <w:szCs w:val="32"/>
          <w:lang w:val="en-US" w:eastAsia="zh-CN"/>
        </w:rPr>
        <w:t>、性病艾滋病防治科、结核病防治科、免疫规划科、检验科、公共卫生科、学校卫生科。</w:t>
      </w:r>
    </w:p>
    <w:p>
      <w:pPr>
        <w:pStyle w:val="4"/>
        <w:rPr>
          <w:rFonts w:hint="eastAsia"/>
          <w:lang w:val="en-US" w:eastAsia="zh-CN"/>
        </w:rPr>
      </w:pPr>
    </w:p>
    <w:p>
      <w:pPr>
        <w:widowControl/>
        <w:spacing w:line="600" w:lineRule="exact"/>
        <w:ind w:firstLine="320" w:firstLineChars="100"/>
        <w:jc w:val="both"/>
        <w:rPr>
          <w:rFonts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二、</w:t>
      </w:r>
      <w:r>
        <w:rPr>
          <w:rFonts w:ascii="Times New Roman" w:hAnsi="Times New Roman" w:eastAsia="黑体" w:cs="Times New Roman"/>
          <w:kern w:val="2"/>
          <w:sz w:val="32"/>
          <w:szCs w:val="32"/>
          <w:lang w:val="en-US" w:eastAsia="zh-CN" w:bidi="ar-SA"/>
        </w:rPr>
        <w:t>一般公共预算支出情况</w:t>
      </w:r>
    </w:p>
    <w:p>
      <w:pPr>
        <w:widowControl/>
        <w:spacing w:line="600" w:lineRule="exact"/>
        <w:ind w:firstLine="643" w:firstLineChars="200"/>
        <w:jc w:val="both"/>
        <w:rPr>
          <w:rFonts w:hint="eastAsia" w:ascii="楷体_GB2312" w:hAnsi="Times New Roman" w:eastAsia="楷体_GB2312" w:cs="Times New Roman"/>
          <w:b/>
          <w:kern w:val="2"/>
          <w:sz w:val="32"/>
          <w:szCs w:val="32"/>
          <w:lang w:val="en-US" w:eastAsia="zh-CN" w:bidi="ar-SA"/>
        </w:rPr>
      </w:pPr>
      <w:r>
        <w:rPr>
          <w:rFonts w:hint="eastAsia" w:ascii="楷体_GB2312" w:hAnsi="Times New Roman" w:eastAsia="楷体_GB2312" w:cs="Times New Roman"/>
          <w:b/>
          <w:kern w:val="2"/>
          <w:sz w:val="32"/>
          <w:szCs w:val="32"/>
          <w:lang w:val="en-US" w:eastAsia="zh-CN" w:bidi="ar-SA"/>
        </w:rPr>
        <w:t>（一）基本支出情况</w:t>
      </w:r>
    </w:p>
    <w:p>
      <w:pPr>
        <w:pStyle w:val="4"/>
        <w:ind w:firstLine="640" w:firstLineChars="200"/>
        <w:rPr>
          <w:rFonts w:hint="eastAsia"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2023年基本支出2947.49万元，其中：人员经费支出602.28 万元，日常公用经费支出2345.21万元。</w:t>
      </w:r>
    </w:p>
    <w:p>
      <w:pPr>
        <w:widowControl/>
        <w:numPr>
          <w:ilvl w:val="0"/>
          <w:numId w:val="2"/>
        </w:numPr>
        <w:spacing w:line="600" w:lineRule="exact"/>
        <w:ind w:firstLine="643" w:firstLineChars="200"/>
        <w:jc w:val="both"/>
        <w:rPr>
          <w:rFonts w:ascii="楷体_GB2312" w:hAnsi="Times New Roman" w:eastAsia="楷体_GB2312" w:cs="Times New Roman"/>
          <w:b/>
          <w:kern w:val="2"/>
          <w:sz w:val="32"/>
          <w:szCs w:val="32"/>
          <w:lang w:val="en-US" w:eastAsia="zh-CN" w:bidi="ar-SA"/>
        </w:rPr>
      </w:pPr>
      <w:r>
        <w:rPr>
          <w:rFonts w:ascii="楷体_GB2312" w:hAnsi="Times New Roman" w:eastAsia="楷体_GB2312" w:cs="Times New Roman"/>
          <w:b/>
          <w:kern w:val="2"/>
          <w:sz w:val="32"/>
          <w:szCs w:val="32"/>
          <w:lang w:val="en-US" w:eastAsia="zh-CN" w:bidi="ar-SA"/>
        </w:rPr>
        <w:t>项目支出情况</w:t>
      </w:r>
    </w:p>
    <w:p>
      <w:pPr>
        <w:pStyle w:val="4"/>
        <w:numPr>
          <w:ilvl w:val="0"/>
          <w:numId w:val="0"/>
        </w:numPr>
        <w:ind w:firstLine="640" w:firstLineChars="200"/>
        <w:rPr>
          <w:rFonts w:hint="eastAsia"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2023年专项支出677.78万元，主要用于1.疫情防控2.基本公卫3.重大公共卫生4.突发公共卫生应急处置5.其他公共卫生等项目支出。</w:t>
      </w:r>
    </w:p>
    <w:p>
      <w:pPr>
        <w:widowControl/>
        <w:numPr>
          <w:ilvl w:val="0"/>
          <w:numId w:val="0"/>
        </w:numPr>
        <w:spacing w:line="600" w:lineRule="exact"/>
        <w:ind w:firstLine="320" w:firstLineChars="100"/>
        <w:jc w:val="left"/>
        <w:rPr>
          <w:rFonts w:ascii="Times New Roman" w:hAnsi="Times New Roman" w:eastAsia="黑体" w:cs="Times New Roman"/>
          <w:kern w:val="2"/>
          <w:sz w:val="32"/>
          <w:szCs w:val="32"/>
          <w:lang w:val="en-US" w:eastAsia="zh-CN" w:bidi="ar-SA"/>
        </w:rPr>
      </w:pPr>
      <w:r>
        <w:rPr>
          <w:rFonts w:hint="eastAsia" w:eastAsia="黑体" w:cs="Times New Roman"/>
          <w:kern w:val="2"/>
          <w:sz w:val="32"/>
          <w:szCs w:val="32"/>
          <w:lang w:val="en-US" w:eastAsia="zh-CN" w:bidi="ar-SA"/>
        </w:rPr>
        <w:t>三、</w:t>
      </w:r>
      <w:r>
        <w:rPr>
          <w:rFonts w:ascii="Times New Roman" w:hAnsi="Times New Roman" w:eastAsia="黑体" w:cs="Times New Roman"/>
          <w:kern w:val="2"/>
          <w:sz w:val="32"/>
          <w:szCs w:val="32"/>
          <w:lang w:val="en-US" w:eastAsia="zh-CN" w:bidi="ar-SA"/>
        </w:rPr>
        <w:t>政府性基金预算支出情况</w:t>
      </w:r>
    </w:p>
    <w:p>
      <w:pPr>
        <w:pStyle w:val="4"/>
        <w:numPr>
          <w:ilvl w:val="0"/>
          <w:numId w:val="0"/>
        </w:numPr>
        <w:ind w:firstLine="960" w:firstLineChars="300"/>
        <w:rPr>
          <w:lang w:val="en-US" w:eastAsia="zh-CN"/>
        </w:rPr>
      </w:pPr>
      <w:r>
        <w:rPr>
          <w:rFonts w:hint="eastAsia"/>
          <w:lang w:val="en-US" w:eastAsia="zh-CN"/>
        </w:rPr>
        <w:t>无</w:t>
      </w:r>
    </w:p>
    <w:p>
      <w:pPr>
        <w:widowControl/>
        <w:numPr>
          <w:ilvl w:val="0"/>
          <w:numId w:val="0"/>
        </w:numPr>
        <w:spacing w:line="600" w:lineRule="exact"/>
        <w:ind w:firstLine="320" w:firstLineChars="100"/>
        <w:jc w:val="left"/>
        <w:rPr>
          <w:rFonts w:ascii="Times New Roman" w:hAnsi="Times New Roman" w:eastAsia="黑体" w:cs="Times New Roman"/>
          <w:kern w:val="2"/>
          <w:sz w:val="32"/>
          <w:szCs w:val="32"/>
          <w:lang w:val="en-US" w:eastAsia="zh-CN" w:bidi="ar-SA"/>
        </w:rPr>
      </w:pPr>
      <w:r>
        <w:rPr>
          <w:rFonts w:hint="eastAsia" w:eastAsia="黑体" w:cs="Times New Roman"/>
          <w:kern w:val="2"/>
          <w:sz w:val="32"/>
          <w:szCs w:val="32"/>
          <w:lang w:val="en-US" w:eastAsia="zh-CN" w:bidi="ar-SA"/>
        </w:rPr>
        <w:t>四、</w:t>
      </w:r>
      <w:r>
        <w:rPr>
          <w:rFonts w:ascii="Times New Roman" w:hAnsi="Times New Roman" w:eastAsia="黑体" w:cs="Times New Roman"/>
          <w:kern w:val="2"/>
          <w:sz w:val="32"/>
          <w:szCs w:val="32"/>
          <w:lang w:val="en-US" w:eastAsia="zh-CN" w:bidi="ar-SA"/>
        </w:rPr>
        <w:t>国有资本经营预算支出情况</w:t>
      </w:r>
    </w:p>
    <w:p>
      <w:pPr>
        <w:pStyle w:val="4"/>
        <w:numPr>
          <w:ilvl w:val="0"/>
          <w:numId w:val="0"/>
        </w:numPr>
        <w:ind w:firstLine="960" w:firstLineChars="300"/>
        <w:rPr>
          <w:lang w:val="en-US" w:eastAsia="zh-CN"/>
        </w:rPr>
      </w:pPr>
      <w:r>
        <w:rPr>
          <w:rFonts w:hint="eastAsia"/>
          <w:lang w:val="en-US" w:eastAsia="zh-CN"/>
        </w:rPr>
        <w:t>无</w:t>
      </w:r>
    </w:p>
    <w:p>
      <w:pPr>
        <w:widowControl/>
        <w:numPr>
          <w:ilvl w:val="0"/>
          <w:numId w:val="0"/>
        </w:numPr>
        <w:spacing w:line="600" w:lineRule="exact"/>
        <w:ind w:firstLine="320" w:firstLineChars="100"/>
        <w:jc w:val="left"/>
        <w:rPr>
          <w:rFonts w:ascii="Times New Roman" w:hAnsi="Times New Roman" w:eastAsia="黑体" w:cs="Times New Roman"/>
          <w:kern w:val="2"/>
          <w:sz w:val="32"/>
          <w:szCs w:val="32"/>
          <w:lang w:val="en-US" w:eastAsia="zh-CN" w:bidi="ar-SA"/>
        </w:rPr>
      </w:pPr>
      <w:r>
        <w:rPr>
          <w:rFonts w:hint="eastAsia" w:eastAsia="黑体" w:cs="Times New Roman"/>
          <w:kern w:val="2"/>
          <w:sz w:val="32"/>
          <w:szCs w:val="32"/>
          <w:lang w:val="en-US" w:eastAsia="zh-CN" w:bidi="ar-SA"/>
        </w:rPr>
        <w:t>五、</w:t>
      </w:r>
      <w:r>
        <w:rPr>
          <w:rFonts w:ascii="Times New Roman" w:hAnsi="Times New Roman" w:eastAsia="黑体" w:cs="Times New Roman"/>
          <w:kern w:val="2"/>
          <w:sz w:val="32"/>
          <w:szCs w:val="32"/>
          <w:lang w:val="en-US" w:eastAsia="zh-CN" w:bidi="ar-SA"/>
        </w:rPr>
        <w:t>社会保险基金预算支出情况</w:t>
      </w:r>
    </w:p>
    <w:p>
      <w:pPr>
        <w:pStyle w:val="4"/>
        <w:numPr>
          <w:ilvl w:val="0"/>
          <w:numId w:val="0"/>
        </w:numPr>
        <w:ind w:firstLine="640" w:firstLineChars="200"/>
        <w:rPr>
          <w:rFonts w:hint="default"/>
          <w:lang w:val="en-US" w:eastAsia="zh-CN"/>
        </w:rPr>
      </w:pPr>
      <w:r>
        <w:rPr>
          <w:rFonts w:hint="eastAsia"/>
          <w:lang w:val="en-US" w:eastAsia="zh-CN"/>
        </w:rPr>
        <w:t>机关事业单位基本养老保险缴费预算支出：60.48</w:t>
      </w:r>
      <w:r>
        <w:rPr>
          <w:rFonts w:hint="eastAsia" w:ascii="仿宋_GB2312" w:hAnsi="宋体" w:eastAsia="仿宋_GB2312" w:cs="Times New Roman"/>
          <w:color w:val="auto"/>
          <w:kern w:val="2"/>
          <w:sz w:val="32"/>
          <w:szCs w:val="32"/>
          <w:lang w:val="en-US" w:eastAsia="zh-CN" w:bidi="ar-SA"/>
        </w:rPr>
        <w:t>万元</w:t>
      </w:r>
      <w:r>
        <w:rPr>
          <w:rFonts w:hint="eastAsia"/>
          <w:lang w:val="en-US" w:eastAsia="zh-CN"/>
        </w:rPr>
        <w:t>。</w:t>
      </w:r>
    </w:p>
    <w:p>
      <w:pPr>
        <w:pStyle w:val="4"/>
        <w:numPr>
          <w:ilvl w:val="0"/>
          <w:numId w:val="0"/>
        </w:numPr>
        <w:rPr>
          <w:rFonts w:hint="eastAsia"/>
          <w:lang w:val="en-US" w:eastAsia="zh-CN"/>
        </w:rPr>
      </w:pPr>
      <w:r>
        <w:rPr>
          <w:rFonts w:hint="eastAsia"/>
          <w:lang w:val="en-US" w:eastAsia="zh-CN"/>
        </w:rPr>
        <w:t>其中：机关事业单位职业年金缴费支出：1.26</w:t>
      </w:r>
      <w:r>
        <w:rPr>
          <w:rFonts w:hint="eastAsia" w:ascii="仿宋_GB2312" w:hAnsi="宋体" w:eastAsia="仿宋_GB2312" w:cs="Times New Roman"/>
          <w:color w:val="auto"/>
          <w:kern w:val="2"/>
          <w:sz w:val="32"/>
          <w:szCs w:val="32"/>
          <w:lang w:val="en-US" w:eastAsia="zh-CN" w:bidi="ar-SA"/>
        </w:rPr>
        <w:t>万</w:t>
      </w:r>
      <w:r>
        <w:rPr>
          <w:rFonts w:hint="eastAsia"/>
          <w:lang w:val="en-US" w:eastAsia="zh-CN"/>
        </w:rPr>
        <w:t>元。</w:t>
      </w:r>
    </w:p>
    <w:p>
      <w:pPr>
        <w:pStyle w:val="4"/>
        <w:numPr>
          <w:ilvl w:val="0"/>
          <w:numId w:val="0"/>
        </w:numPr>
        <w:ind w:left="0" w:leftChars="0" w:firstLine="585" w:firstLineChars="183"/>
        <w:rPr>
          <w:rFonts w:hint="eastAsia"/>
          <w:lang w:val="en-US" w:eastAsia="zh-CN"/>
        </w:rPr>
      </w:pPr>
      <w:r>
        <w:rPr>
          <w:rFonts w:hint="eastAsia"/>
          <w:lang w:val="en-US" w:eastAsia="zh-CN"/>
        </w:rPr>
        <w:t>事业单位医疗 ：39.46</w:t>
      </w:r>
      <w:r>
        <w:rPr>
          <w:rFonts w:hint="eastAsia" w:ascii="仿宋_GB2312" w:hAnsi="宋体" w:eastAsia="仿宋_GB2312" w:cs="Times New Roman"/>
          <w:color w:val="auto"/>
          <w:kern w:val="2"/>
          <w:sz w:val="32"/>
          <w:szCs w:val="32"/>
          <w:lang w:val="en-US" w:eastAsia="zh-CN" w:bidi="ar-SA"/>
        </w:rPr>
        <w:t>万</w:t>
      </w:r>
      <w:r>
        <w:rPr>
          <w:rFonts w:hint="eastAsia"/>
          <w:lang w:val="en-US" w:eastAsia="zh-CN"/>
        </w:rPr>
        <w:t>元。</w:t>
      </w:r>
    </w:p>
    <w:p>
      <w:pPr>
        <w:pStyle w:val="4"/>
        <w:numPr>
          <w:ilvl w:val="0"/>
          <w:numId w:val="0"/>
        </w:numPr>
        <w:ind w:left="0" w:leftChars="0" w:firstLine="585" w:firstLineChars="183"/>
        <w:rPr>
          <w:rFonts w:hint="eastAsia"/>
          <w:lang w:val="en-US" w:eastAsia="zh-CN"/>
        </w:rPr>
      </w:pPr>
      <w:r>
        <w:rPr>
          <w:rFonts w:hint="eastAsia"/>
          <w:lang w:val="en-US" w:eastAsia="zh-CN"/>
        </w:rPr>
        <w:t>住房公积金：47.25</w:t>
      </w:r>
      <w:r>
        <w:rPr>
          <w:rFonts w:hint="eastAsia" w:ascii="仿宋_GB2312" w:hAnsi="宋体" w:eastAsia="仿宋_GB2312" w:cs="Times New Roman"/>
          <w:color w:val="auto"/>
          <w:kern w:val="2"/>
          <w:sz w:val="32"/>
          <w:szCs w:val="32"/>
          <w:lang w:val="en-US" w:eastAsia="zh-CN" w:bidi="ar-SA"/>
        </w:rPr>
        <w:t>万</w:t>
      </w:r>
      <w:r>
        <w:rPr>
          <w:rFonts w:hint="eastAsia"/>
          <w:lang w:val="en-US" w:eastAsia="zh-CN"/>
        </w:rPr>
        <w:t>元。</w:t>
      </w:r>
    </w:p>
    <w:p>
      <w:pPr>
        <w:pStyle w:val="4"/>
        <w:numPr>
          <w:ilvl w:val="0"/>
          <w:numId w:val="0"/>
        </w:numPr>
        <w:ind w:left="0" w:leftChars="0" w:firstLine="585" w:firstLineChars="183"/>
        <w:rPr>
          <w:rFonts w:hint="default"/>
          <w:lang w:val="en-US" w:eastAsia="zh-CN"/>
        </w:rPr>
      </w:pPr>
      <w:r>
        <w:rPr>
          <w:rFonts w:hint="eastAsia"/>
          <w:lang w:val="en-US" w:eastAsia="zh-CN"/>
        </w:rPr>
        <w:t>工伤保险：5.83</w:t>
      </w:r>
      <w:r>
        <w:rPr>
          <w:rFonts w:hint="eastAsia" w:ascii="仿宋_GB2312" w:hAnsi="宋体" w:eastAsia="仿宋_GB2312" w:cs="Times New Roman"/>
          <w:color w:val="auto"/>
          <w:kern w:val="2"/>
          <w:sz w:val="32"/>
          <w:szCs w:val="32"/>
          <w:lang w:val="en-US" w:eastAsia="zh-CN" w:bidi="ar-SA"/>
        </w:rPr>
        <w:t>万</w:t>
      </w:r>
      <w:r>
        <w:rPr>
          <w:rFonts w:hint="eastAsia"/>
          <w:lang w:val="en-US" w:eastAsia="zh-CN"/>
        </w:rPr>
        <w:t>元。</w:t>
      </w:r>
    </w:p>
    <w:p>
      <w:pPr>
        <w:widowControl/>
        <w:spacing w:line="600" w:lineRule="exact"/>
        <w:ind w:firstLine="320" w:firstLineChars="100"/>
        <w:jc w:val="left"/>
        <w:rPr>
          <w:rFonts w:ascii="Times New Roman" w:hAnsi="Times New Roman" w:eastAsia="黑体" w:cs="Times New Roman"/>
          <w:sz w:val="32"/>
          <w:szCs w:val="32"/>
        </w:rPr>
      </w:pPr>
      <w:r>
        <w:rPr>
          <w:rFonts w:ascii="Times New Roman" w:hAnsi="Times New Roman" w:eastAsia="黑体" w:cs="Times New Roman"/>
          <w:sz w:val="32"/>
          <w:szCs w:val="32"/>
        </w:rPr>
        <w:t>六、部门整体支出绩效情况</w:t>
      </w:r>
    </w:p>
    <w:p>
      <w:pPr>
        <w:keepNext w:val="0"/>
        <w:keepLines w:val="0"/>
        <w:pageBreakBefore w:val="0"/>
        <w:widowControl w:val="0"/>
        <w:tabs>
          <w:tab w:val="left" w:pos="3454"/>
        </w:tabs>
        <w:kinsoku/>
        <w:wordWrap/>
        <w:overflowPunct/>
        <w:topLinePunct w:val="0"/>
        <w:autoSpaceDE/>
        <w:autoSpaceDN/>
        <w:bidi w:val="0"/>
        <w:adjustRightInd/>
        <w:snapToGrid/>
        <w:spacing w:line="360" w:lineRule="auto"/>
        <w:jc w:val="center"/>
        <w:textAlignment w:val="auto"/>
        <w:rPr>
          <w:rFonts w:hint="eastAsia"/>
          <w:b/>
          <w:bCs/>
          <w:sz w:val="32"/>
          <w:szCs w:val="32"/>
          <w:lang w:val="en-US" w:eastAsia="zh-CN"/>
        </w:rPr>
      </w:pPr>
      <w:r>
        <w:rPr>
          <w:rFonts w:hint="eastAsia"/>
          <w:b/>
          <w:bCs/>
          <w:sz w:val="32"/>
          <w:szCs w:val="32"/>
          <w:lang w:val="en-US" w:eastAsia="zh-CN"/>
        </w:rPr>
        <w:t>1、 扩大国家免疫规划</w:t>
      </w:r>
    </w:p>
    <w:p>
      <w:pPr>
        <w:ind w:firstLine="64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（一）免疫规划管理</w:t>
      </w:r>
    </w:p>
    <w:p>
      <w:pPr>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1、冷链设备管理。建立健全了冷链设备档案。</w:t>
      </w:r>
    </w:p>
    <w:p>
      <w:pPr>
        <w:spacing w:line="580" w:lineRule="exact"/>
        <w:ind w:firstLine="645"/>
        <w:rPr>
          <w:rFonts w:ascii="仿宋_GB2312" w:hAnsi="方正大标宋简体" w:eastAsia="仿宋_GB2312"/>
          <w:sz w:val="32"/>
          <w:szCs w:val="32"/>
        </w:rPr>
      </w:pPr>
      <w:r>
        <w:rPr>
          <w:rFonts w:hint="eastAsia" w:ascii="仿宋_GB2312" w:hAnsi="仿宋_GB2312" w:eastAsia="仿宋_GB2312" w:cs="仿宋_GB2312"/>
          <w:sz w:val="32"/>
          <w:szCs w:val="32"/>
        </w:rPr>
        <w:t>2、疫苗使用管理。按正规渠道购进疫苗，有真实完整的疫苗出入库记录，疫苗存放规范，做到冷链设备中无过期失效疫苗，报废疫苗回收至区疾控中心统一销毁。</w:t>
      </w:r>
    </w:p>
    <w:p>
      <w:pPr>
        <w:spacing w:line="580" w:lineRule="exact"/>
        <w:ind w:firstLine="645"/>
        <w:rPr>
          <w:rFonts w:ascii="楷体" w:hAnsi="楷体" w:eastAsia="楷体" w:cs="楷体"/>
          <w:b/>
          <w:bCs/>
          <w:sz w:val="32"/>
          <w:szCs w:val="32"/>
        </w:rPr>
      </w:pPr>
      <w:r>
        <w:rPr>
          <w:rFonts w:hint="eastAsia" w:ascii="楷体" w:hAnsi="楷体" w:eastAsia="楷体" w:cs="楷体"/>
          <w:b/>
          <w:bCs/>
          <w:sz w:val="32"/>
          <w:szCs w:val="32"/>
        </w:rPr>
        <w:t>（二）常规预防接种</w:t>
      </w:r>
    </w:p>
    <w:p>
      <w:pPr>
        <w:spacing w:line="580" w:lineRule="exact"/>
        <w:ind w:firstLine="640" w:firstLineChars="200"/>
        <w:rPr>
          <w:rFonts w:hint="eastAsia" w:ascii="仿宋" w:hAnsi="仿宋" w:eastAsia="仿宋" w:cs="仿宋"/>
          <w:b/>
          <w:bCs/>
          <w:sz w:val="32"/>
          <w:szCs w:val="32"/>
        </w:rPr>
      </w:pPr>
      <w:r>
        <w:rPr>
          <w:rFonts w:hint="eastAsia" w:ascii="仿宋" w:hAnsi="仿宋" w:eastAsia="仿宋" w:cs="仿宋"/>
          <w:sz w:val="32"/>
          <w:szCs w:val="32"/>
        </w:rPr>
        <w:t>1.免疫接种</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按照国家免疫规划要求，认真组织实施了常规免疫接种工作，提高了疫苗接种率。</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今年1-12月份共接种免疫规划疫苗40524剂次，非免疫规划疫苗66382剂次（新冠疫苗</w:t>
      </w:r>
      <w:r>
        <w:rPr>
          <w:rFonts w:hint="eastAsia" w:ascii="仿宋" w:hAnsi="仿宋" w:eastAsia="仿宋" w:cs="仿宋"/>
          <w:sz w:val="32"/>
          <w:szCs w:val="32"/>
          <w:lang w:val="en-US" w:eastAsia="zh-CN"/>
        </w:rPr>
        <w:t>除外</w:t>
      </w:r>
      <w:r>
        <w:rPr>
          <w:rFonts w:hint="eastAsia" w:ascii="仿宋" w:hAnsi="仿宋" w:eastAsia="仿宋" w:cs="仿宋"/>
          <w:sz w:val="32"/>
          <w:szCs w:val="32"/>
        </w:rPr>
        <w:t>），月报表报告的免疫规划疫苗基础免疫和加强免疫接种率均达到了98%以上。</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今年共报告疑似预防接种异常反应48例，报告发生率乡镇（社区）覆盖率100%，48小时内报告率100%，规范处置率100%。</w:t>
      </w:r>
    </w:p>
    <w:p>
      <w:pPr>
        <w:spacing w:line="580" w:lineRule="exact"/>
        <w:ind w:firstLine="640" w:firstLineChars="200"/>
        <w:outlineLvl w:val="8"/>
        <w:rPr>
          <w:rFonts w:hint="eastAsia" w:ascii="仿宋" w:hAnsi="仿宋" w:eastAsia="仿宋" w:cs="仿宋"/>
          <w:sz w:val="32"/>
          <w:szCs w:val="32"/>
        </w:rPr>
      </w:pPr>
      <w:r>
        <w:rPr>
          <w:rFonts w:hint="eastAsia" w:ascii="仿宋" w:hAnsi="仿宋" w:eastAsia="仿宋" w:cs="仿宋"/>
          <w:sz w:val="32"/>
          <w:szCs w:val="32"/>
        </w:rPr>
        <w:t>2.疫苗管理</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加强了疫苗的管理，确保疫苗质量和安全。建立健全了冷链设备档案，做到了专人管理、专用，所有冷链设备开展了每天两次温度监测。</w:t>
      </w:r>
    </w:p>
    <w:p>
      <w:pPr>
        <w:jc w:val="left"/>
        <w:rPr>
          <w:rFonts w:hint="eastAsia" w:ascii="仿宋" w:hAnsi="仿宋" w:eastAsia="仿宋" w:cs="仿宋"/>
          <w:sz w:val="32"/>
          <w:szCs w:val="32"/>
        </w:rPr>
      </w:pPr>
      <w:r>
        <w:rPr>
          <w:rFonts w:hint="eastAsia" w:ascii="仿宋" w:hAnsi="仿宋" w:eastAsia="仿宋" w:cs="仿宋"/>
          <w:sz w:val="32"/>
          <w:szCs w:val="32"/>
        </w:rPr>
        <w:t>正规渠道购进疫苗，疫苗出入库记录真实完整，疫苗存放规范，做到冷链设备中无过期失效疫苗，报废疫苗回收至区疾控中心统一销毁。免疫规划疫苗免费供应，非免疫规划疫苗采购规范合法。坚持疫苗冷链运输，并对疫苗运输情况进行了记录。</w:t>
      </w:r>
    </w:p>
    <w:p>
      <w:pPr>
        <w:jc w:val="left"/>
        <w:rPr>
          <w:rFonts w:ascii="仿宋" w:hAnsi="仿宋" w:eastAsia="仿宋" w:cs="仿宋"/>
          <w:b/>
          <w:bCs/>
          <w:sz w:val="32"/>
          <w:szCs w:val="32"/>
        </w:rPr>
      </w:pPr>
      <w:r>
        <w:rPr>
          <w:rFonts w:hint="eastAsia" w:ascii="仿宋" w:hAnsi="仿宋" w:eastAsia="仿宋" w:cs="仿宋"/>
          <w:sz w:val="32"/>
          <w:szCs w:val="32"/>
        </w:rPr>
        <w:t xml:space="preserve">    </w:t>
      </w:r>
      <w:r>
        <w:rPr>
          <w:rFonts w:hint="eastAsia" w:ascii="楷体" w:hAnsi="楷体" w:eastAsia="楷体" w:cs="楷体"/>
          <w:b/>
          <w:bCs/>
          <w:sz w:val="32"/>
          <w:szCs w:val="32"/>
        </w:rPr>
        <w:t>（三）免疫规划宣传</w:t>
      </w:r>
    </w:p>
    <w:p>
      <w:pPr>
        <w:ind w:firstLine="681" w:firstLineChars="213"/>
        <w:rPr>
          <w:rFonts w:ascii="仿宋_GB2312" w:hAnsi="仿宋_GB2312" w:eastAsia="仿宋_GB2312"/>
          <w:sz w:val="30"/>
        </w:rPr>
      </w:pPr>
      <w:r>
        <w:rPr>
          <w:rFonts w:hint="eastAsia" w:ascii="仿宋_GB2312" w:hAnsi="仿宋_GB2312" w:eastAsia="仿宋_GB2312" w:cs="仿宋_GB2312"/>
          <w:sz w:val="32"/>
          <w:szCs w:val="32"/>
        </w:rPr>
        <w:t>采取经常性宣传和预防接种宣传活动相结合的办法，通过宣传，全面提升了群众对疫苗的认知，提高了接种疫苗的积极性。</w:t>
      </w:r>
    </w:p>
    <w:p>
      <w:pPr>
        <w:spacing w:line="580" w:lineRule="exact"/>
        <w:ind w:firstLine="645"/>
        <w:rPr>
          <w:rFonts w:ascii="楷体" w:hAnsi="楷体" w:eastAsia="楷体" w:cs="楷体"/>
          <w:b/>
          <w:bCs/>
          <w:sz w:val="32"/>
          <w:szCs w:val="32"/>
        </w:rPr>
      </w:pPr>
      <w:r>
        <w:rPr>
          <w:rFonts w:hint="eastAsia" w:ascii="楷体" w:hAnsi="楷体" w:eastAsia="楷体" w:cs="楷体"/>
          <w:b/>
          <w:bCs/>
          <w:sz w:val="32"/>
          <w:szCs w:val="32"/>
        </w:rPr>
        <w:t>（四）免疫规划培训</w:t>
      </w:r>
    </w:p>
    <w:p>
      <w:pPr>
        <w:ind w:firstLine="640" w:firstLineChars="200"/>
        <w:rPr>
          <w:rFonts w:ascii="仿宋_GB2312" w:hAnsi="仿宋_GB2312" w:eastAsia="仿宋_GB2312"/>
          <w:color w:val="0000FF"/>
          <w:sz w:val="30"/>
        </w:rPr>
      </w:pPr>
      <w:r>
        <w:rPr>
          <w:rFonts w:hint="eastAsia" w:ascii="仿宋_GB2312" w:hAnsi="方正大标宋简体" w:eastAsia="仿宋_GB2312"/>
          <w:sz w:val="32"/>
          <w:szCs w:val="32"/>
        </w:rPr>
        <w:t>免疫规划科</w:t>
      </w:r>
      <w:r>
        <w:rPr>
          <w:rFonts w:hint="eastAsia" w:ascii="仿宋_GB2312" w:hAnsi="方正大标宋简体"/>
          <w:sz w:val="32"/>
          <w:szCs w:val="32"/>
          <w:lang w:eastAsia="zh-CN"/>
        </w:rPr>
        <w:t>2023年</w:t>
      </w:r>
      <w:r>
        <w:rPr>
          <w:rFonts w:hint="eastAsia" w:ascii="仿宋_GB2312" w:hAnsi="方正大标宋简体" w:eastAsia="仿宋_GB2312"/>
          <w:sz w:val="32"/>
          <w:szCs w:val="32"/>
        </w:rPr>
        <w:t>对下级单位现场培训共</w:t>
      </w:r>
      <w:r>
        <w:rPr>
          <w:rFonts w:hint="eastAsia" w:ascii="仿宋_GB2312" w:hAnsi="方正大标宋简体"/>
          <w:sz w:val="32"/>
          <w:szCs w:val="32"/>
          <w:lang w:val="en-US" w:eastAsia="zh-CN"/>
        </w:rPr>
        <w:t>4</w:t>
      </w:r>
      <w:r>
        <w:rPr>
          <w:rFonts w:hint="eastAsia" w:ascii="仿宋_GB2312" w:hAnsi="方正大标宋简体" w:eastAsia="仿宋_GB2312"/>
          <w:sz w:val="32"/>
          <w:szCs w:val="32"/>
        </w:rPr>
        <w:t>次。</w:t>
      </w:r>
    </w:p>
    <w:p>
      <w:pPr>
        <w:keepNext w:val="0"/>
        <w:keepLines w:val="0"/>
        <w:pageBreakBefore w:val="0"/>
        <w:widowControl w:val="0"/>
        <w:tabs>
          <w:tab w:val="left" w:pos="3454"/>
        </w:tabs>
        <w:kinsoku/>
        <w:wordWrap/>
        <w:overflowPunct/>
        <w:topLinePunct w:val="0"/>
        <w:autoSpaceDE/>
        <w:autoSpaceDN/>
        <w:bidi w:val="0"/>
        <w:adjustRightInd/>
        <w:snapToGrid/>
        <w:spacing w:line="360" w:lineRule="auto"/>
        <w:jc w:val="center"/>
        <w:textAlignment w:val="auto"/>
        <w:rPr>
          <w:rFonts w:hint="eastAsia"/>
          <w:b/>
          <w:bCs/>
          <w:sz w:val="32"/>
          <w:szCs w:val="32"/>
          <w:lang w:val="en-US" w:eastAsia="zh-CN"/>
        </w:rPr>
      </w:pPr>
      <w:r>
        <w:rPr>
          <w:rFonts w:hint="eastAsia"/>
          <w:b/>
          <w:bCs/>
          <w:sz w:val="32"/>
          <w:szCs w:val="32"/>
          <w:lang w:val="en-US" w:eastAsia="zh-CN"/>
        </w:rPr>
        <w:t>2、 艾滋病防治</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截止12月31日，全区成人在治人数307人，儿童在治人数2人，抗病毒治疗率（309/323）95.66%。</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2023年12月</w:t>
      </w:r>
      <w:r>
        <w:rPr>
          <w:rFonts w:hint="eastAsia" w:ascii="仿宋" w:hAnsi="仿宋" w:eastAsia="仿宋" w:cs="仿宋"/>
          <w:sz w:val="32"/>
          <w:szCs w:val="32"/>
          <w:lang w:val="en-US" w:eastAsia="zh-CN"/>
        </w:rPr>
        <w:t>3</w:t>
      </w:r>
      <w:r>
        <w:rPr>
          <w:rFonts w:hint="eastAsia" w:ascii="仿宋" w:hAnsi="仿宋" w:eastAsia="仿宋" w:cs="仿宋"/>
          <w:sz w:val="32"/>
          <w:szCs w:val="32"/>
        </w:rPr>
        <w:t>1日，按现住址+现存活统计全区管理HIV/AIDS 323人，2023年报告死亡4例。定期对HIV感染者和病人进行健康随访，CD4检测314人，CD4检测比例97.21%；配偶/固定性伴HIV应检测66人，已检测65人，检测比例98.48%；</w:t>
      </w:r>
    </w:p>
    <w:p>
      <w:pPr>
        <w:keepNext w:val="0"/>
        <w:keepLines w:val="0"/>
        <w:pageBreakBefore w:val="0"/>
        <w:widowControl w:val="0"/>
        <w:tabs>
          <w:tab w:val="left" w:pos="3454"/>
        </w:tabs>
        <w:kinsoku/>
        <w:wordWrap/>
        <w:overflowPunct/>
        <w:topLinePunct w:val="0"/>
        <w:autoSpaceDE/>
        <w:autoSpaceDN/>
        <w:bidi w:val="0"/>
        <w:adjustRightInd/>
        <w:snapToGrid/>
        <w:spacing w:line="360" w:lineRule="auto"/>
        <w:jc w:val="center"/>
        <w:textAlignment w:val="auto"/>
        <w:rPr>
          <w:rFonts w:hint="eastAsia"/>
          <w:b/>
          <w:bCs/>
          <w:sz w:val="32"/>
          <w:szCs w:val="32"/>
          <w:lang w:val="en-US" w:eastAsia="zh-CN"/>
        </w:rPr>
      </w:pPr>
      <w:r>
        <w:rPr>
          <w:rFonts w:hint="eastAsia"/>
          <w:b/>
          <w:bCs/>
          <w:sz w:val="32"/>
          <w:szCs w:val="32"/>
          <w:lang w:val="en-US" w:eastAsia="zh-CN"/>
        </w:rPr>
        <w:t>3、结核病防治</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结核病应检查323人，已检查323人，结核检测比例100%。</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门诊人数2416人，发现活动性肺结核患者238例，发病率67.09/10万。其中新发215例,复治23例；阳性患者182例，阴性患者45例，单纯结核性胸膜炎8例，肺外结核1例，非结核分枝杆菌肺病2例。疑似肺结核患者追踪到位率99.46%、高危人群耐药筛查率96.15%、病原学阳性患者耐药筛查率99.24%、利福平耐药患者纳入治疗率100%、肺结核患者规范管理率98.69%、规则服药率97.26%，各项数据均达到国（省）标。</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对区属及驻区各级各类学校、幼儿园秋学期入学新生进行了结核病筛查, 应筛查学校（托幼机构）139所,实际筛查139所,筛查率100％。应筛查学生12055人,实际筛查学生12048人,筛查率99.9％。筛查检出EC阳性学生99人,检出率0.82％。筛查出肺结核（涂阳）病例1例，肺结核临床诊断病例1例，已按要求进行处置。</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潘炜同志被湖南省疾病预防控制中心评为湖南省遏制结核病行动计划先进个人；</w:t>
      </w:r>
    </w:p>
    <w:p>
      <w:pPr>
        <w:spacing w:line="580" w:lineRule="exact"/>
        <w:rPr>
          <w:rFonts w:ascii="仿宋" w:hAnsi="仿宋" w:eastAsia="仿宋" w:cs="仿宋"/>
          <w:b/>
          <w:bCs/>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（十）职业体检，保护人群</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组织辖区68家企业有岗位职业危害因素的5458名从业人员进行了职业健康体检，有效遏制了职业病在我区的发生。</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方文卫同志被益阳市卫健委评为卫生应急工作先进个人及职业健康工作先进个人；</w:t>
      </w:r>
    </w:p>
    <w:p>
      <w:pPr>
        <w:keepNext w:val="0"/>
        <w:keepLines w:val="0"/>
        <w:pageBreakBefore w:val="0"/>
        <w:widowControl w:val="0"/>
        <w:tabs>
          <w:tab w:val="left" w:pos="3454"/>
        </w:tabs>
        <w:kinsoku/>
        <w:wordWrap/>
        <w:overflowPunct/>
        <w:topLinePunct w:val="0"/>
        <w:autoSpaceDE/>
        <w:autoSpaceDN/>
        <w:bidi w:val="0"/>
        <w:adjustRightInd/>
        <w:snapToGrid/>
        <w:spacing w:line="360" w:lineRule="auto"/>
        <w:jc w:val="center"/>
        <w:textAlignment w:val="auto"/>
        <w:rPr>
          <w:rFonts w:hint="eastAsia"/>
          <w:b/>
          <w:bCs/>
          <w:sz w:val="32"/>
          <w:szCs w:val="32"/>
          <w:lang w:val="en-US" w:eastAsia="zh-CN"/>
        </w:rPr>
      </w:pPr>
      <w:r>
        <w:rPr>
          <w:rFonts w:hint="eastAsia"/>
          <w:b/>
          <w:bCs/>
          <w:sz w:val="32"/>
          <w:szCs w:val="32"/>
          <w:lang w:val="en-US" w:eastAsia="zh-CN"/>
        </w:rPr>
        <w:t>4、慢性病防治</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落实慢性病项目综合监测、干预和评估工作，开展2023年中国居民慢性病及危险因素监测工作，共调查和体检730人，圆满完成资阳区监测点现场调查和体检工作。</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累计建立居民电子健康档案337603份，居民建档率为82.33%；建立老年人健康档案55503份，开展健康体检38910人，老年人健康管理率为70.10%；已建档管理高血压患者33116份，规范管理率为76.24%；已建档管理糖尿病患者10293份，规范管理率为78.00%。</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死因监测工作。截止至2023年12月 31 日，人口死亡登记管理信息系统中共报告审核死亡卡2992 张，分月死亡率达到国家监测点要求。</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全年共收集肿瘤登记新病例1253例，累计11420例，肿瘤登记病例电话随访3500余例。</w:t>
      </w:r>
    </w:p>
    <w:p>
      <w:pPr>
        <w:pStyle w:val="8"/>
        <w:rPr>
          <w:rFonts w:hint="eastAsia"/>
          <w:lang w:val="en-US" w:eastAsia="zh-CN"/>
        </w:rPr>
      </w:pPr>
    </w:p>
    <w:p>
      <w:pPr>
        <w:keepNext w:val="0"/>
        <w:keepLines w:val="0"/>
        <w:pageBreakBefore w:val="0"/>
        <w:widowControl w:val="0"/>
        <w:tabs>
          <w:tab w:val="left" w:pos="3454"/>
        </w:tabs>
        <w:kinsoku/>
        <w:wordWrap/>
        <w:overflowPunct/>
        <w:topLinePunct w:val="0"/>
        <w:autoSpaceDE/>
        <w:autoSpaceDN/>
        <w:bidi w:val="0"/>
        <w:adjustRightInd/>
        <w:snapToGrid/>
        <w:spacing w:line="360" w:lineRule="auto"/>
        <w:jc w:val="center"/>
        <w:textAlignment w:val="auto"/>
        <w:rPr>
          <w:rFonts w:hint="eastAsia"/>
          <w:b/>
          <w:bCs/>
          <w:sz w:val="32"/>
          <w:szCs w:val="32"/>
          <w:lang w:val="en-US" w:eastAsia="zh-CN"/>
        </w:rPr>
      </w:pPr>
      <w:r>
        <w:rPr>
          <w:rFonts w:hint="eastAsia"/>
          <w:b/>
          <w:bCs/>
          <w:sz w:val="32"/>
          <w:szCs w:val="32"/>
          <w:lang w:val="en-US" w:eastAsia="zh-CN"/>
        </w:rPr>
        <w:t>5.传染病防治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val="0"/>
          <w:bCs w:val="0"/>
          <w:sz w:val="32"/>
          <w:szCs w:val="32"/>
          <w:lang w:eastAsia="zh-CN"/>
        </w:rPr>
      </w:pPr>
      <w:r>
        <w:rPr>
          <w:rFonts w:hint="eastAsia" w:ascii="仿宋_GB2312" w:hAnsi="仿宋_GB2312" w:eastAsia="仿宋_GB2312" w:cs="仿宋_GB2312"/>
          <w:b/>
          <w:bCs/>
          <w:sz w:val="32"/>
          <w:szCs w:val="32"/>
        </w:rPr>
        <w:t>（一）</w:t>
      </w:r>
      <w:r>
        <w:rPr>
          <w:rFonts w:hint="eastAsia" w:ascii="黑体" w:hAnsi="黑体" w:eastAsia="黑体" w:cs="黑体"/>
          <w:b w:val="0"/>
          <w:bCs w:val="0"/>
          <w:sz w:val="32"/>
          <w:szCs w:val="32"/>
        </w:rPr>
        <w:t>传染病疫情网络直报和死亡病例报告管理</w:t>
      </w:r>
    </w:p>
    <w:p>
      <w:pPr>
        <w:spacing w:line="580" w:lineRule="exact"/>
        <w:rPr>
          <w:rFonts w:hint="eastAsia" w:ascii="仿宋" w:hAnsi="仿宋" w:eastAsia="仿宋" w:cs="仿宋"/>
          <w:sz w:val="32"/>
          <w:szCs w:val="32"/>
        </w:rPr>
      </w:pPr>
      <w:r>
        <w:rPr>
          <w:rFonts w:hint="eastAsia" w:ascii="仿宋" w:hAnsi="仿宋" w:eastAsia="仿宋" w:cs="仿宋"/>
          <w:color w:val="C00000"/>
          <w:sz w:val="32"/>
          <w:szCs w:val="32"/>
        </w:rPr>
        <w:t xml:space="preserve"> </w:t>
      </w:r>
      <w:r>
        <w:rPr>
          <w:rFonts w:hint="eastAsia" w:ascii="仿宋" w:hAnsi="仿宋" w:eastAsia="仿宋" w:cs="仿宋"/>
          <w:sz w:val="32"/>
          <w:szCs w:val="32"/>
        </w:rPr>
        <w:t>2023年中心圆满完成了全区传染病监测工作，按照发病日期统计，全年，我区共报告甲乙丙类法定传染病5826张，报告发病率为1614.16/10万，无甲类传染病报告，乙类传染病共报告2450张，报告发病率为678.80/10万，丙类传染病共报告3376张，报告发病率为935.36/10万</w:t>
      </w:r>
      <w:r>
        <w:rPr>
          <w:rFonts w:hint="eastAsia" w:ascii="仿宋" w:hAnsi="仿宋" w:eastAsia="仿宋" w:cs="仿宋"/>
          <w:color w:val="C00000"/>
          <w:sz w:val="32"/>
          <w:szCs w:val="32"/>
        </w:rPr>
        <w:t>。</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新型冠状病毒感染监测：2023年全年度，我区共复采62份新冠新发病例核酸阳性样本，其中32份满足基因测序要求，已送样至市疾控完成基因测序工作，其中10管查出为变异株，已完成相关流行病学个案调查工作。2023年全年度未报告新冠病毒感染暴发疫情。每周关注新型冠状病毒感染新发病例情况。针对我区新型冠状病毒感染现状，已完成一次专题风险评估和以新冠为重点的三次季度风险评估；</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手足口病监测：全年共报告手足口病病例408例，已采集50例就诊普通病例标本进行病原学检测；</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麻疹、风疹及AFP监测：2023年全年，全区共报告麻疹风疹疑似病例10例，排除10例，排除病例报告发生率为2.78/10万。AFP报告病例数为2例，排除2例，报告发生率为3.36/10万；</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麻风病监测：联合益阳市大福皮肤病防治所对我区居民开展麻风病症状监测工作，并在茈湖口祁青村开展了一次麻风病疫点调查监测工作，于规定时间内超额完成麻风病症状监测工作，搜索病例共73人，确诊0例。</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已完成52次传染病和突发公共卫生事件监测数据周报、12次传染病和突发公共卫生事件监测数据月报和52次国内外传染病信息检索舆情监测周报。</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根据针对各重点传染病监测结果，已完成3次专题风险评估，2次月度风险评估和4次季度风险评估，风险评估结果已及时上报给区卫健局。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val="0"/>
          <w:bCs w:val="0"/>
          <w:sz w:val="32"/>
          <w:szCs w:val="32"/>
          <w:lang w:eastAsia="zh-CN"/>
        </w:rPr>
      </w:pPr>
      <w:r>
        <w:rPr>
          <w:rFonts w:hint="eastAsia" w:ascii="仿宋_GB2312" w:hAnsi="仿宋_GB2312" w:eastAsia="仿宋_GB2312" w:cs="仿宋_GB2312"/>
          <w:b/>
          <w:bCs/>
          <w:sz w:val="32"/>
          <w:szCs w:val="32"/>
        </w:rPr>
        <w:t>（</w:t>
      </w:r>
      <w:r>
        <w:rPr>
          <w:rFonts w:hint="eastAsia" w:ascii="仿宋_GB2312" w:hAnsi="仿宋_GB2312" w:cs="仿宋_GB2312"/>
          <w:b/>
          <w:bCs/>
          <w:sz w:val="32"/>
          <w:szCs w:val="32"/>
          <w:lang w:val="en-US" w:eastAsia="zh-CN"/>
        </w:rPr>
        <w:t>二</w:t>
      </w:r>
      <w:r>
        <w:rPr>
          <w:rFonts w:hint="eastAsia" w:ascii="仿宋_GB2312" w:hAnsi="仿宋_GB2312" w:eastAsia="仿宋_GB2312" w:cs="仿宋_GB2312"/>
          <w:b/>
          <w:bCs/>
          <w:sz w:val="32"/>
          <w:szCs w:val="32"/>
        </w:rPr>
        <w:t>）</w:t>
      </w:r>
      <w:r>
        <w:rPr>
          <w:rFonts w:hint="eastAsia" w:ascii="黑体" w:hAnsi="黑体" w:eastAsia="黑体" w:cs="黑体"/>
          <w:b w:val="0"/>
          <w:bCs w:val="0"/>
          <w:sz w:val="32"/>
          <w:szCs w:val="32"/>
          <w:lang w:eastAsia="zh-CN"/>
        </w:rPr>
        <w:t>突发公共卫生应急事件管理</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截止至12月30日，无甲、乙类传染病暴发疫情；及时、科学、规范处置30起疑似学校传染病聚集性疫情，无学校暴发疫情出现，无医院内感染引起的暴发疫情及死亡事故病例报告。</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落实24小时应急值班制度，增加了应急物质的储备，规范应急物资管理制度。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承办并完成了一起新冠病毒感染疫情应急处置桌面演练，并且在益阳市新冠疫情调查处置演练竞赛中获得团体二等奖</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val="0"/>
          <w:bCs w:val="0"/>
          <w:sz w:val="32"/>
          <w:szCs w:val="32"/>
          <w:lang w:eastAsia="zh-CN"/>
        </w:rPr>
      </w:pPr>
      <w:r>
        <w:rPr>
          <w:rFonts w:hint="eastAsia" w:ascii="仿宋_GB2312" w:hAnsi="仿宋_GB2312" w:eastAsia="仿宋_GB2312" w:cs="仿宋_GB2312"/>
          <w:b/>
          <w:bCs/>
          <w:sz w:val="32"/>
          <w:szCs w:val="32"/>
        </w:rPr>
        <w:t>（</w:t>
      </w:r>
      <w:r>
        <w:rPr>
          <w:rFonts w:hint="eastAsia" w:ascii="仿宋_GB2312" w:hAnsi="仿宋_GB2312" w:cs="仿宋_GB2312"/>
          <w:b/>
          <w:bCs/>
          <w:sz w:val="32"/>
          <w:szCs w:val="32"/>
          <w:lang w:val="en-US" w:eastAsia="zh-CN"/>
        </w:rPr>
        <w:t>三</w:t>
      </w:r>
      <w:r>
        <w:rPr>
          <w:rFonts w:hint="eastAsia" w:ascii="仿宋_GB2312" w:hAnsi="仿宋_GB2312" w:eastAsia="仿宋_GB2312" w:cs="仿宋_GB2312"/>
          <w:b/>
          <w:bCs/>
          <w:sz w:val="32"/>
          <w:szCs w:val="32"/>
        </w:rPr>
        <w:t>）</w:t>
      </w:r>
      <w:r>
        <w:rPr>
          <w:rFonts w:hint="eastAsia" w:ascii="黑体" w:hAnsi="黑体" w:eastAsia="黑体" w:cs="黑体"/>
          <w:b w:val="0"/>
          <w:bCs w:val="0"/>
          <w:sz w:val="32"/>
          <w:szCs w:val="32"/>
          <w:lang w:eastAsia="zh-CN"/>
        </w:rPr>
        <w:t>重点传染病防治工作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落实</w:t>
      </w:r>
      <w:r>
        <w:rPr>
          <w:rFonts w:hint="eastAsia" w:ascii="仿宋_GB2312" w:hAnsi="仿宋_GB2312" w:eastAsia="仿宋_GB2312" w:cs="仿宋_GB2312"/>
          <w:sz w:val="32"/>
          <w:szCs w:val="32"/>
        </w:rPr>
        <w:t>新冠肺炎</w:t>
      </w:r>
      <w:r>
        <w:rPr>
          <w:rFonts w:hint="eastAsia" w:ascii="仿宋_GB2312" w:hAnsi="仿宋_GB2312" w:eastAsia="仿宋_GB2312" w:cs="仿宋_GB2312"/>
          <w:sz w:val="32"/>
          <w:szCs w:val="32"/>
          <w:lang w:val="en-US" w:eastAsia="zh-CN"/>
        </w:rPr>
        <w:t>常态化</w:t>
      </w:r>
      <w:r>
        <w:rPr>
          <w:rFonts w:hint="eastAsia" w:ascii="仿宋_GB2312" w:hAnsi="仿宋_GB2312" w:eastAsia="仿宋_GB2312" w:cs="仿宋_GB2312"/>
          <w:sz w:val="32"/>
          <w:szCs w:val="32"/>
        </w:rPr>
        <w:t>防控工作，开展多次学校、工厂企业疫情防控督导，开展了多次关于新冠肺炎防控相关技术指南知识培训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对重点涉疫人群开展流行病学调查，截至</w:t>
      </w:r>
      <w:r>
        <w:rPr>
          <w:rFonts w:hint="eastAsia" w:ascii="仿宋_GB2312" w:hAnsi="仿宋_GB2312" w:cs="仿宋_GB2312"/>
          <w:sz w:val="32"/>
          <w:szCs w:val="32"/>
          <w:lang w:val="en-US" w:eastAsia="zh-CN"/>
        </w:rPr>
        <w:t>2023年</w:t>
      </w:r>
      <w:r>
        <w:rPr>
          <w:rFonts w:hint="eastAsia" w:ascii="仿宋_GB2312" w:hAnsi="仿宋_GB2312" w:eastAsia="仿宋_GB2312" w:cs="仿宋_GB2312"/>
          <w:sz w:val="32"/>
          <w:szCs w:val="32"/>
          <w:lang w:val="en-US" w:eastAsia="zh-CN"/>
        </w:rPr>
        <w:t>12月</w:t>
      </w:r>
      <w:r>
        <w:rPr>
          <w:rFonts w:hint="eastAsia" w:ascii="仿宋_GB2312" w:hAnsi="仿宋_GB2312" w:cs="仿宋_GB2312"/>
          <w:sz w:val="32"/>
          <w:szCs w:val="32"/>
          <w:lang w:val="en-US" w:eastAsia="zh-CN"/>
        </w:rPr>
        <w:t>31</w:t>
      </w:r>
      <w:r>
        <w:rPr>
          <w:rFonts w:hint="eastAsia" w:ascii="仿宋_GB2312" w:hAnsi="仿宋_GB2312" w:eastAsia="仿宋_GB2312" w:cs="仿宋_GB2312"/>
          <w:sz w:val="32"/>
          <w:szCs w:val="32"/>
          <w:lang w:val="en-US" w:eastAsia="zh-CN"/>
        </w:rPr>
        <w:t xml:space="preserve">日共调查处置涉疫事件30余起，追踪管理新冠确诊病例6人、无症状感染者11人、复阳人员1人、阳性检测者9人、密接467人、次密接674人，潜在密接102人。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2、完成</w:t>
      </w:r>
      <w:r>
        <w:rPr>
          <w:rFonts w:hint="eastAsia" w:ascii="仿宋_GB2312" w:hAnsi="仿宋_GB2312" w:eastAsia="仿宋_GB2312" w:cs="仿宋_GB2312"/>
          <w:sz w:val="32"/>
          <w:szCs w:val="32"/>
        </w:rPr>
        <w:t>了流感及人禽流感防治工作，充分利用三级大疫情网络直报的基础，掌握全区疫情动态，做好了监测工作，截止至今开展活禽市场环境标本监测1次，监测从业人员采样5份，无禽流感阳性标本。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、开展了以霍乱</w:t>
      </w:r>
      <w:r>
        <w:rPr>
          <w:rFonts w:hint="eastAsia" w:ascii="仿宋_GB2312" w:hAnsi="仿宋_GB2312" w:eastAsia="仿宋_GB2312" w:cs="仿宋_GB2312"/>
          <w:color w:val="auto"/>
          <w:sz w:val="32"/>
          <w:szCs w:val="32"/>
          <w:lang w:eastAsia="zh-CN"/>
        </w:rPr>
        <w:t>为重点的</w:t>
      </w:r>
      <w:r>
        <w:rPr>
          <w:rFonts w:hint="eastAsia" w:ascii="仿宋_GB2312" w:hAnsi="仿宋_GB2312" w:eastAsia="仿宋_GB2312" w:cs="仿宋_GB2312"/>
          <w:color w:val="auto"/>
          <w:sz w:val="32"/>
          <w:szCs w:val="32"/>
        </w:rPr>
        <w:t>肠道传染病防控工作，加强了医疗卫生单位肠道门诊的规范化建设。按《湖南省腹泻病门诊工作规</w:t>
      </w:r>
      <w:r>
        <w:rPr>
          <w:rFonts w:hint="eastAsia" w:ascii="仿宋_GB2312" w:hAnsi="仿宋_GB2312" w:eastAsia="仿宋_GB2312" w:cs="仿宋_GB2312"/>
          <w:color w:val="auto"/>
          <w:sz w:val="32"/>
          <w:szCs w:val="32"/>
          <w:lang w:eastAsia="zh-CN"/>
        </w:rPr>
        <w:t>范</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要求</w:t>
      </w:r>
      <w:r>
        <w:rPr>
          <w:rFonts w:hint="eastAsia" w:ascii="仿宋_GB2312" w:hAnsi="仿宋_GB2312" w:eastAsia="仿宋_GB2312" w:cs="仿宋_GB2312"/>
          <w:color w:val="auto"/>
          <w:sz w:val="32"/>
          <w:szCs w:val="32"/>
        </w:rPr>
        <w:t>做好了各级医疗单位的督查，截止至今无霍乱疫情发生</w:t>
      </w:r>
      <w:r>
        <w:rPr>
          <w:rFonts w:hint="eastAsia" w:ascii="仿宋_GB2312" w:hAnsi="仿宋_GB2312" w:eastAsia="仿宋_GB2312" w:cs="仿宋_GB2312"/>
          <w:color w:val="auto"/>
          <w:sz w:val="32"/>
          <w:szCs w:val="32"/>
          <w:lang w:eastAsia="zh-CN"/>
        </w:rPr>
        <w:t>。如期完</w:t>
      </w:r>
      <w:r>
        <w:rPr>
          <w:rFonts w:hint="eastAsia" w:ascii="仿宋_GB2312" w:hAnsi="仿宋_GB2312" w:eastAsia="仿宋_GB2312" w:cs="仿宋_GB2312"/>
          <w:color w:val="auto"/>
          <w:sz w:val="32"/>
          <w:szCs w:val="32"/>
        </w:rPr>
        <w:t>成了霍乱内外环境疫源检索任务,</w:t>
      </w:r>
      <w:r>
        <w:rPr>
          <w:rFonts w:hint="eastAsia" w:ascii="仿宋_GB2312" w:hAnsi="仿宋_GB2312" w:eastAsia="仿宋_GB2312" w:cs="仿宋_GB2312"/>
          <w:color w:val="auto"/>
          <w:sz w:val="32"/>
          <w:szCs w:val="32"/>
          <w:lang w:val="en-US" w:eastAsia="zh-CN"/>
        </w:rPr>
        <w:t>截至</w:t>
      </w:r>
      <w:r>
        <w:rPr>
          <w:rFonts w:hint="eastAsia" w:ascii="仿宋_GB2312" w:hAnsi="仿宋_GB2312" w:eastAsia="仿宋_GB2312" w:cs="仿宋_GB2312"/>
          <w:b w:val="0"/>
          <w:bCs w:val="0"/>
          <w:color w:val="auto"/>
          <w:sz w:val="32"/>
          <w:szCs w:val="32"/>
        </w:rPr>
        <w:t>2020年</w:t>
      </w: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lang w:val="en-US" w:eastAsia="zh-CN"/>
        </w:rPr>
        <w:t>月30日</w:t>
      </w:r>
      <w:r>
        <w:rPr>
          <w:rFonts w:hint="eastAsia" w:ascii="仿宋_GB2312" w:hAnsi="仿宋_GB2312" w:eastAsia="仿宋_GB2312" w:cs="仿宋_GB2312"/>
          <w:color w:val="auto"/>
          <w:sz w:val="32"/>
          <w:szCs w:val="32"/>
        </w:rPr>
        <w:t>全区共登记</w:t>
      </w:r>
      <w:r>
        <w:rPr>
          <w:rFonts w:hint="eastAsia" w:ascii="仿宋_GB2312" w:hAnsi="仿宋_GB2312" w:eastAsia="仿宋_GB2312" w:cs="仿宋_GB2312"/>
          <w:color w:val="auto"/>
          <w:sz w:val="32"/>
          <w:szCs w:val="32"/>
          <w:lang w:eastAsia="zh-CN"/>
        </w:rPr>
        <w:t>腹泻病</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zCs w:val="32"/>
          <w:lang w:val="en-US" w:eastAsia="zh-CN"/>
        </w:rPr>
        <w:t>342人</w:t>
      </w:r>
      <w:r>
        <w:rPr>
          <w:rFonts w:hint="eastAsia" w:ascii="仿宋_GB2312" w:hAnsi="仿宋_GB2312" w:eastAsia="仿宋_GB2312" w:cs="仿宋_GB2312"/>
          <w:color w:val="auto"/>
          <w:sz w:val="32"/>
          <w:szCs w:val="32"/>
        </w:rPr>
        <w:t>，检索</w:t>
      </w:r>
      <w:r>
        <w:rPr>
          <w:rFonts w:hint="eastAsia" w:ascii="仿宋_GB2312" w:hAnsi="仿宋_GB2312" w:eastAsia="仿宋_GB2312" w:cs="仿宋_GB2312"/>
          <w:color w:val="auto"/>
          <w:sz w:val="32"/>
          <w:szCs w:val="32"/>
          <w:lang w:val="en-US" w:eastAsia="zh-CN"/>
        </w:rPr>
        <w:t>88</w:t>
      </w:r>
      <w:r>
        <w:rPr>
          <w:rFonts w:hint="eastAsia" w:ascii="仿宋_GB2312" w:hAnsi="仿宋_GB2312" w:eastAsia="仿宋_GB2312" w:cs="仿宋_GB2312"/>
          <w:color w:val="auto"/>
          <w:sz w:val="32"/>
          <w:szCs w:val="32"/>
        </w:rPr>
        <w:t>人，检索率</w:t>
      </w:r>
      <w:r>
        <w:rPr>
          <w:rFonts w:hint="eastAsia" w:ascii="仿宋_GB2312" w:hAnsi="仿宋_GB2312" w:eastAsia="仿宋_GB2312" w:cs="仿宋_GB2312"/>
          <w:color w:val="auto"/>
          <w:sz w:val="32"/>
          <w:szCs w:val="32"/>
          <w:lang w:val="en-US" w:eastAsia="zh-CN"/>
        </w:rPr>
        <w:t>25.73</w:t>
      </w:r>
      <w:r>
        <w:rPr>
          <w:rFonts w:hint="eastAsia" w:ascii="仿宋_GB2312" w:hAnsi="仿宋_GB2312" w:eastAsia="仿宋_GB2312" w:cs="仿宋_GB2312"/>
          <w:color w:val="auto"/>
          <w:sz w:val="32"/>
          <w:szCs w:val="32"/>
        </w:rPr>
        <w:t>%，环境和食品样监测</w:t>
      </w:r>
      <w:r>
        <w:rPr>
          <w:rFonts w:hint="eastAsia" w:ascii="仿宋_GB2312" w:hAnsi="仿宋_GB2312" w:eastAsia="仿宋_GB2312" w:cs="仿宋_GB2312"/>
          <w:color w:val="auto"/>
          <w:sz w:val="32"/>
          <w:szCs w:val="32"/>
          <w:lang w:val="en-US" w:eastAsia="zh-CN"/>
        </w:rPr>
        <w:t>80</w:t>
      </w:r>
      <w:r>
        <w:rPr>
          <w:rFonts w:hint="eastAsia" w:ascii="仿宋_GB2312" w:hAnsi="仿宋_GB2312" w:eastAsia="仿宋_GB2312" w:cs="仿宋_GB2312"/>
          <w:color w:val="auto"/>
          <w:sz w:val="32"/>
          <w:szCs w:val="32"/>
          <w:lang w:eastAsia="zh-CN"/>
        </w:rPr>
        <w:t>份（水样</w:t>
      </w:r>
      <w:r>
        <w:rPr>
          <w:rFonts w:hint="eastAsia" w:ascii="仿宋_GB2312" w:hAnsi="仿宋_GB2312" w:eastAsia="仿宋_GB2312" w:cs="仿宋_GB2312"/>
          <w:color w:val="auto"/>
          <w:sz w:val="32"/>
          <w:szCs w:val="32"/>
          <w:lang w:val="en-US" w:eastAsia="zh-CN"/>
        </w:rPr>
        <w:t>25个，</w:t>
      </w:r>
      <w:r>
        <w:rPr>
          <w:rFonts w:hint="eastAsia" w:ascii="仿宋_GB2312" w:hAnsi="仿宋_GB2312" w:eastAsia="仿宋_GB2312" w:cs="仿宋_GB2312"/>
          <w:color w:val="auto"/>
          <w:sz w:val="32"/>
          <w:szCs w:val="32"/>
        </w:rPr>
        <w:t>水产品40个,食品25个)未检出霍乱孤菌。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将资阳区妇幼保健院、益阳市人民医院设立为手足口病监测定点医院，</w:t>
      </w:r>
      <w:r>
        <w:rPr>
          <w:rFonts w:hint="eastAsia" w:ascii="仿宋_GB2312" w:hAnsi="仿宋_GB2312" w:eastAsia="仿宋_GB2312" w:cs="仿宋_GB2312"/>
          <w:sz w:val="32"/>
          <w:szCs w:val="32"/>
          <w:lang w:val="en-US" w:eastAsia="zh-CN"/>
        </w:rPr>
        <w:t>截至</w:t>
      </w:r>
      <w:r>
        <w:rPr>
          <w:rFonts w:hint="eastAsia" w:ascii="仿宋_GB2312" w:hAnsi="仿宋_GB2312" w:cs="仿宋_GB2312"/>
          <w:color w:val="auto"/>
          <w:sz w:val="32"/>
          <w:szCs w:val="32"/>
          <w:lang w:val="en-US" w:eastAsia="zh-CN"/>
        </w:rPr>
        <w:t>2023年</w:t>
      </w:r>
      <w:r>
        <w:rPr>
          <w:rFonts w:hint="eastAsia" w:ascii="仿宋_GB2312" w:hAnsi="仿宋_GB2312" w:eastAsia="仿宋_GB2312" w:cs="仿宋_GB2312"/>
          <w:color w:val="auto"/>
          <w:sz w:val="32"/>
          <w:szCs w:val="32"/>
          <w:lang w:val="en-US" w:eastAsia="zh-CN"/>
        </w:rPr>
        <w:t>12月</w:t>
      </w:r>
      <w:r>
        <w:rPr>
          <w:rFonts w:hint="eastAsia" w:ascii="仿宋_GB2312" w:hAnsi="仿宋_GB2312" w:cs="仿宋_GB2312"/>
          <w:color w:val="auto"/>
          <w:sz w:val="32"/>
          <w:szCs w:val="32"/>
          <w:lang w:val="en-US" w:eastAsia="zh-CN"/>
        </w:rPr>
        <w:t>31</w:t>
      </w:r>
      <w:r>
        <w:rPr>
          <w:rFonts w:hint="eastAsia" w:ascii="仿宋_GB2312" w:hAnsi="仿宋_GB2312" w:eastAsia="仿宋_GB2312" w:cs="仿宋_GB2312"/>
          <w:color w:val="auto"/>
          <w:sz w:val="32"/>
          <w:szCs w:val="32"/>
          <w:lang w:val="en-US" w:eastAsia="zh-CN"/>
        </w:rPr>
        <w:t>日</w:t>
      </w:r>
      <w:r>
        <w:rPr>
          <w:rFonts w:hint="eastAsia" w:ascii="仿宋_GB2312" w:hAnsi="仿宋_GB2312" w:eastAsia="仿宋_GB2312" w:cs="仿宋_GB2312"/>
          <w:sz w:val="32"/>
          <w:szCs w:val="32"/>
          <w:lang w:eastAsia="zh-CN"/>
        </w:rPr>
        <w:t>采集手足口病肛拭子标本</w:t>
      </w:r>
      <w:r>
        <w:rPr>
          <w:rFonts w:hint="eastAsia" w:ascii="仿宋_GB2312" w:hAnsi="仿宋_GB2312" w:eastAsia="仿宋_GB2312" w:cs="仿宋_GB2312"/>
          <w:sz w:val="32"/>
          <w:szCs w:val="32"/>
          <w:lang w:val="en-US" w:eastAsia="zh-CN"/>
        </w:rPr>
        <w:t>51个。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5、进入疫情常态化防控以来，参加上级网络培训20余次，培训100余人次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另单独组织流调人员、检验人员、消毒人员开展业务培训1</w:t>
      </w:r>
      <w:r>
        <w:rPr>
          <w:rFonts w:hint="eastAsia" w:ascii="仿宋_GB2312" w:hAnsi="仿宋_GB2312" w:eastAsia="仿宋_GB2312" w:cs="仿宋_GB2312"/>
          <w:sz w:val="32"/>
          <w:szCs w:val="32"/>
          <w:lang w:eastAsia="zh-CN"/>
        </w:rPr>
        <w:t>0</w:t>
      </w:r>
      <w:r>
        <w:rPr>
          <w:rFonts w:hint="eastAsia" w:ascii="仿宋_GB2312" w:hAnsi="仿宋_GB2312" w:eastAsia="仿宋_GB2312" w:cs="仿宋_GB2312"/>
          <w:sz w:val="32"/>
          <w:szCs w:val="32"/>
          <w:lang w:val="en-US" w:eastAsia="zh-CN"/>
        </w:rPr>
        <w:t>次，培训200余人次。组织召开乡镇疫情防控专干座谈会6次，参会人数达200余人。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6、联合资阳区教育局对辖区61所学校、托幼机构89所开展以新冠肺炎为重点的学校传染病防控工作督导。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7、联合益阳市大福皮肤病防治所对我区居民开展麻风病症状监测工作，于规定时间内超额完成麻风病症状监测工作。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四）</w:t>
      </w:r>
      <w:r>
        <w:rPr>
          <w:rFonts w:hint="eastAsia" w:ascii="黑体" w:hAnsi="黑体" w:eastAsia="黑体" w:cs="黑体"/>
          <w:sz w:val="32"/>
          <w:szCs w:val="32"/>
          <w:lang w:eastAsia="zh-CN"/>
        </w:rPr>
        <w:t>、地寄病、虫媒传染病防治工作</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1.疟疾监测工作</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做好了疟疾防治与"三热”病人血检工作，对全区有关单位相关人员进行了消除疟疾防治技术知识的培训,全区共完成"三热”病人血检人数253人，按时上报了血检情况并已完成血片复核工作，全部为阴性。</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2.碘缺乏病监测工作</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按照湖南省2023年碘缺乏病监测工作要求，认真做好了碘盐监测工作,全年碘盐监测采样 300个,碘盐监测履盖率为100%，碘盐合格率为99%。</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3.肝吸虫病监测</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按照湖南省2023年肝吸虫病监测工作要求，认真做好了肝吸虫病监测工作,全年肝吸虫病监测采样1000个，检验结果均为阴性。</w:t>
      </w:r>
    </w:p>
    <w:p>
      <w:pPr>
        <w:keepNext w:val="0"/>
        <w:keepLines w:val="0"/>
        <w:pageBreakBefore w:val="0"/>
        <w:widowControl w:val="0"/>
        <w:tabs>
          <w:tab w:val="left" w:pos="3454"/>
        </w:tabs>
        <w:kinsoku/>
        <w:wordWrap/>
        <w:overflowPunct/>
        <w:topLinePunct w:val="0"/>
        <w:autoSpaceDE/>
        <w:autoSpaceDN/>
        <w:bidi w:val="0"/>
        <w:adjustRightInd/>
        <w:snapToGrid/>
        <w:spacing w:line="360" w:lineRule="auto"/>
        <w:jc w:val="center"/>
        <w:textAlignment w:val="auto"/>
        <w:rPr>
          <w:rFonts w:hint="eastAsia"/>
          <w:b/>
          <w:bCs/>
          <w:sz w:val="32"/>
          <w:szCs w:val="32"/>
          <w:lang w:val="en-US" w:eastAsia="zh-CN"/>
        </w:rPr>
      </w:pPr>
      <w:r>
        <w:rPr>
          <w:rFonts w:hint="eastAsia"/>
          <w:b/>
          <w:bCs/>
          <w:sz w:val="32"/>
          <w:szCs w:val="32"/>
          <w:lang w:val="en-US" w:eastAsia="zh-CN"/>
        </w:rPr>
        <w:t>6、公共卫生</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全面完成各类监测采样工作，生活饮用水监测样品333份，不合格26份，合格率92.2%；医疗机构污水监测样品336个,合格样品258个，合格率76.8%；公共场所样品538个,合格样品503个，合格率93.5%；消毒监测样品191个,合格样品189个，合格率99.0%；餐饮具消毒样品37个,合格样品37个，合格率100%；食品样品监测103个,合格样品数99个，合格率96.1%。</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目前，全区共报告食源性疾病病例982例，食源性疾病事件3起，监测完成率91.1%。按质按量完成农饮工程饮用水、食品安全风险监测采样、网络直报及食源性疾病的审核等工作，资料齐全，操作规范。</w:t>
      </w:r>
    </w:p>
    <w:p>
      <w:pPr>
        <w:spacing w:line="58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按照从业人员体检发证工作程序，严格体检流程,完成体检工作。目前，已完成各类从业人员体检、功能检查与采血工作，健康体检发证人数23315人</w:t>
      </w:r>
      <w:r>
        <w:rPr>
          <w:rFonts w:hint="eastAsia" w:ascii="仿宋" w:hAnsi="仿宋" w:eastAsia="仿宋" w:cs="仿宋"/>
          <w:sz w:val="32"/>
          <w:szCs w:val="32"/>
          <w:lang w:eastAsia="zh-CN"/>
        </w:rPr>
        <w:t>。</w:t>
      </w:r>
    </w:p>
    <w:p>
      <w:pPr>
        <w:keepNext w:val="0"/>
        <w:keepLines w:val="0"/>
        <w:pageBreakBefore w:val="0"/>
        <w:widowControl w:val="0"/>
        <w:tabs>
          <w:tab w:val="left" w:pos="486"/>
        </w:tabs>
        <w:kinsoku/>
        <w:wordWrap/>
        <w:overflowPunct/>
        <w:topLinePunct w:val="0"/>
        <w:autoSpaceDE/>
        <w:autoSpaceDN/>
        <w:bidi w:val="0"/>
        <w:adjustRightInd/>
        <w:snapToGrid/>
        <w:spacing w:line="560" w:lineRule="exact"/>
        <w:ind w:firstLine="562" w:firstLineChars="200"/>
        <w:textAlignment w:val="auto"/>
        <w:rPr>
          <w:rFonts w:hint="eastAsia" w:ascii="黑体" w:hAnsi="黑体" w:eastAsia="黑体" w:cs="黑体"/>
          <w:b w:val="0"/>
          <w:bCs w:val="0"/>
          <w:sz w:val="32"/>
          <w:szCs w:val="32"/>
          <w:lang w:eastAsia="zh-CN"/>
        </w:rPr>
      </w:pPr>
      <w:r>
        <w:rPr>
          <w:rFonts w:hint="eastAsia" w:cs="Times New Roman"/>
          <w:b/>
          <w:bCs/>
          <w:sz w:val="28"/>
          <w:szCs w:val="28"/>
          <w:lang w:val="en-US" w:eastAsia="zh-CN"/>
        </w:rPr>
        <w:tab/>
      </w:r>
      <w:r>
        <w:rPr>
          <w:rFonts w:hint="eastAsia" w:cs="Times New Roman"/>
          <w:b/>
          <w:bCs/>
          <w:sz w:val="28"/>
          <w:szCs w:val="28"/>
          <w:lang w:val="en-US" w:eastAsia="zh-CN"/>
        </w:rPr>
        <w:t xml:space="preserve">                </w:t>
      </w:r>
      <w:r>
        <w:rPr>
          <w:rFonts w:hint="eastAsia"/>
          <w:b/>
          <w:bCs/>
          <w:sz w:val="32"/>
          <w:szCs w:val="32"/>
          <w:lang w:val="en-US" w:eastAsia="zh-CN"/>
        </w:rPr>
        <w:t xml:space="preserve">   7、宣传教育</w:t>
      </w:r>
    </w:p>
    <w:p>
      <w:pPr>
        <w:spacing w:line="580" w:lineRule="exact"/>
        <w:ind w:firstLine="643" w:firstLineChars="200"/>
        <w:rPr>
          <w:rFonts w:ascii="仿宋" w:hAnsi="仿宋" w:eastAsia="仿宋" w:cs="仿宋"/>
          <w:sz w:val="32"/>
          <w:szCs w:val="32"/>
        </w:rPr>
      </w:pPr>
      <w:r>
        <w:rPr>
          <w:rFonts w:hint="eastAsia" w:ascii="仿宋_GB2312" w:hAnsi="仿宋_GB2312" w:eastAsia="仿宋_GB2312" w:cs="仿宋_GB2312"/>
          <w:b/>
          <w:bCs/>
          <w:sz w:val="32"/>
          <w:szCs w:val="32"/>
        </w:rPr>
        <w:t>（一）</w:t>
      </w:r>
      <w:r>
        <w:rPr>
          <w:rFonts w:ascii="仿宋" w:hAnsi="仿宋" w:eastAsia="仿宋" w:cs="仿宋"/>
          <w:sz w:val="32"/>
          <w:szCs w:val="32"/>
        </w:rPr>
        <w:t> 健康宣传</w:t>
      </w:r>
    </w:p>
    <w:p>
      <w:pPr>
        <w:spacing w:line="580" w:lineRule="exact"/>
        <w:ind w:firstLine="640" w:firstLineChars="200"/>
        <w:rPr>
          <w:rFonts w:ascii="仿宋" w:hAnsi="仿宋" w:eastAsia="仿宋" w:cs="仿宋"/>
          <w:sz w:val="32"/>
          <w:szCs w:val="32"/>
        </w:rPr>
      </w:pPr>
      <w:r>
        <w:rPr>
          <w:rFonts w:ascii="仿宋" w:hAnsi="仿宋" w:eastAsia="仿宋" w:cs="仿宋"/>
          <w:sz w:val="32"/>
          <w:szCs w:val="32"/>
        </w:rPr>
        <w:t>开展了形式多样的健康宣传活动，如5.20学生营养日宣传、营养宣传周、碘缺乏病防治、食品安全宣传、三减三健宣传及合理膳食讲座等，有效提高了公众的健康意识和自我保护能力。</w:t>
      </w:r>
    </w:p>
    <w:p>
      <w:pPr>
        <w:spacing w:line="580" w:lineRule="exact"/>
        <w:ind w:firstLine="643" w:firstLineChars="200"/>
        <w:rPr>
          <w:rFonts w:ascii="仿宋" w:hAnsi="仿宋" w:eastAsia="仿宋" w:cs="仿宋"/>
          <w:sz w:val="32"/>
          <w:szCs w:val="32"/>
        </w:rPr>
      </w:pPr>
      <w:r>
        <w:rPr>
          <w:rFonts w:hint="eastAsia" w:ascii="仿宋_GB2312" w:hAnsi="仿宋_GB2312" w:eastAsia="仿宋_GB2312" w:cs="仿宋_GB2312"/>
          <w:b/>
          <w:bCs/>
          <w:sz w:val="32"/>
          <w:szCs w:val="32"/>
        </w:rPr>
        <w:t>（</w:t>
      </w:r>
      <w:r>
        <w:rPr>
          <w:rFonts w:hint="eastAsia" w:ascii="仿宋_GB2312" w:hAnsi="仿宋_GB2312" w:cs="仿宋_GB2312"/>
          <w:b/>
          <w:bCs/>
          <w:sz w:val="32"/>
          <w:szCs w:val="32"/>
          <w:lang w:val="en-US" w:eastAsia="zh-CN"/>
        </w:rPr>
        <w:t>二</w:t>
      </w:r>
      <w:r>
        <w:rPr>
          <w:rFonts w:hint="eastAsia" w:ascii="仿宋_GB2312" w:hAnsi="仿宋_GB2312" w:eastAsia="仿宋_GB2312" w:cs="仿宋_GB2312"/>
          <w:b/>
          <w:bCs/>
          <w:sz w:val="32"/>
          <w:szCs w:val="32"/>
        </w:rPr>
        <w:t>）</w:t>
      </w:r>
      <w:r>
        <w:rPr>
          <w:rFonts w:ascii="仿宋" w:hAnsi="仿宋" w:eastAsia="仿宋" w:cs="仿宋"/>
          <w:sz w:val="32"/>
          <w:szCs w:val="32"/>
        </w:rPr>
        <w:t>健康促进</w:t>
      </w:r>
    </w:p>
    <w:p>
      <w:pPr>
        <w:spacing w:line="580" w:lineRule="exact"/>
        <w:ind w:firstLine="640" w:firstLineChars="200"/>
        <w:rPr>
          <w:rFonts w:ascii="仿宋" w:hAnsi="仿宋" w:eastAsia="仿宋" w:cs="仿宋"/>
          <w:sz w:val="32"/>
          <w:szCs w:val="32"/>
        </w:rPr>
      </w:pPr>
      <w:r>
        <w:rPr>
          <w:rFonts w:ascii="仿宋" w:hAnsi="仿宋" w:eastAsia="仿宋" w:cs="仿宋"/>
          <w:sz w:val="32"/>
          <w:szCs w:val="32"/>
        </w:rPr>
        <w:t>实施了健康促进项目，促进了居民健康行为的形成。为积极响应健康中国行动号召，进一步推广健康生活方式行动，2023年，我区组织参加了全国第八届“万步有约”健走激励大赛。历时21天,各单位积极响应踊跃参与，全区共有123支队伍、1546人参加了今年的万步有约活动。</w:t>
      </w:r>
    </w:p>
    <w:p>
      <w:pPr>
        <w:spacing w:line="580" w:lineRule="exact"/>
        <w:ind w:firstLine="640" w:firstLineChars="200"/>
        <w:rPr>
          <w:rFonts w:ascii="仿宋" w:hAnsi="仿宋" w:eastAsia="仿宋" w:cs="仿宋"/>
          <w:sz w:val="32"/>
          <w:szCs w:val="32"/>
        </w:rPr>
      </w:pPr>
      <w:r>
        <w:rPr>
          <w:rFonts w:ascii="仿宋" w:hAnsi="仿宋" w:eastAsia="仿宋" w:cs="仿宋"/>
          <w:sz w:val="32"/>
          <w:szCs w:val="32"/>
        </w:rPr>
        <w:t>规范了基本公共卫生慢性病患者及其高危人群管理，大力倡导全民健康生活方式行动，加大了“三减三健”专项行动宣传力度。</w:t>
      </w:r>
    </w:p>
    <w:p>
      <w:pPr>
        <w:spacing w:line="580" w:lineRule="exact"/>
        <w:ind w:firstLine="640" w:firstLineChars="200"/>
        <w:rPr>
          <w:rFonts w:hint="eastAsia" w:ascii="仿宋" w:hAnsi="仿宋" w:eastAsia="仿宋" w:cs="仿宋"/>
          <w:sz w:val="32"/>
          <w:szCs w:val="32"/>
          <w:lang w:eastAsia="zh-CN"/>
        </w:rPr>
      </w:pPr>
    </w:p>
    <w:p>
      <w:pPr>
        <w:widowControl/>
        <w:spacing w:line="600" w:lineRule="exact"/>
        <w:jc w:val="left"/>
        <w:rPr>
          <w:rFonts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七、</w:t>
      </w:r>
      <w:r>
        <w:rPr>
          <w:rFonts w:ascii="Times New Roman" w:hAnsi="Times New Roman" w:eastAsia="黑体" w:cs="Times New Roman"/>
          <w:kern w:val="2"/>
          <w:sz w:val="32"/>
          <w:szCs w:val="32"/>
          <w:lang w:val="en-US" w:eastAsia="zh-CN" w:bidi="ar-SA"/>
        </w:rPr>
        <w:t>存在的问题及原因分析</w:t>
      </w:r>
    </w:p>
    <w:p>
      <w:pPr>
        <w:widowControl/>
        <w:spacing w:line="600" w:lineRule="exact"/>
        <w:ind w:firstLine="640" w:firstLineChars="200"/>
        <w:jc w:val="left"/>
        <w:rPr>
          <w:rFonts w:hint="eastAsia" w:ascii="Times New Roman" w:hAnsi="Times New Roman" w:cs="Times New Roman"/>
          <w:color w:val="000000"/>
          <w:sz w:val="32"/>
          <w:szCs w:val="32"/>
          <w:lang w:eastAsia="zh-CN"/>
        </w:rPr>
      </w:pPr>
      <w:r>
        <w:rPr>
          <w:rFonts w:ascii="Times New Roman" w:hAnsi="Times New Roman" w:eastAsia="仿宋_GB2312" w:cs="Times New Roman"/>
          <w:color w:val="000000"/>
          <w:sz w:val="32"/>
          <w:szCs w:val="32"/>
        </w:rPr>
        <w:t>预算支出执行偏离绩效目标</w:t>
      </w:r>
      <w:r>
        <w:rPr>
          <w:rFonts w:hint="eastAsia" w:ascii="Times New Roman" w:hAnsi="Times New Roman" w:cs="Times New Roman"/>
          <w:color w:val="000000"/>
          <w:sz w:val="32"/>
          <w:szCs w:val="32"/>
          <w:lang w:eastAsia="zh-CN"/>
        </w:rPr>
        <w:t>有以下几个方面原因；</w:t>
      </w:r>
    </w:p>
    <w:p>
      <w:pPr>
        <w:pStyle w:val="8"/>
        <w:rPr>
          <w:rFonts w:hint="eastAsia" w:ascii="Times New Roman" w:hAnsi="Times New Roman" w:cs="Times New Roman"/>
          <w:color w:val="000000"/>
          <w:sz w:val="32"/>
          <w:szCs w:val="32"/>
          <w:lang w:val="en-US" w:eastAsia="zh-CN"/>
        </w:rPr>
      </w:pPr>
      <w:r>
        <w:rPr>
          <w:rFonts w:hint="eastAsia" w:ascii="Times New Roman" w:hAnsi="Times New Roman" w:cs="Times New Roman"/>
          <w:color w:val="000000"/>
          <w:sz w:val="32"/>
          <w:szCs w:val="32"/>
          <w:lang w:val="en-US" w:eastAsia="zh-CN"/>
        </w:rPr>
        <w:t>1.目标设定不合理，绩效目标设定时缺乏必要的人力、物力、财力等资源，导致无法达成设定绩效目标。</w:t>
      </w:r>
    </w:p>
    <w:p>
      <w:pPr>
        <w:pStyle w:val="8"/>
        <w:ind w:left="0" w:leftChars="0" w:firstLine="320" w:firstLineChars="100"/>
        <w:rPr>
          <w:rFonts w:hint="eastAsia" w:ascii="Times New Roman" w:hAnsi="Times New Roman" w:cs="Times New Roman"/>
          <w:color w:val="000000"/>
          <w:sz w:val="32"/>
          <w:szCs w:val="32"/>
          <w:lang w:val="en-US" w:eastAsia="zh-CN"/>
        </w:rPr>
      </w:pPr>
      <w:r>
        <w:rPr>
          <w:rFonts w:hint="eastAsia" w:cs="Times New Roman"/>
          <w:color w:val="000000"/>
          <w:sz w:val="32"/>
          <w:szCs w:val="32"/>
          <w:lang w:val="en-US" w:eastAsia="zh-CN"/>
        </w:rPr>
        <w:t>2</w:t>
      </w:r>
      <w:r>
        <w:rPr>
          <w:rFonts w:hint="eastAsia" w:ascii="Times New Roman" w:hAnsi="Times New Roman" w:cs="Times New Roman"/>
          <w:color w:val="000000"/>
          <w:sz w:val="32"/>
          <w:szCs w:val="32"/>
          <w:lang w:val="en-US" w:eastAsia="zh-CN"/>
        </w:rPr>
        <w:t>.业务科室与</w:t>
      </w:r>
      <w:r>
        <w:rPr>
          <w:rFonts w:hint="eastAsia" w:cs="Times New Roman"/>
          <w:color w:val="000000"/>
          <w:sz w:val="32"/>
          <w:szCs w:val="32"/>
          <w:lang w:val="en-US" w:eastAsia="zh-CN"/>
        </w:rPr>
        <w:t>其他相关</w:t>
      </w:r>
      <w:r>
        <w:rPr>
          <w:rFonts w:hint="eastAsia" w:ascii="Times New Roman" w:hAnsi="Times New Roman" w:cs="Times New Roman"/>
          <w:color w:val="000000"/>
          <w:sz w:val="32"/>
          <w:szCs w:val="32"/>
          <w:lang w:val="en-US" w:eastAsia="zh-CN"/>
        </w:rPr>
        <w:t>科室未有效衔接，对专项绩效目标、任务、完成率等无法及时</w:t>
      </w:r>
      <w:r>
        <w:rPr>
          <w:rFonts w:hint="eastAsia" w:cs="Times New Roman"/>
          <w:color w:val="000000"/>
          <w:sz w:val="32"/>
          <w:szCs w:val="32"/>
          <w:lang w:val="en-US" w:eastAsia="zh-CN"/>
        </w:rPr>
        <w:t>沟通调整</w:t>
      </w:r>
      <w:r>
        <w:rPr>
          <w:rFonts w:hint="eastAsia" w:ascii="Times New Roman" w:hAnsi="Times New Roman" w:cs="Times New Roman"/>
          <w:color w:val="000000"/>
          <w:sz w:val="32"/>
          <w:szCs w:val="32"/>
          <w:lang w:val="en-US" w:eastAsia="zh-CN"/>
        </w:rPr>
        <w:t>。</w:t>
      </w:r>
    </w:p>
    <w:p>
      <w:pPr>
        <w:pStyle w:val="8"/>
        <w:ind w:left="0" w:leftChars="0" w:firstLine="320" w:firstLineChars="100"/>
        <w:rPr>
          <w:rFonts w:hint="default" w:ascii="Times New Roman" w:hAnsi="Times New Roman" w:cs="Times New Roman"/>
          <w:color w:val="000000"/>
          <w:sz w:val="32"/>
          <w:szCs w:val="32"/>
          <w:lang w:val="en-US" w:eastAsia="zh-CN"/>
        </w:rPr>
      </w:pPr>
      <w:r>
        <w:rPr>
          <w:rFonts w:hint="eastAsia" w:cs="Times New Roman"/>
          <w:color w:val="000000"/>
          <w:sz w:val="32"/>
          <w:szCs w:val="32"/>
          <w:lang w:val="en-US" w:eastAsia="zh-CN"/>
        </w:rPr>
        <w:t>3.项目资金文件传达不及时、资金未按时到位等，影响项目进度。</w:t>
      </w:r>
    </w:p>
    <w:p>
      <w:pPr>
        <w:widowControl/>
        <w:spacing w:line="600"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八、下一步改进措施</w:t>
      </w:r>
    </w:p>
    <w:p>
      <w:pPr>
        <w:pStyle w:val="8"/>
        <w:rPr>
          <w:rFonts w:hint="eastAsia" w:ascii="Times New Roman" w:hAnsi="Times New Roman" w:cs="Times New Roman"/>
          <w:color w:val="000000"/>
          <w:sz w:val="32"/>
          <w:szCs w:val="32"/>
          <w:lang w:val="en-US" w:eastAsia="zh-CN"/>
        </w:rPr>
      </w:pPr>
      <w:r>
        <w:rPr>
          <w:rFonts w:hint="eastAsia" w:ascii="Times New Roman" w:hAnsi="Times New Roman" w:cs="Times New Roman"/>
          <w:color w:val="000000"/>
          <w:sz w:val="32"/>
          <w:szCs w:val="32"/>
          <w:lang w:val="en-US" w:eastAsia="zh-CN"/>
        </w:rPr>
        <w:t>1.合理制定绩效目标，制定详细、具体的量化指标，避免出现设定目标不合理的情况。</w:t>
      </w:r>
    </w:p>
    <w:p>
      <w:pPr>
        <w:pStyle w:val="8"/>
        <w:rPr>
          <w:rFonts w:hint="eastAsia" w:ascii="Times New Roman" w:hAnsi="Times New Roman" w:cs="Times New Roman"/>
          <w:color w:val="000000"/>
          <w:sz w:val="32"/>
          <w:szCs w:val="32"/>
          <w:lang w:val="en-US" w:eastAsia="zh-CN"/>
        </w:rPr>
      </w:pPr>
      <w:r>
        <w:rPr>
          <w:rFonts w:hint="eastAsia" w:ascii="Times New Roman" w:hAnsi="Times New Roman" w:cs="Times New Roman"/>
          <w:color w:val="000000"/>
          <w:sz w:val="32"/>
          <w:szCs w:val="32"/>
          <w:lang w:val="en-US" w:eastAsia="zh-CN"/>
        </w:rPr>
        <w:t>2.加强资源投入：投入必要的人力、物力、财力等资源，为绩效目标的实现提供有力的保障。</w:t>
      </w:r>
    </w:p>
    <w:p>
      <w:pPr>
        <w:pStyle w:val="8"/>
        <w:rPr>
          <w:rFonts w:hint="default" w:ascii="Times New Roman" w:hAnsi="Times New Roman" w:cs="Times New Roman"/>
          <w:color w:val="000000"/>
          <w:sz w:val="32"/>
          <w:szCs w:val="32"/>
          <w:lang w:val="en-US" w:eastAsia="zh-CN"/>
        </w:rPr>
      </w:pPr>
      <w:r>
        <w:rPr>
          <w:rFonts w:hint="eastAsia" w:ascii="Times New Roman" w:hAnsi="Times New Roman" w:cs="Times New Roman"/>
          <w:color w:val="000000"/>
          <w:sz w:val="32"/>
          <w:szCs w:val="32"/>
          <w:lang w:val="en-US" w:eastAsia="zh-CN"/>
        </w:rPr>
        <w:t>3.加强</w:t>
      </w:r>
      <w:r>
        <w:rPr>
          <w:rFonts w:hint="eastAsia" w:cs="Times New Roman"/>
          <w:color w:val="000000"/>
          <w:sz w:val="32"/>
          <w:szCs w:val="32"/>
          <w:lang w:val="en-US" w:eastAsia="zh-CN"/>
        </w:rPr>
        <w:t>业务科室与其他相关科室之间的</w:t>
      </w:r>
      <w:r>
        <w:rPr>
          <w:rFonts w:hint="eastAsia" w:ascii="Times New Roman" w:hAnsi="Times New Roman" w:cs="Times New Roman"/>
          <w:color w:val="000000"/>
          <w:sz w:val="32"/>
          <w:szCs w:val="32"/>
          <w:lang w:val="en-US" w:eastAsia="zh-CN"/>
        </w:rPr>
        <w:t>衔接</w:t>
      </w:r>
      <w:r>
        <w:rPr>
          <w:rFonts w:hint="eastAsia" w:cs="Times New Roman"/>
          <w:color w:val="000000"/>
          <w:sz w:val="32"/>
          <w:szCs w:val="32"/>
          <w:lang w:val="en-US" w:eastAsia="zh-CN"/>
        </w:rPr>
        <w:t>，</w:t>
      </w:r>
      <w:r>
        <w:rPr>
          <w:rFonts w:hint="eastAsia" w:ascii="Times New Roman" w:hAnsi="Times New Roman" w:cs="Times New Roman"/>
          <w:color w:val="000000"/>
          <w:sz w:val="32"/>
          <w:szCs w:val="32"/>
          <w:lang w:val="en-US" w:eastAsia="zh-CN"/>
        </w:rPr>
        <w:t>提高</w:t>
      </w:r>
      <w:r>
        <w:rPr>
          <w:rFonts w:hint="eastAsia" w:cs="Times New Roman"/>
          <w:color w:val="000000"/>
          <w:sz w:val="32"/>
          <w:szCs w:val="32"/>
          <w:lang w:val="en-US" w:eastAsia="zh-CN"/>
        </w:rPr>
        <w:t>专项工作效率及专项资金使用进度</w:t>
      </w:r>
      <w:r>
        <w:rPr>
          <w:rFonts w:hint="eastAsia" w:ascii="Times New Roman" w:hAnsi="Times New Roman" w:cs="Times New Roman"/>
          <w:color w:val="000000"/>
          <w:sz w:val="32"/>
          <w:szCs w:val="32"/>
          <w:lang w:val="en-US" w:eastAsia="zh-CN"/>
        </w:rPr>
        <w:t>。</w:t>
      </w:r>
    </w:p>
    <w:p>
      <w:pPr>
        <w:widowControl/>
        <w:spacing w:line="600" w:lineRule="exact"/>
        <w:jc w:val="left"/>
        <w:rPr>
          <w:rFonts w:ascii="Times New Roman" w:hAnsi="Times New Roman" w:eastAsia="黑体" w:cs="Times New Roman"/>
          <w:sz w:val="32"/>
          <w:szCs w:val="32"/>
        </w:rPr>
      </w:pPr>
      <w:r>
        <w:rPr>
          <w:rFonts w:ascii="Times New Roman" w:hAnsi="Times New Roman" w:eastAsia="黑体" w:cs="Times New Roman"/>
          <w:sz w:val="32"/>
          <w:szCs w:val="32"/>
        </w:rPr>
        <w:t>九、部门整体支出绩效自评结果拟应用和公开情况</w:t>
      </w:r>
    </w:p>
    <w:p>
      <w:pPr>
        <w:widowControl/>
        <w:spacing w:line="600" w:lineRule="exact"/>
        <w:ind w:firstLine="640" w:firstLineChars="200"/>
        <w:jc w:val="left"/>
        <w:rPr>
          <w:rFonts w:hint="eastAsia" w:ascii="Times New Roman" w:hAnsi="Times New Roman" w:cs="Times New Roman"/>
          <w:color w:val="000000"/>
          <w:sz w:val="32"/>
          <w:szCs w:val="32"/>
          <w:lang w:val="en-US" w:eastAsia="zh-CN"/>
        </w:rPr>
      </w:pPr>
      <w:r>
        <w:rPr>
          <w:rFonts w:hint="eastAsia" w:ascii="Times New Roman" w:hAnsi="Times New Roman" w:cs="Times New Roman"/>
          <w:color w:val="000000"/>
          <w:sz w:val="32"/>
          <w:szCs w:val="32"/>
          <w:lang w:val="en-US" w:eastAsia="zh-CN"/>
        </w:rPr>
        <w:t>整体支出绩效自评是对财政资金支出的实施效果和资金使用效益进行评价，树立和强化“花钱必问效，无效必问责”的绩效理念，强化支出责任，优化资源配置，进一步提高预算管理水平和财政资金使用效益。及时总结经验，分析存在问题，采取措施改进和加强资金管理。</w:t>
      </w:r>
    </w:p>
    <w:p>
      <w:pPr>
        <w:widowControl/>
        <w:spacing w:line="600" w:lineRule="exact"/>
        <w:ind w:firstLine="640" w:firstLineChars="200"/>
        <w:jc w:val="left"/>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cs="Times New Roman"/>
          <w:color w:val="000000"/>
          <w:sz w:val="32"/>
          <w:szCs w:val="32"/>
          <w:lang w:val="en-US" w:eastAsia="zh-CN"/>
        </w:rPr>
        <w:t>本绩效自评报告将在资阳区政府网上予以公布，向社会公开，接受群众监督。</w:t>
      </w:r>
    </w:p>
    <w:p>
      <w:pPr>
        <w:widowControl/>
        <w:numPr>
          <w:ilvl w:val="0"/>
          <w:numId w:val="3"/>
        </w:numPr>
        <w:spacing w:line="600" w:lineRule="exact"/>
        <w:ind w:left="-645" w:leftChars="0" w:firstLine="645" w:firstLineChars="0"/>
        <w:jc w:val="left"/>
      </w:pPr>
      <w:r>
        <w:rPr>
          <w:rFonts w:ascii="Times New Roman" w:hAnsi="Times New Roman" w:eastAsia="黑体" w:cs="Times New Roman"/>
          <w:sz w:val="32"/>
          <w:szCs w:val="32"/>
        </w:rPr>
        <w:t>其他需要说明的情况</w:t>
      </w:r>
    </w:p>
    <w:p>
      <w:pPr>
        <w:pStyle w:val="8"/>
        <w:ind w:firstLine="1280" w:firstLineChars="400"/>
        <w:rPr>
          <w:rFonts w:hint="eastAsia" w:ascii="Times New Roman" w:hAnsi="Times New Roman" w:eastAsia="黑体" w:cs="Times New Roman"/>
          <w:sz w:val="32"/>
          <w:szCs w:val="32"/>
          <w:lang w:eastAsia="zh-CN"/>
        </w:rPr>
      </w:pPr>
      <w:r>
        <w:rPr>
          <w:rFonts w:hint="eastAsia" w:ascii="Times New Roman" w:hAnsi="Times New Roman" w:eastAsia="黑体" w:cs="Times New Roman"/>
          <w:sz w:val="32"/>
          <w:szCs w:val="32"/>
          <w:lang w:eastAsia="zh-CN"/>
        </w:rPr>
        <w:t>无</w:t>
      </w:r>
    </w:p>
    <w:p>
      <w:pPr>
        <w:pStyle w:val="8"/>
        <w:ind w:firstLine="1280" w:firstLineChars="400"/>
        <w:rPr>
          <w:rFonts w:hint="eastAsia" w:ascii="Times New Roman" w:hAnsi="Times New Roman" w:eastAsia="黑体" w:cs="Times New Roman"/>
          <w:sz w:val="32"/>
          <w:szCs w:val="32"/>
          <w:lang w:eastAsia="zh-CN"/>
        </w:rPr>
      </w:pPr>
    </w:p>
    <w:p>
      <w:pPr>
        <w:pStyle w:val="8"/>
        <w:ind w:firstLine="1280" w:firstLineChars="400"/>
        <w:rPr>
          <w:rFonts w:hint="eastAsia" w:ascii="Times New Roman" w:hAnsi="Times New Roman" w:eastAsia="黑体" w:cs="Times New Roman"/>
          <w:sz w:val="32"/>
          <w:szCs w:val="32"/>
          <w:lang w:eastAsia="zh-CN"/>
        </w:rPr>
      </w:pPr>
    </w:p>
    <w:p>
      <w:pPr>
        <w:pStyle w:val="8"/>
        <w:ind w:firstLine="1280" w:firstLineChars="400"/>
        <w:rPr>
          <w:rFonts w:hint="eastAsia" w:ascii="Times New Roman" w:hAnsi="Times New Roman" w:eastAsia="黑体" w:cs="Times New Roman"/>
          <w:sz w:val="32"/>
          <w:szCs w:val="32"/>
          <w:lang w:eastAsia="zh-CN"/>
        </w:rPr>
      </w:pPr>
    </w:p>
    <w:p>
      <w:pPr>
        <w:pStyle w:val="8"/>
        <w:ind w:firstLine="1280" w:firstLineChars="400"/>
        <w:rPr>
          <w:rFonts w:hint="eastAsia" w:ascii="Times New Roman" w:hAnsi="Times New Roman" w:eastAsia="黑体" w:cs="Times New Roman"/>
          <w:sz w:val="32"/>
          <w:szCs w:val="32"/>
          <w:lang w:eastAsia="zh-CN"/>
        </w:rPr>
      </w:pPr>
    </w:p>
    <w:p>
      <w:pPr>
        <w:pStyle w:val="8"/>
        <w:ind w:firstLine="1280" w:firstLineChars="400"/>
        <w:rPr>
          <w:rFonts w:hint="eastAsia" w:ascii="Times New Roman" w:hAnsi="Times New Roman" w:eastAsia="黑体" w:cs="Times New Roman"/>
          <w:sz w:val="32"/>
          <w:szCs w:val="32"/>
          <w:lang w:eastAsia="zh-CN"/>
        </w:rPr>
      </w:pPr>
    </w:p>
    <w:p>
      <w:pPr>
        <w:spacing w:line="600" w:lineRule="exact"/>
        <w:ind w:firstLine="4480" w:firstLineChars="1400"/>
        <w:jc w:val="both"/>
        <w:rPr>
          <w:rFonts w:hint="eastAsia" w:ascii="仿宋" w:hAnsi="仿宋" w:eastAsia="仿宋" w:cs="仿宋"/>
          <w:sz w:val="32"/>
          <w:szCs w:val="32"/>
        </w:rPr>
      </w:pPr>
      <w:r>
        <w:rPr>
          <w:rFonts w:hint="eastAsia" w:ascii="仿宋" w:hAnsi="仿宋" w:eastAsia="仿宋" w:cs="仿宋"/>
          <w:sz w:val="32"/>
          <w:szCs w:val="32"/>
        </w:rPr>
        <w:t>资阳区疾病预防控制中心</w:t>
      </w:r>
    </w:p>
    <w:p>
      <w:pPr>
        <w:spacing w:line="600" w:lineRule="exact"/>
        <w:ind w:right="480" w:firstLine="640" w:firstLineChars="200"/>
        <w:jc w:val="righ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14</w:t>
      </w:r>
      <w:r>
        <w:rPr>
          <w:rFonts w:hint="eastAsia" w:ascii="仿宋" w:hAnsi="仿宋" w:eastAsia="仿宋" w:cs="仿宋"/>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原版宋体">
    <w:altName w:val="宋体"/>
    <w:panose1 w:val="02010600030101010101"/>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方正大标宋简体">
    <w:altName w:val="微软雅黑"/>
    <w:panose1 w:val="00000000000000000000"/>
    <w:charset w:val="86"/>
    <w:family w:val="script"/>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469572"/>
    <w:multiLevelType w:val="singleLevel"/>
    <w:tmpl w:val="9A469572"/>
    <w:lvl w:ilvl="0" w:tentative="0">
      <w:start w:val="1"/>
      <w:numFmt w:val="chineseCounting"/>
      <w:suff w:val="nothing"/>
      <w:lvlText w:val="%1、"/>
      <w:lvlJc w:val="left"/>
      <w:pPr>
        <w:ind w:left="-320"/>
      </w:pPr>
      <w:rPr>
        <w:rFonts w:hint="eastAsia"/>
      </w:rPr>
    </w:lvl>
  </w:abstractNum>
  <w:abstractNum w:abstractNumId="1">
    <w:nsid w:val="466E0187"/>
    <w:multiLevelType w:val="singleLevel"/>
    <w:tmpl w:val="466E0187"/>
    <w:lvl w:ilvl="0" w:tentative="0">
      <w:start w:val="10"/>
      <w:numFmt w:val="chineseCounting"/>
      <w:suff w:val="nothing"/>
      <w:lvlText w:val="%1、"/>
      <w:lvlJc w:val="left"/>
      <w:pPr>
        <w:ind w:left="-645"/>
      </w:pPr>
      <w:rPr>
        <w:rFonts w:hint="eastAsia"/>
        <w:b/>
        <w:bCs/>
      </w:rPr>
    </w:lvl>
  </w:abstractNum>
  <w:abstractNum w:abstractNumId="2">
    <w:nsid w:val="6460E5D6"/>
    <w:multiLevelType w:val="singleLevel"/>
    <w:tmpl w:val="6460E5D6"/>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3NjQ2Njg1NjkzZDQ4ZjJhMWQ5Y2RmZWE5MjZjNmYifQ=="/>
  </w:docVars>
  <w:rsids>
    <w:rsidRoot w:val="58752684"/>
    <w:rsid w:val="0846096E"/>
    <w:rsid w:val="0AA23C86"/>
    <w:rsid w:val="17BF3D48"/>
    <w:rsid w:val="18FE099A"/>
    <w:rsid w:val="1EAA346E"/>
    <w:rsid w:val="1F7B2C46"/>
    <w:rsid w:val="25D37C6F"/>
    <w:rsid w:val="3A3B1501"/>
    <w:rsid w:val="486E0728"/>
    <w:rsid w:val="4C9D0026"/>
    <w:rsid w:val="50723FBA"/>
    <w:rsid w:val="563F3595"/>
    <w:rsid w:val="58752684"/>
    <w:rsid w:val="60BE791B"/>
    <w:rsid w:val="66A575B3"/>
    <w:rsid w:val="6E49207F"/>
    <w:rsid w:val="73355719"/>
    <w:rsid w:val="73D82A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Calibri" w:hAnsi="Calibri" w:eastAsia="仿宋_GB2312" w:cs="Times New Roman"/>
      <w:sz w:val="32"/>
    </w:rPr>
  </w:style>
  <w:style w:type="paragraph" w:styleId="4">
    <w:name w:val="toc 1"/>
    <w:basedOn w:val="1"/>
    <w:next w:val="1"/>
    <w:semiHidden/>
    <w:qFormat/>
    <w:uiPriority w:val="99"/>
    <w:pPr>
      <w:widowControl w:val="0"/>
      <w:spacing w:line="600" w:lineRule="exact"/>
    </w:pPr>
    <w:rPr>
      <w:rFonts w:ascii="仿宋" w:hAnsi="仿宋" w:eastAsia="仿宋" w:cs="仿宋"/>
      <w:color w:val="000000"/>
      <w:sz w:val="32"/>
      <w:szCs w:val="32"/>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BodyText1I"/>
    <w:basedOn w:val="1"/>
    <w:qFormat/>
    <w:uiPriority w:val="99"/>
    <w:pPr>
      <w:snapToGrid w:val="0"/>
      <w:spacing w:line="360" w:lineRule="auto"/>
      <w:ind w:firstLine="420" w:firstLineChars="100"/>
    </w:pPr>
    <w:rPr>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6636</Words>
  <Characters>7486</Characters>
  <Lines>0</Lines>
  <Paragraphs>0</Paragraphs>
  <TotalTime>44</TotalTime>
  <ScaleCrop>false</ScaleCrop>
  <LinksUpToDate>false</LinksUpToDate>
  <CharactersWithSpaces>7603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2023-04-04T09:44:00Z</dcterms:created>
  <dc:creator>kailis</dc:creator>
  <cp:lastModifiedBy>Administrator</cp:lastModifiedBy>
  <dcterms:modified xsi:type="dcterms:W3CDTF">2024-05-21T02:20:28Z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A99A7EADD6394B4BADCCBB1885130EDF_13</vt:lpwstr>
  </property>
</Properties>
</file>