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原版宋体" w:hAnsi="原版宋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原版宋体" w:hAnsi="原版宋体" w:eastAsia="方正小标宋简体" w:cs="方正小标宋简体"/>
          <w:sz w:val="44"/>
          <w:szCs w:val="44"/>
          <w:lang w:val="en-US" w:eastAsia="zh-CN"/>
        </w:rPr>
        <w:t>益阳市资阳区2023年度</w:t>
      </w:r>
      <w:r>
        <w:rPr>
          <w:rFonts w:hint="eastAsia" w:ascii="原版宋体" w:hAnsi="原版宋体" w:eastAsia="方正小标宋简体" w:cs="方正小标宋简体"/>
          <w:b/>
          <w:bCs/>
          <w:sz w:val="44"/>
          <w:szCs w:val="44"/>
          <w:lang w:val="en-US" w:eastAsia="zh-CN"/>
        </w:rPr>
        <w:t>本级</w:t>
      </w:r>
      <w:r>
        <w:rPr>
          <w:rFonts w:hint="eastAsia" w:ascii="原版宋体" w:hAnsi="原版宋体" w:eastAsia="方正小标宋简体" w:cs="方正小标宋简体"/>
          <w:sz w:val="44"/>
          <w:szCs w:val="44"/>
          <w:lang w:val="en-US" w:eastAsia="zh-CN"/>
        </w:rPr>
        <w:t>项目</w:t>
      </w:r>
    </w:p>
    <w:p>
      <w:pPr>
        <w:widowControl/>
        <w:spacing w:line="600" w:lineRule="exact"/>
        <w:jc w:val="center"/>
        <w:rPr>
          <w:rFonts w:hint="eastAsia" w:ascii="原版宋体" w:hAnsi="原版宋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原版宋体" w:hAnsi="原版宋体" w:eastAsia="方正小标宋简体" w:cs="方正小标宋简体"/>
          <w:sz w:val="44"/>
          <w:szCs w:val="44"/>
          <w:lang w:val="en-US" w:eastAsia="zh-CN"/>
        </w:rPr>
        <w:t>绩效自评报告</w:t>
      </w:r>
    </w:p>
    <w:p>
      <w:pPr>
        <w:widowControl/>
        <w:numPr>
          <w:ilvl w:val="0"/>
          <w:numId w:val="0"/>
        </w:numPr>
        <w:spacing w:line="540" w:lineRule="exact"/>
        <w:ind w:left="640" w:leftChars="0"/>
        <w:jc w:val="both"/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  <w:t xml:space="preserve">            </w:t>
      </w:r>
      <w:r>
        <w:rPr>
          <w:rFonts w:hint="eastAsia" w:ascii="方正楷体_GB2312" w:hAnsi="方正楷体_GB2312" w:eastAsia="方正楷体_GB2312" w:cs="方正楷体_GB2312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widowControl/>
        <w:numPr>
          <w:ilvl w:val="0"/>
          <w:numId w:val="0"/>
        </w:numPr>
        <w:spacing w:line="540" w:lineRule="exact"/>
        <w:ind w:firstLine="2680" w:firstLineChars="1000"/>
        <w:jc w:val="both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益阳市资阳区疾病预防控制中心</w:t>
      </w:r>
    </w:p>
    <w:p>
      <w:pPr>
        <w:widowControl/>
        <w:numPr>
          <w:ilvl w:val="0"/>
          <w:numId w:val="0"/>
        </w:numPr>
        <w:spacing w:line="540" w:lineRule="exact"/>
        <w:ind w:left="640" w:leftChars="0"/>
        <w:jc w:val="center"/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  <w:t>2024年3月14日</w:t>
      </w:r>
    </w:p>
    <w:p>
      <w:pPr>
        <w:widowControl/>
        <w:numPr>
          <w:ilvl w:val="0"/>
          <w:numId w:val="0"/>
        </w:numPr>
        <w:spacing w:line="540" w:lineRule="exact"/>
        <w:ind w:left="640" w:leftChars="0"/>
        <w:jc w:val="center"/>
        <w:rPr>
          <w:rFonts w:hint="default" w:ascii="方正楷体_GB2312" w:hAnsi="方正楷体_GB2312" w:eastAsia="方正楷体_GB2312" w:cs="方正楷体_GB2312"/>
          <w:b w:val="0"/>
          <w:bCs w:val="0"/>
          <w:sz w:val="28"/>
          <w:szCs w:val="28"/>
          <w:lang w:val="en-US" w:eastAsia="zh-CN"/>
        </w:rPr>
      </w:pPr>
    </w:p>
    <w:p>
      <w:pPr>
        <w:widowControl/>
        <w:numPr>
          <w:ilvl w:val="0"/>
          <w:numId w:val="1"/>
        </w:numPr>
        <w:spacing w:line="540" w:lineRule="exact"/>
        <w:ind w:left="640" w:leftChars="0"/>
        <w:jc w:val="both"/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  <w:t>绩效目标分解下达情况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both"/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目标1： 完成上级主管部门及区委区政府下达的各项工作任务。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both"/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目标2: 专项经费安排使用明确、专项专用、做好专项资金绩效管理，按时按量完成各项绩效指标。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both"/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目标3：保障本年度辖区内学校不发生结核病的校内传播，完成从业人员的健康体检及《健康证》发放，规范体检流程，严格化验操作，确保体检质量，加强应急物资储备工作，提高预防和处置突发事件的物资保障能力，建立健全应急物资保障体系。开展免疫规划专项宣传活动。提高群众对预防接种知识认知。</w:t>
      </w:r>
    </w:p>
    <w:p>
      <w:pPr>
        <w:widowControl/>
        <w:numPr>
          <w:ilvl w:val="0"/>
          <w:numId w:val="0"/>
        </w:numPr>
        <w:spacing w:line="540" w:lineRule="exact"/>
        <w:ind w:left="640" w:leftChars="0"/>
        <w:jc w:val="both"/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  <w:t>二、绩效情况分析</w:t>
      </w:r>
    </w:p>
    <w:p>
      <w:pPr>
        <w:widowControl/>
        <w:spacing w:line="540" w:lineRule="exact"/>
        <w:ind w:firstLine="640"/>
        <w:jc w:val="left"/>
        <w:rPr>
          <w:rFonts w:hint="eastAsia" w:ascii="原版宋体" w:hAnsi="原版宋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楷体" w:cs="楷体"/>
          <w:b w:val="0"/>
          <w:bCs w:val="0"/>
          <w:sz w:val="32"/>
          <w:szCs w:val="32"/>
          <w:lang w:val="en-US" w:eastAsia="zh-CN"/>
        </w:rPr>
        <w:t>（一）资金投入情况分析。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both"/>
        <w:rPr>
          <w:rFonts w:hint="default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2023年我中心收到本级项目资金120万元：其中从业人员健康体检30万元，卫生应急储备物资经费50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万</w:t>
      </w: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元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。免疫规划</w:t>
      </w: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5万元，新生结核病筛查36万元。截止2023年12月31日项目经费已执行指标120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万</w:t>
      </w: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元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执行力100%。</w:t>
      </w:r>
    </w:p>
    <w:p>
      <w:pPr>
        <w:widowControl/>
        <w:spacing w:line="540" w:lineRule="exact"/>
        <w:ind w:firstLine="640"/>
        <w:jc w:val="left"/>
        <w:rPr>
          <w:rFonts w:hint="eastAsia" w:ascii="原版宋体" w:hAnsi="原版宋体" w:eastAsia="楷体" w:cs="楷体"/>
          <w:b w:val="0"/>
          <w:bCs w:val="0"/>
          <w:sz w:val="32"/>
          <w:szCs w:val="32"/>
          <w:lang w:val="en-US" w:eastAsia="zh-CN"/>
        </w:rPr>
      </w:pPr>
    </w:p>
    <w:p>
      <w:pPr>
        <w:widowControl/>
        <w:numPr>
          <w:ilvl w:val="0"/>
          <w:numId w:val="2"/>
        </w:numPr>
        <w:spacing w:line="540" w:lineRule="exact"/>
        <w:ind w:firstLine="640"/>
        <w:jc w:val="left"/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楷体" w:cs="楷体"/>
          <w:b w:val="0"/>
          <w:bCs w:val="0"/>
          <w:sz w:val="32"/>
          <w:szCs w:val="32"/>
          <w:lang w:val="en-US" w:eastAsia="zh-CN"/>
        </w:rPr>
        <w:t>资金管理情况分析。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分析资金分配、下达、拨付、使用、执行、预算绩效管理、支出责任履行等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情况）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left"/>
        <w:rPr>
          <w:rFonts w:hint="default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资金管理主要参照上级管理办法和定额标准执行，年度资金以当年目标要求管理使用，按项目方案执行，合理分配资金。履行"三重一大"议事制度和各项管理规定，在重大资金安排方面始终坚持集体研究、民主决策。加强资金管理，规范会计核算，对各项目资金进行独立核算，专款专用。项目实施单位资金管理制度健全，项目资金使用均按照相关制度执行，无支依据不合规、虚列项目支出的情况，无留、挤占、挪用项目资金情况，无超标'</w:t>
      </w:r>
    </w:p>
    <w:p>
      <w:pPr>
        <w:widowControl/>
        <w:numPr>
          <w:ilvl w:val="0"/>
          <w:numId w:val="2"/>
        </w:numPr>
        <w:spacing w:line="540" w:lineRule="exact"/>
        <w:ind w:left="0" w:leftChars="0" w:firstLine="640" w:firstLineChars="0"/>
        <w:jc w:val="left"/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楷体" w:cs="楷体"/>
          <w:b w:val="0"/>
          <w:bCs w:val="0"/>
          <w:sz w:val="32"/>
          <w:szCs w:val="32"/>
          <w:lang w:val="en-US" w:eastAsia="zh-CN"/>
        </w:rPr>
        <w:t>总体绩效目标完成情况分析。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（对照总体目标分析全年实际完成情况）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left"/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全年开展结核病防治、免疫规划、卫生应急储备物资、从业人员的健康体检等工作，有效控制疾病流行，项目绩效总目标和阶段性工作目标均已完成。</w:t>
      </w:r>
    </w:p>
    <w:p>
      <w:pPr>
        <w:widowControl/>
        <w:numPr>
          <w:ilvl w:val="0"/>
          <w:numId w:val="2"/>
        </w:numPr>
        <w:spacing w:line="540" w:lineRule="exact"/>
        <w:ind w:left="0" w:leftChars="0" w:firstLine="640" w:firstLineChars="0"/>
        <w:jc w:val="left"/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楷体" w:cs="楷体"/>
          <w:b w:val="0"/>
          <w:bCs w:val="0"/>
          <w:sz w:val="32"/>
          <w:szCs w:val="32"/>
          <w:lang w:val="en-US" w:eastAsia="zh-CN"/>
        </w:rPr>
        <w:t>绩效指标完成情况分析。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（根据各三级绩效指标值，逐项分析全年实际完成情况）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left"/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1、数量指标：筛查辖区学校数139个。筛查辖区学校秋学期入学新生12100名，治疗及</w:t>
      </w:r>
      <w:r>
        <w:rPr>
          <w:rFonts w:hint="eastAsia" w:ascii="仿宋" w:hAnsi="仿宋" w:eastAsia="仿宋" w:cs="仿宋"/>
          <w:b w:val="0"/>
          <w:bCs/>
          <w:spacing w:val="0"/>
          <w:sz w:val="32"/>
          <w:szCs w:val="32"/>
          <w:lang w:val="en-US" w:eastAsia="zh-CN"/>
        </w:rPr>
        <w:t>肺结核患者规范管理98.69%、规则服药率97.26%，“三小”门店体检人数≥9200人次，“三小”门店发证数量≥9200本。3类15种，突发公共卫生事件模拟演练，1次，传染病控制类应急物品储备种类58种，突发公共卫生事件应急预案。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left"/>
        <w:rPr>
          <w:rFonts w:hint="eastAsia" w:ascii="原版宋体" w:hAnsi="原版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2、质量指标：体检满意度98%，发证率99%，肺结核登记的区覆盖率100%。传染病应急参训人员培训率≥95%。突发公共卫生事件应急预案体系完整率100%。突发公共卫生事件模拟演练指数90%。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left"/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3、时效指标：结核病防治项目完成时间指标，2023年9月份完成，肺结核项目完成时间指标，2023年底完成；免疫规划、卫生应急储备物资、从业人员的健康体检等工作</w:t>
      </w:r>
      <w:bookmarkStart w:id="0" w:name="_GoBack"/>
      <w:bookmarkEnd w:id="0"/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，2023年底完成。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left"/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4、社会效益指标：通过加强疾病的宣传，提高群众防病知识，居民健康水平不断提高；及时处置重大传染病疫情，公共卫生均等化水平不断提高。</w:t>
      </w:r>
    </w:p>
    <w:p>
      <w:pPr>
        <w:widowControl/>
        <w:numPr>
          <w:ilvl w:val="0"/>
          <w:numId w:val="0"/>
        </w:numPr>
        <w:spacing w:line="540" w:lineRule="exact"/>
        <w:ind w:firstLine="616" w:firstLineChars="200"/>
        <w:jc w:val="left"/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5、服务对象满意度指标：服务对象满意度达≥95％以上。</w:t>
      </w:r>
    </w:p>
    <w:p>
      <w:pPr>
        <w:widowControl/>
        <w:numPr>
          <w:ilvl w:val="0"/>
          <w:numId w:val="0"/>
        </w:numPr>
        <w:spacing w:line="540" w:lineRule="exact"/>
        <w:ind w:left="640" w:leftChars="0"/>
        <w:jc w:val="both"/>
        <w:rPr>
          <w:rFonts w:hint="default" w:ascii="原版宋体" w:hAnsi="原版宋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  <w:t>三、偏离绩效目标的原因和下一步改进措施</w:t>
      </w:r>
    </w:p>
    <w:p>
      <w:pPr>
        <w:widowControl/>
        <w:numPr>
          <w:ilvl w:val="0"/>
          <w:numId w:val="0"/>
        </w:numPr>
        <w:spacing w:line="540" w:lineRule="exact"/>
        <w:ind w:left="640" w:leftChars="0" w:firstLine="616" w:firstLineChars="200"/>
        <w:jc w:val="both"/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重大传染病防治项目实施未偏离绩效目标，</w:t>
      </w: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因资金问题致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项目</w:t>
      </w: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开展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进度缓慢，下一步将加快项目进度，加快资金支付。</w:t>
      </w:r>
    </w:p>
    <w:p>
      <w:pPr>
        <w:widowControl/>
        <w:numPr>
          <w:ilvl w:val="0"/>
          <w:numId w:val="3"/>
        </w:numPr>
        <w:spacing w:line="540" w:lineRule="exact"/>
        <w:ind w:left="640" w:leftChars="0"/>
        <w:jc w:val="both"/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  <w:t>绩效自评结果拟应用和公开情况</w:t>
      </w:r>
    </w:p>
    <w:p>
      <w:pPr>
        <w:widowControl/>
        <w:numPr>
          <w:ilvl w:val="0"/>
          <w:numId w:val="0"/>
        </w:numPr>
        <w:spacing w:line="540" w:lineRule="exact"/>
        <w:jc w:val="both"/>
        <w:rPr>
          <w:rFonts w:hint="default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  <w:t xml:space="preserve">        </w:t>
      </w: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绩效自评结果在政务网公开</w:t>
      </w:r>
    </w:p>
    <w:p>
      <w:pPr>
        <w:widowControl/>
        <w:numPr>
          <w:ilvl w:val="0"/>
          <w:numId w:val="0"/>
        </w:numPr>
        <w:spacing w:line="540" w:lineRule="exact"/>
        <w:ind w:left="640" w:leftChars="0"/>
        <w:jc w:val="both"/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  <w:t>五、其他需要说明的问题</w:t>
      </w:r>
    </w:p>
    <w:p>
      <w:pPr>
        <w:widowControl/>
        <w:spacing w:line="540" w:lineRule="exact"/>
        <w:ind w:firstLine="1250" w:firstLineChars="406"/>
        <w:jc w:val="left"/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仿宋_GB2312" w:cs="Times New Roman"/>
          <w:b w:val="0"/>
          <w:bCs w:val="0"/>
          <w:sz w:val="32"/>
          <w:szCs w:val="32"/>
          <w:lang w:val="en-US" w:eastAsia="zh-CN"/>
        </w:rPr>
        <w:t>我单位无其他需要说明的问题。</w:t>
      </w:r>
    </w:p>
    <w:p>
      <w:pPr>
        <w:widowControl/>
        <w:numPr>
          <w:ilvl w:val="0"/>
          <w:numId w:val="0"/>
        </w:numPr>
        <w:spacing w:line="540" w:lineRule="exact"/>
        <w:ind w:left="640" w:firstLine="0"/>
        <w:jc w:val="both"/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eastAsia="黑体" w:cs="黑体"/>
          <w:b w:val="0"/>
          <w:bCs w:val="0"/>
          <w:sz w:val="32"/>
          <w:szCs w:val="32"/>
          <w:lang w:val="en-US" w:eastAsia="zh-CN"/>
        </w:rPr>
        <w:t>六、附件</w:t>
      </w:r>
    </w:p>
    <w:p>
      <w:pPr>
        <w:widowControl/>
        <w:spacing w:line="540" w:lineRule="exact"/>
        <w:ind w:firstLine="640"/>
        <w:jc w:val="left"/>
        <w:rPr>
          <w:rFonts w:hint="default" w:ascii="原版宋体" w:hAnsi="原版宋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原版宋体" w:hAnsi="原版宋体" w:cs="Times New Roman"/>
          <w:b w:val="0"/>
          <w:bCs w:val="0"/>
          <w:sz w:val="32"/>
          <w:szCs w:val="32"/>
          <w:lang w:val="en-US" w:eastAsia="zh-CN"/>
        </w:rPr>
        <w:t>转移支付区域（项目）绩效自评表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73BBC0A-10B5-4C88-BB78-5E9508FB16B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1B5E81BA-F7D7-4E42-A047-1673E4456998}"/>
  </w:font>
  <w:font w:name="原版宋体">
    <w:altName w:val="宋体"/>
    <w:panose1 w:val="02010600030101010101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00000000000000000"/>
    <w:charset w:val="86"/>
    <w:family w:val="script"/>
    <w:pitch w:val="default"/>
    <w:sig w:usb0="00000000" w:usb1="00000000" w:usb2="00000000" w:usb3="00000000" w:csb0="00000000" w:csb1="00000000"/>
    <w:embedRegular r:id="rId3" w:fontKey="{C4C9E401-3813-485D-A824-269CA036FC98}"/>
  </w:font>
  <w:font w:name="方正楷体_GB2312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3E76661B-9F81-48E1-8BB9-22D693B1609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55103F05-7530-462E-8077-B14676A04CD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8BB62C4F-3AC7-452C-81DE-3F6BBA42BE51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D64EE8"/>
    <w:multiLevelType w:val="singleLevel"/>
    <w:tmpl w:val="BAD64E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E2B69A"/>
    <w:multiLevelType w:val="singleLevel"/>
    <w:tmpl w:val="C8E2B69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9A21049"/>
    <w:multiLevelType w:val="singleLevel"/>
    <w:tmpl w:val="39A2104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NjQ2Njg1NjkzZDQ4ZjJhMWQ5Y2RmZWE5MjZjNmYifQ=="/>
  </w:docVars>
  <w:rsids>
    <w:rsidRoot w:val="486649F3"/>
    <w:rsid w:val="0A6C4717"/>
    <w:rsid w:val="0A8E365F"/>
    <w:rsid w:val="29235B3A"/>
    <w:rsid w:val="2A1F79AA"/>
    <w:rsid w:val="2D214A86"/>
    <w:rsid w:val="3615064B"/>
    <w:rsid w:val="3A37489C"/>
    <w:rsid w:val="3D25605E"/>
    <w:rsid w:val="486649F3"/>
    <w:rsid w:val="62E8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2024-03-15T01:20:00Z</dcterms:created>
  <dc:creator>kailis</dc:creator>
  <cp:lastModifiedBy>Administrator</cp:lastModifiedBy>
  <dcterms:modified xsi:type="dcterms:W3CDTF">2024-05-21T03:06:39Z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2B4AA1E87422478BBD729E2E1A2D23AB_13</vt:lpwstr>
  </property>
</Properties>
</file>