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kern w:val="0"/>
          <w:szCs w:val="32"/>
        </w:rPr>
      </w:pPr>
    </w:p>
    <w:p>
      <w:pPr>
        <w:jc w:val="center"/>
        <w:rPr>
          <w:rFonts w:ascii="仿宋" w:hAnsi="仿宋" w:eastAsia="仿宋" w:cs="仿宋"/>
          <w:sz w:val="48"/>
          <w:szCs w:val="48"/>
        </w:rPr>
      </w:pPr>
      <w:r>
        <w:rPr>
          <w:rFonts w:hint="eastAsia" w:ascii="仿宋" w:hAnsi="仿宋" w:eastAsia="仿宋" w:cs="仿宋"/>
          <w:sz w:val="48"/>
          <w:szCs w:val="48"/>
        </w:rPr>
        <w:t>2023年度益阳市资阳区市场监督管理局</w:t>
      </w:r>
    </w:p>
    <w:p>
      <w:pPr>
        <w:pStyle w:val="2"/>
        <w:ind w:left="640" w:firstLine="640"/>
      </w:pPr>
    </w:p>
    <w:p>
      <w:pPr>
        <w:jc w:val="center"/>
        <w:rPr>
          <w:rFonts w:ascii="仿宋" w:hAnsi="仿宋" w:eastAsia="仿宋" w:cs="仿宋"/>
          <w:sz w:val="48"/>
          <w:szCs w:val="48"/>
        </w:rPr>
      </w:pPr>
      <w:r>
        <w:rPr>
          <w:rFonts w:hint="eastAsia" w:ascii="仿宋" w:hAnsi="仿宋" w:eastAsia="仿宋" w:cs="仿宋"/>
          <w:sz w:val="48"/>
          <w:szCs w:val="48"/>
        </w:rPr>
        <w:t>部门整体支出绩效自评报告</w:t>
      </w:r>
    </w:p>
    <w:p>
      <w:pPr>
        <w:jc w:val="center"/>
        <w:rPr>
          <w:rFonts w:ascii="仿宋" w:hAnsi="仿宋" w:eastAsia="仿宋" w:cs="仿宋"/>
          <w:szCs w:val="32"/>
        </w:rPr>
      </w:pPr>
    </w:p>
    <w:p>
      <w:pPr>
        <w:jc w:val="center"/>
        <w:rPr>
          <w:rFonts w:ascii="仿宋" w:hAnsi="仿宋" w:eastAsia="仿宋" w:cs="仿宋"/>
          <w:szCs w:val="32"/>
        </w:rPr>
      </w:pPr>
    </w:p>
    <w:p>
      <w:pPr>
        <w:ind w:firstLine="880" w:firstLineChars="200"/>
        <w:jc w:val="center"/>
        <w:rPr>
          <w:rFonts w:ascii="仿宋" w:hAnsi="仿宋" w:eastAsia="仿宋" w:cs="仿宋"/>
          <w:sz w:val="44"/>
          <w:szCs w:val="44"/>
        </w:rPr>
      </w:pPr>
    </w:p>
    <w:p>
      <w:pPr>
        <w:ind w:firstLine="880" w:firstLineChars="200"/>
        <w:jc w:val="center"/>
        <w:rPr>
          <w:rFonts w:ascii="仿宋" w:hAnsi="仿宋" w:eastAsia="仿宋" w:cs="仿宋"/>
          <w:sz w:val="44"/>
          <w:szCs w:val="44"/>
        </w:rPr>
      </w:pPr>
    </w:p>
    <w:p>
      <w:pPr>
        <w:ind w:firstLine="720" w:firstLineChars="200"/>
        <w:rPr>
          <w:rFonts w:ascii="仿宋" w:hAnsi="仿宋" w:eastAsia="仿宋" w:cs="仿宋"/>
          <w:sz w:val="36"/>
          <w:szCs w:val="36"/>
        </w:rPr>
      </w:pPr>
    </w:p>
    <w:p>
      <w:pPr>
        <w:ind w:firstLine="720" w:firstLineChars="200"/>
        <w:rPr>
          <w:rFonts w:ascii="仿宋" w:hAnsi="仿宋" w:eastAsia="仿宋" w:cs="仿宋"/>
          <w:sz w:val="36"/>
          <w:szCs w:val="36"/>
        </w:rPr>
      </w:pPr>
    </w:p>
    <w:p>
      <w:pPr>
        <w:ind w:firstLine="720" w:firstLineChars="200"/>
        <w:rPr>
          <w:rFonts w:ascii="仿宋" w:hAnsi="仿宋" w:eastAsia="仿宋" w:cs="仿宋"/>
          <w:sz w:val="36"/>
          <w:szCs w:val="36"/>
          <w:u w:val="single"/>
        </w:rPr>
      </w:pPr>
      <w:r>
        <w:rPr>
          <w:rFonts w:hint="eastAsia" w:ascii="仿宋" w:hAnsi="仿宋" w:eastAsia="仿宋" w:cs="仿宋"/>
          <w:sz w:val="36"/>
          <w:szCs w:val="36"/>
        </w:rPr>
        <w:t xml:space="preserve">部门（单位）名称： </w:t>
      </w:r>
      <w:r>
        <w:rPr>
          <w:rFonts w:hint="eastAsia" w:ascii="仿宋" w:hAnsi="仿宋" w:eastAsia="仿宋" w:cs="仿宋"/>
          <w:sz w:val="36"/>
          <w:szCs w:val="36"/>
          <w:u w:val="single"/>
        </w:rPr>
        <w:t xml:space="preserve">（盖章）       </w:t>
      </w:r>
    </w:p>
    <w:p>
      <w:pPr>
        <w:ind w:firstLine="3240" w:firstLineChars="900"/>
        <w:rPr>
          <w:rFonts w:ascii="仿宋" w:hAnsi="仿宋" w:eastAsia="仿宋" w:cs="仿宋"/>
          <w:sz w:val="36"/>
          <w:szCs w:val="36"/>
        </w:rPr>
      </w:pPr>
    </w:p>
    <w:p>
      <w:pPr>
        <w:ind w:firstLine="3240" w:firstLineChars="900"/>
        <w:rPr>
          <w:rFonts w:ascii="仿宋" w:hAnsi="仿宋" w:eastAsia="仿宋" w:cs="仿宋"/>
          <w:sz w:val="36"/>
          <w:szCs w:val="36"/>
        </w:rPr>
      </w:pPr>
    </w:p>
    <w:p>
      <w:pPr>
        <w:ind w:firstLine="3240" w:firstLineChars="900"/>
        <w:rPr>
          <w:rFonts w:ascii="仿宋" w:hAnsi="仿宋" w:eastAsia="仿宋" w:cs="仿宋"/>
          <w:sz w:val="36"/>
          <w:szCs w:val="36"/>
        </w:rPr>
      </w:pPr>
    </w:p>
    <w:p>
      <w:pPr>
        <w:ind w:firstLine="3240" w:firstLineChars="900"/>
        <w:rPr>
          <w:rFonts w:ascii="仿宋" w:hAnsi="仿宋" w:eastAsia="仿宋" w:cs="仿宋"/>
          <w:sz w:val="36"/>
          <w:szCs w:val="36"/>
        </w:rPr>
      </w:pPr>
    </w:p>
    <w:p>
      <w:pPr>
        <w:ind w:firstLine="3240" w:firstLineChars="900"/>
        <w:rPr>
          <w:rFonts w:ascii="仿宋" w:hAnsi="仿宋" w:eastAsia="仿宋" w:cs="仿宋"/>
          <w:sz w:val="36"/>
          <w:szCs w:val="36"/>
        </w:rPr>
      </w:pPr>
    </w:p>
    <w:p>
      <w:pPr>
        <w:ind w:firstLine="3240" w:firstLineChars="900"/>
        <w:rPr>
          <w:rFonts w:ascii="仿宋" w:hAnsi="仿宋" w:eastAsia="仿宋" w:cs="仿宋"/>
          <w:sz w:val="36"/>
          <w:szCs w:val="36"/>
        </w:rPr>
      </w:pPr>
    </w:p>
    <w:p>
      <w:pPr>
        <w:ind w:firstLine="3240" w:firstLineChars="900"/>
        <w:rPr>
          <w:rFonts w:ascii="仿宋" w:hAnsi="仿宋" w:eastAsia="仿宋" w:cs="仿宋"/>
          <w:sz w:val="36"/>
          <w:szCs w:val="36"/>
          <w:u w:val="single"/>
        </w:rPr>
      </w:pPr>
      <w:r>
        <w:rPr>
          <w:rFonts w:hint="eastAsia" w:ascii="仿宋" w:hAnsi="仿宋" w:eastAsia="仿宋" w:cs="仿宋"/>
          <w:sz w:val="36"/>
          <w:szCs w:val="36"/>
        </w:rPr>
        <w:t>年   月   日</w:t>
      </w:r>
    </w:p>
    <w:p>
      <w:pPr>
        <w:jc w:val="center"/>
        <w:rPr>
          <w:rFonts w:ascii="仿宋" w:hAnsi="仿宋" w:eastAsia="仿宋" w:cs="仿宋"/>
          <w:szCs w:val="32"/>
        </w:rPr>
      </w:pPr>
    </w:p>
    <w:p>
      <w:pPr>
        <w:jc w:val="center"/>
        <w:rPr>
          <w:rFonts w:ascii="仿宋" w:hAnsi="仿宋" w:eastAsia="仿宋" w:cs="仿宋"/>
          <w:szCs w:val="32"/>
        </w:rPr>
      </w:pPr>
      <w:r>
        <w:rPr>
          <w:rFonts w:hint="eastAsia" w:ascii="仿宋" w:hAnsi="仿宋" w:eastAsia="仿宋" w:cs="仿宋"/>
          <w:szCs w:val="32"/>
        </w:rPr>
        <w:t xml:space="preserve">  （此页为封面）</w:t>
      </w:r>
    </w:p>
    <w:p>
      <w:pPr>
        <w:spacing w:line="560" w:lineRule="exact"/>
        <w:ind w:firstLine="360" w:firstLineChars="100"/>
        <w:jc w:val="center"/>
        <w:rPr>
          <w:rFonts w:ascii="仿宋" w:hAnsi="仿宋" w:eastAsia="仿宋" w:cs="仿宋"/>
          <w:sz w:val="36"/>
          <w:szCs w:val="36"/>
        </w:rPr>
      </w:pPr>
    </w:p>
    <w:p>
      <w:pPr>
        <w:spacing w:line="600" w:lineRule="exact"/>
        <w:ind w:firstLine="1928" w:firstLineChars="600"/>
        <w:rPr>
          <w:rFonts w:ascii="仿宋_GB2312" w:hAnsi="仿宋_GB2312" w:cs="仿宋_GB2312"/>
          <w:b/>
          <w:bCs/>
          <w:kern w:val="0"/>
          <w:szCs w:val="32"/>
        </w:rPr>
      </w:pPr>
    </w:p>
    <w:p>
      <w:pPr>
        <w:spacing w:line="600" w:lineRule="exact"/>
        <w:rPr>
          <w:rFonts w:ascii="仿宋_GB2312" w:hAnsi="仿宋_GB2312" w:cs="仿宋_GB2312"/>
          <w:b/>
          <w:bCs/>
          <w:kern w:val="0"/>
          <w:szCs w:val="32"/>
        </w:rPr>
      </w:pPr>
    </w:p>
    <w:p>
      <w:pPr>
        <w:spacing w:line="600" w:lineRule="exact"/>
        <w:jc w:val="center"/>
        <w:rPr>
          <w:rFonts w:ascii="仿宋_GB2312" w:hAnsi="仿宋_GB2312" w:cs="仿宋_GB2312"/>
          <w:b/>
          <w:bCs/>
          <w:kern w:val="0"/>
          <w:szCs w:val="32"/>
        </w:rPr>
      </w:pPr>
      <w:r>
        <w:rPr>
          <w:rFonts w:hint="eastAsia" w:ascii="仿宋_GB2312" w:hAnsi="仿宋_GB2312" w:cs="仿宋_GB2312"/>
          <w:b/>
          <w:bCs/>
          <w:kern w:val="0"/>
          <w:szCs w:val="32"/>
        </w:rPr>
        <w:t>2023年度益阳市资阳区市场监督管理局</w:t>
      </w:r>
    </w:p>
    <w:p>
      <w:pPr>
        <w:spacing w:line="600" w:lineRule="exact"/>
        <w:jc w:val="center"/>
        <w:rPr>
          <w:rFonts w:ascii="仿宋_GB2312" w:hAnsi="仿宋_GB2312" w:cs="仿宋_GB2312"/>
          <w:b/>
          <w:bCs/>
          <w:kern w:val="0"/>
          <w:szCs w:val="32"/>
        </w:rPr>
      </w:pPr>
      <w:r>
        <w:rPr>
          <w:rFonts w:hint="eastAsia" w:ascii="仿宋_GB2312" w:hAnsi="仿宋_GB2312" w:cs="仿宋_GB2312"/>
          <w:b/>
          <w:bCs/>
          <w:kern w:val="0"/>
          <w:szCs w:val="32"/>
        </w:rPr>
        <w:t>部门整体支出绩效自评报告</w:t>
      </w:r>
    </w:p>
    <w:p>
      <w:pPr>
        <w:spacing w:line="600" w:lineRule="exact"/>
        <w:ind w:firstLine="627" w:firstLineChars="196"/>
        <w:rPr>
          <w:rFonts w:ascii="仿宋_GB2312" w:hAnsi="仿宋_GB2312" w:cs="仿宋_GB2312"/>
          <w:kern w:val="0"/>
          <w:szCs w:val="32"/>
        </w:rPr>
      </w:pPr>
    </w:p>
    <w:p>
      <w:pPr>
        <w:widowControl/>
        <w:autoSpaceDN w:val="0"/>
        <w:spacing w:line="540" w:lineRule="exact"/>
        <w:ind w:firstLine="640"/>
        <w:rPr>
          <w:rFonts w:ascii="黑体" w:hAnsi="黑体" w:eastAsia="黑体" w:cs="宋体"/>
          <w:color w:val="000000"/>
          <w:kern w:val="0"/>
          <w:szCs w:val="32"/>
        </w:rPr>
      </w:pPr>
      <w:r>
        <w:rPr>
          <w:rFonts w:hint="eastAsia" w:ascii="黑体" w:hAnsi="黑体" w:eastAsia="黑体" w:cs="宋体"/>
          <w:color w:val="000000"/>
          <w:kern w:val="0"/>
          <w:szCs w:val="32"/>
        </w:rPr>
        <w:t>一、部门概况</w:t>
      </w:r>
    </w:p>
    <w:p>
      <w:pPr>
        <w:spacing w:line="600" w:lineRule="exact"/>
        <w:ind w:firstLine="627" w:firstLineChars="196"/>
        <w:rPr>
          <w:rFonts w:ascii="仿宋_GB2312" w:hAnsi="仿宋_GB2312" w:cs="仿宋_GB2312"/>
          <w:kern w:val="0"/>
          <w:szCs w:val="32"/>
        </w:rPr>
      </w:pPr>
      <w:r>
        <w:rPr>
          <w:rFonts w:hint="eastAsia" w:ascii="仿宋_GB2312" w:hAnsi="仿宋_GB2312" w:cs="仿宋_GB2312"/>
          <w:kern w:val="0"/>
          <w:szCs w:val="32"/>
        </w:rPr>
        <w:t>（一）2023年度重点工作计划：</w:t>
      </w:r>
    </w:p>
    <w:p>
      <w:pPr>
        <w:spacing w:line="560" w:lineRule="exact"/>
        <w:ind w:firstLine="640" w:firstLineChars="200"/>
        <w:rPr>
          <w:rFonts w:ascii="仿宋_GB2312" w:cs="仿宋_GB2312"/>
          <w:szCs w:val="32"/>
        </w:rPr>
      </w:pPr>
      <w:r>
        <w:rPr>
          <w:rFonts w:hint="eastAsia" w:ascii="仿宋_GB2312" w:cs="仿宋_GB2312"/>
          <w:szCs w:val="32"/>
        </w:rPr>
        <w:t xml:space="preserve">1.负责市场综合监督管理。 </w:t>
      </w:r>
    </w:p>
    <w:p>
      <w:pPr>
        <w:spacing w:line="560" w:lineRule="exact"/>
        <w:ind w:firstLine="640" w:firstLineChars="200"/>
        <w:rPr>
          <w:rFonts w:ascii="仿宋_GB2312" w:cs="仿宋_GB2312"/>
          <w:szCs w:val="32"/>
        </w:rPr>
      </w:pPr>
      <w:r>
        <w:rPr>
          <w:rFonts w:hint="eastAsia" w:ascii="仿宋_GB2312" w:cs="仿宋_GB2312"/>
          <w:szCs w:val="32"/>
        </w:rPr>
        <w:t>2.负责市场主体统一登记注册。</w:t>
      </w:r>
    </w:p>
    <w:p>
      <w:pPr>
        <w:spacing w:line="560" w:lineRule="exact"/>
        <w:ind w:firstLine="640" w:firstLineChars="200"/>
        <w:rPr>
          <w:rFonts w:ascii="仿宋_GB2312" w:cs="仿宋_GB2312"/>
          <w:szCs w:val="32"/>
        </w:rPr>
      </w:pPr>
      <w:r>
        <w:rPr>
          <w:rFonts w:hint="eastAsia" w:ascii="仿宋_GB2312" w:cs="仿宋_GB2312"/>
          <w:szCs w:val="32"/>
        </w:rPr>
        <w:t xml:space="preserve">3.负责权限范围内食品、药品、医疗器械、特种设备、计量器具的许可管理。 </w:t>
      </w:r>
    </w:p>
    <w:p>
      <w:pPr>
        <w:spacing w:line="560" w:lineRule="exact"/>
        <w:ind w:firstLine="640" w:firstLineChars="200"/>
        <w:rPr>
          <w:rFonts w:ascii="仿宋_GB2312" w:cs="仿宋_GB2312"/>
          <w:szCs w:val="32"/>
        </w:rPr>
      </w:pPr>
      <w:r>
        <w:rPr>
          <w:rFonts w:hint="eastAsia" w:ascii="仿宋_GB2312" w:cs="仿宋_GB2312"/>
          <w:szCs w:val="32"/>
        </w:rPr>
        <w:t xml:space="preserve">4.负责市场监管综合执法工作。 </w:t>
      </w:r>
    </w:p>
    <w:p>
      <w:pPr>
        <w:spacing w:line="560" w:lineRule="exact"/>
        <w:ind w:firstLine="640" w:firstLineChars="200"/>
        <w:rPr>
          <w:rFonts w:ascii="仿宋_GB2312" w:cs="仿宋_GB2312"/>
          <w:szCs w:val="32"/>
        </w:rPr>
      </w:pPr>
      <w:r>
        <w:rPr>
          <w:rFonts w:hint="eastAsia" w:ascii="仿宋_GB2312" w:cs="仿宋_GB2312"/>
          <w:szCs w:val="32"/>
        </w:rPr>
        <w:t>5.依委托负责反垄断统一执法工作。</w:t>
      </w:r>
    </w:p>
    <w:p>
      <w:pPr>
        <w:spacing w:line="560" w:lineRule="exact"/>
        <w:ind w:firstLine="640" w:firstLineChars="200"/>
        <w:rPr>
          <w:rFonts w:ascii="仿宋_GB2312" w:cs="仿宋_GB2312"/>
          <w:szCs w:val="32"/>
        </w:rPr>
      </w:pPr>
      <w:r>
        <w:rPr>
          <w:rFonts w:hint="eastAsia" w:ascii="仿宋_GB2312" w:cs="仿宋_GB2312"/>
          <w:szCs w:val="32"/>
        </w:rPr>
        <w:t>6.负责监督管理市场秩序。</w:t>
      </w:r>
    </w:p>
    <w:p>
      <w:pPr>
        <w:spacing w:line="560" w:lineRule="exact"/>
        <w:ind w:firstLine="640" w:firstLineChars="200"/>
        <w:rPr>
          <w:rFonts w:ascii="仿宋_GB2312" w:cs="仿宋_GB2312"/>
          <w:szCs w:val="32"/>
        </w:rPr>
      </w:pPr>
      <w:r>
        <w:rPr>
          <w:rFonts w:hint="eastAsia" w:ascii="仿宋_GB2312" w:cs="仿宋_GB2312"/>
          <w:szCs w:val="32"/>
        </w:rPr>
        <w:t>7.负责宏观质量管理。</w:t>
      </w:r>
    </w:p>
    <w:p>
      <w:pPr>
        <w:spacing w:line="560" w:lineRule="exact"/>
        <w:ind w:firstLine="640" w:firstLineChars="200"/>
        <w:rPr>
          <w:rFonts w:ascii="仿宋_GB2312" w:cs="仿宋_GB2312"/>
          <w:szCs w:val="32"/>
        </w:rPr>
      </w:pPr>
      <w:r>
        <w:rPr>
          <w:rFonts w:hint="eastAsia" w:ascii="仿宋_GB2312" w:cs="仿宋_GB2312"/>
          <w:szCs w:val="32"/>
        </w:rPr>
        <w:t>8.负责产品质量安全监督管理。</w:t>
      </w:r>
    </w:p>
    <w:p>
      <w:pPr>
        <w:spacing w:line="560" w:lineRule="exact"/>
        <w:ind w:firstLine="640" w:firstLineChars="200"/>
        <w:rPr>
          <w:rFonts w:ascii="仿宋_GB2312" w:cs="仿宋_GB2312"/>
          <w:szCs w:val="32"/>
        </w:rPr>
      </w:pPr>
      <w:r>
        <w:rPr>
          <w:rFonts w:hint="eastAsia" w:ascii="仿宋_GB2312" w:cs="仿宋_GB2312"/>
          <w:szCs w:val="32"/>
        </w:rPr>
        <w:t xml:space="preserve">9.负责特种设备安全监督管理。 </w:t>
      </w:r>
    </w:p>
    <w:p>
      <w:pPr>
        <w:spacing w:line="560" w:lineRule="exact"/>
        <w:ind w:firstLine="640" w:firstLineChars="200"/>
        <w:rPr>
          <w:rFonts w:ascii="仿宋_GB2312" w:cs="仿宋_GB2312"/>
          <w:szCs w:val="32"/>
        </w:rPr>
      </w:pPr>
      <w:r>
        <w:rPr>
          <w:rFonts w:hint="eastAsia" w:ascii="仿宋_GB2312" w:cs="仿宋_GB2312"/>
          <w:szCs w:val="32"/>
        </w:rPr>
        <w:t xml:space="preserve">10.负责食品安全监督管理综合协调。 </w:t>
      </w:r>
    </w:p>
    <w:p>
      <w:pPr>
        <w:spacing w:line="560" w:lineRule="exact"/>
        <w:ind w:firstLine="640" w:firstLineChars="200"/>
        <w:rPr>
          <w:rFonts w:ascii="仿宋_GB2312" w:cs="仿宋_GB2312"/>
          <w:szCs w:val="32"/>
        </w:rPr>
      </w:pPr>
      <w:r>
        <w:rPr>
          <w:rFonts w:hint="eastAsia" w:ascii="仿宋_GB2312" w:cs="仿宋_GB2312"/>
          <w:szCs w:val="32"/>
        </w:rPr>
        <w:t xml:space="preserve">11.负责食品安全监督管理。 </w:t>
      </w:r>
    </w:p>
    <w:p>
      <w:pPr>
        <w:spacing w:line="560" w:lineRule="exact"/>
        <w:ind w:firstLine="640" w:firstLineChars="200"/>
        <w:rPr>
          <w:rFonts w:ascii="仿宋_GB2312" w:cs="仿宋_GB2312"/>
          <w:szCs w:val="32"/>
        </w:rPr>
      </w:pPr>
      <w:r>
        <w:rPr>
          <w:rFonts w:hint="eastAsia" w:ascii="仿宋_GB2312" w:cs="仿宋_GB2312"/>
          <w:szCs w:val="32"/>
        </w:rPr>
        <w:t>12.负责权限内的药品、医疗器械和化妆品标准管理和质量管理。</w:t>
      </w:r>
    </w:p>
    <w:p>
      <w:pPr>
        <w:spacing w:line="560" w:lineRule="exact"/>
        <w:ind w:firstLine="640" w:firstLineChars="200"/>
        <w:rPr>
          <w:rFonts w:ascii="仿宋_GB2312" w:cs="仿宋_GB2312"/>
          <w:szCs w:val="32"/>
        </w:rPr>
      </w:pPr>
      <w:r>
        <w:rPr>
          <w:rFonts w:hint="eastAsia" w:ascii="仿宋_GB2312" w:cs="仿宋_GB2312"/>
          <w:szCs w:val="32"/>
        </w:rPr>
        <w:t>13.负责药品、医疗器械和化妆品安全监督管理。</w:t>
      </w:r>
    </w:p>
    <w:p>
      <w:pPr>
        <w:spacing w:line="560" w:lineRule="exact"/>
        <w:ind w:firstLine="640" w:firstLineChars="200"/>
        <w:rPr>
          <w:rFonts w:ascii="仿宋_GB2312" w:cs="仿宋_GB2312"/>
          <w:szCs w:val="32"/>
        </w:rPr>
      </w:pPr>
      <w:r>
        <w:rPr>
          <w:rFonts w:hint="eastAsia" w:ascii="仿宋_GB2312" w:cs="仿宋_GB2312"/>
          <w:szCs w:val="32"/>
        </w:rPr>
        <w:t xml:space="preserve">14.负责权限内药品、医疗器械和化妆品上市后风险管理。 </w:t>
      </w:r>
    </w:p>
    <w:p>
      <w:pPr>
        <w:spacing w:line="560" w:lineRule="exact"/>
        <w:ind w:firstLine="640" w:firstLineChars="200"/>
        <w:rPr>
          <w:rFonts w:ascii="仿宋_GB2312" w:cs="仿宋_GB2312"/>
          <w:szCs w:val="32"/>
        </w:rPr>
      </w:pPr>
      <w:r>
        <w:rPr>
          <w:rFonts w:hint="eastAsia" w:ascii="仿宋_GB2312" w:cs="仿宋_GB2312"/>
          <w:szCs w:val="32"/>
        </w:rPr>
        <w:t>15.负责统一管理计量工作。</w:t>
      </w:r>
    </w:p>
    <w:p>
      <w:pPr>
        <w:spacing w:line="560" w:lineRule="exact"/>
        <w:ind w:firstLine="640" w:firstLineChars="200"/>
        <w:rPr>
          <w:rFonts w:ascii="仿宋_GB2312" w:cs="仿宋_GB2312"/>
          <w:szCs w:val="32"/>
        </w:rPr>
      </w:pPr>
      <w:r>
        <w:rPr>
          <w:rFonts w:hint="eastAsia" w:ascii="仿宋_GB2312" w:cs="仿宋_GB2312"/>
          <w:szCs w:val="32"/>
        </w:rPr>
        <w:t xml:space="preserve">16.负责统一管理标准化工作。 </w:t>
      </w:r>
    </w:p>
    <w:p>
      <w:pPr>
        <w:spacing w:line="560" w:lineRule="exact"/>
        <w:ind w:firstLine="640" w:firstLineChars="200"/>
        <w:rPr>
          <w:rFonts w:ascii="仿宋_GB2312" w:cs="仿宋_GB2312"/>
          <w:szCs w:val="32"/>
        </w:rPr>
      </w:pPr>
      <w:r>
        <w:rPr>
          <w:rFonts w:hint="eastAsia" w:ascii="仿宋_GB2312" w:cs="仿宋_GB2312"/>
          <w:szCs w:val="32"/>
        </w:rPr>
        <w:t xml:space="preserve">17.负责统一管理检验检测工作。 </w:t>
      </w:r>
    </w:p>
    <w:p>
      <w:pPr>
        <w:spacing w:line="560" w:lineRule="exact"/>
        <w:ind w:firstLine="640" w:firstLineChars="200"/>
        <w:rPr>
          <w:rFonts w:ascii="仿宋_GB2312" w:cs="仿宋_GB2312"/>
          <w:szCs w:val="32"/>
        </w:rPr>
      </w:pPr>
      <w:r>
        <w:rPr>
          <w:rFonts w:hint="eastAsia" w:ascii="仿宋_GB2312" w:cs="仿宋_GB2312"/>
          <w:szCs w:val="32"/>
        </w:rPr>
        <w:t xml:space="preserve">18.负责统一管理、监督和综合协调认证认可工作。 </w:t>
      </w:r>
    </w:p>
    <w:p>
      <w:pPr>
        <w:spacing w:line="560" w:lineRule="exact"/>
        <w:ind w:firstLine="640" w:firstLineChars="200"/>
        <w:rPr>
          <w:rFonts w:ascii="仿宋_GB2312" w:cs="仿宋_GB2312"/>
          <w:szCs w:val="32"/>
        </w:rPr>
      </w:pPr>
      <w:r>
        <w:rPr>
          <w:rFonts w:hint="eastAsia" w:ascii="仿宋_GB2312" w:cs="仿宋_GB2312"/>
          <w:szCs w:val="32"/>
        </w:rPr>
        <w:t xml:space="preserve">19.负责组织开展有关服务领域消费维权工作，指导消费者咨询、申诉、举报受理、处理和网络体系建设等工作。 </w:t>
      </w:r>
    </w:p>
    <w:p>
      <w:pPr>
        <w:spacing w:line="560" w:lineRule="exact"/>
        <w:ind w:firstLine="640" w:firstLineChars="200"/>
        <w:rPr>
          <w:rFonts w:ascii="仿宋_GB2312" w:cs="仿宋_GB2312"/>
          <w:szCs w:val="32"/>
        </w:rPr>
      </w:pPr>
      <w:r>
        <w:rPr>
          <w:rFonts w:hint="eastAsia" w:ascii="仿宋_GB2312" w:cs="仿宋_GB2312"/>
          <w:szCs w:val="32"/>
        </w:rPr>
        <w:t xml:space="preserve">20.负责知识产权监督管理。 </w:t>
      </w:r>
    </w:p>
    <w:p>
      <w:pPr>
        <w:spacing w:line="560" w:lineRule="exact"/>
        <w:ind w:firstLine="640" w:firstLineChars="200"/>
        <w:rPr>
          <w:rFonts w:ascii="仿宋_GB2312" w:cs="仿宋_GB2312"/>
          <w:szCs w:val="32"/>
        </w:rPr>
      </w:pPr>
      <w:r>
        <w:rPr>
          <w:rFonts w:hint="eastAsia" w:ascii="仿宋_GB2312" w:cs="仿宋_GB2312"/>
          <w:szCs w:val="32"/>
        </w:rPr>
        <w:t xml:space="preserve">21.负责市场监督管理系统的科技和信息化建设、新闻宣传、对外交流与合作。 </w:t>
      </w:r>
    </w:p>
    <w:p>
      <w:pPr>
        <w:spacing w:line="560" w:lineRule="exact"/>
        <w:ind w:firstLine="640" w:firstLineChars="200"/>
      </w:pPr>
      <w:r>
        <w:rPr>
          <w:rFonts w:hint="eastAsia" w:ascii="仿宋_GB2312" w:cs="仿宋_GB2312"/>
          <w:szCs w:val="32"/>
        </w:rPr>
        <w:t>22.完成区委、区政府交办的其他任务。</w:t>
      </w:r>
    </w:p>
    <w:p>
      <w:pPr>
        <w:spacing w:line="600" w:lineRule="exact"/>
        <w:ind w:firstLine="627" w:firstLineChars="196"/>
        <w:rPr>
          <w:rFonts w:ascii="仿宋_GB2312" w:hAnsi="仿宋_GB2312" w:cs="仿宋_GB2312"/>
          <w:kern w:val="0"/>
          <w:szCs w:val="32"/>
        </w:rPr>
      </w:pPr>
      <w:r>
        <w:rPr>
          <w:rFonts w:hint="eastAsia" w:ascii="仿宋_GB2312" w:hAnsi="仿宋_GB2312" w:cs="仿宋_GB2312"/>
          <w:kern w:val="0"/>
          <w:szCs w:val="32"/>
        </w:rPr>
        <w:t>（二）部门整体支出规模、使用方向、主要内容和涉及范围。</w:t>
      </w:r>
    </w:p>
    <w:p>
      <w:pPr>
        <w:spacing w:line="560" w:lineRule="exact"/>
        <w:ind w:firstLine="640" w:firstLineChars="200"/>
        <w:rPr>
          <w:rFonts w:ascii="仿宋_GB2312" w:cs="仿宋_GB2312"/>
          <w:szCs w:val="32"/>
        </w:rPr>
      </w:pPr>
      <w:r>
        <w:rPr>
          <w:rFonts w:hint="eastAsia" w:ascii="仿宋_GB2312" w:cs="仿宋_GB2312"/>
          <w:szCs w:val="32"/>
        </w:rPr>
        <w:t>2023年本部门的支出总额为2939.09万元，其中：基本支出2202.75万元，项目支出 736.34万元。支出使用方向包括行政运行、一般行政管理事务、市场主体管理、信息化建设、质量基础、药品事务、食品安全监管、其他市场监督管理事务等。支出涉及范围包括工资福利支出（包括基本工资、津贴补贴等）、商品和服务支出（办公费、印刷费、维修费等）、对个人和家庭的补助、资本性支出（采购固定资产）。</w:t>
      </w:r>
    </w:p>
    <w:p>
      <w:pPr>
        <w:widowControl/>
        <w:autoSpaceDN w:val="0"/>
        <w:spacing w:line="560" w:lineRule="exact"/>
        <w:ind w:firstLine="645"/>
        <w:rPr>
          <w:rFonts w:ascii="黑体" w:hAnsi="黑体" w:eastAsia="黑体" w:cs="黑体"/>
          <w:szCs w:val="32"/>
        </w:rPr>
      </w:pPr>
      <w:r>
        <w:rPr>
          <w:rFonts w:hint="eastAsia" w:ascii="黑体" w:hAnsi="黑体" w:eastAsia="黑体" w:cs="黑体"/>
          <w:color w:val="000000"/>
          <w:kern w:val="0"/>
          <w:szCs w:val="32"/>
        </w:rPr>
        <w:t>二、</w:t>
      </w:r>
      <w:r>
        <w:rPr>
          <w:rFonts w:hint="eastAsia" w:ascii="黑体" w:hAnsi="黑体" w:eastAsia="黑体" w:cs="黑体"/>
          <w:szCs w:val="32"/>
        </w:rPr>
        <w:t>一般公共预算支出情况</w:t>
      </w:r>
    </w:p>
    <w:p>
      <w:pPr>
        <w:spacing w:line="600" w:lineRule="exact"/>
        <w:ind w:firstLine="627" w:firstLineChars="196"/>
        <w:jc w:val="left"/>
        <w:rPr>
          <w:rFonts w:hint="eastAsia" w:ascii="仿宋_GB2312" w:hAnsi="仿宋_GB2312" w:cs="仿宋_GB2312"/>
          <w:kern w:val="0"/>
          <w:szCs w:val="32"/>
        </w:rPr>
      </w:pPr>
      <w:r>
        <w:rPr>
          <w:rFonts w:hint="eastAsia" w:ascii="仿宋_GB2312" w:hAnsi="仿宋_GB2312" w:cs="仿宋_GB2312"/>
          <w:kern w:val="0"/>
          <w:szCs w:val="32"/>
        </w:rPr>
        <w:t>（一）基本支出情况</w:t>
      </w:r>
    </w:p>
    <w:p>
      <w:pPr>
        <w:pStyle w:val="2"/>
        <w:ind w:left="640" w:firstLine="640"/>
      </w:pPr>
      <w:r>
        <w:rPr>
          <w:rFonts w:hint="eastAsia" w:ascii="仿宋_GB2312" w:cs="仿宋_GB2312"/>
          <w:szCs w:val="32"/>
        </w:rPr>
        <w:t>2023年本部门基本支出2202.75万元，其中人员经费支出1837.34万元、公用经费365.41万元。</w:t>
      </w:r>
    </w:p>
    <w:p>
      <w:pPr>
        <w:spacing w:line="600" w:lineRule="exact"/>
        <w:ind w:firstLine="627" w:firstLineChars="196"/>
        <w:jc w:val="left"/>
        <w:rPr>
          <w:rFonts w:hint="eastAsia" w:ascii="仿宋_GB2312" w:hAnsi="仿宋_GB2312" w:cs="仿宋_GB2312"/>
          <w:kern w:val="0"/>
          <w:szCs w:val="32"/>
        </w:rPr>
      </w:pPr>
      <w:r>
        <w:rPr>
          <w:rFonts w:hint="eastAsia" w:ascii="仿宋_GB2312" w:hAnsi="仿宋_GB2312" w:cs="仿宋_GB2312"/>
          <w:kern w:val="0"/>
          <w:szCs w:val="32"/>
        </w:rPr>
        <w:t>（二）项目支出情况</w:t>
      </w:r>
    </w:p>
    <w:p>
      <w:pPr>
        <w:pStyle w:val="2"/>
        <w:ind w:left="640" w:firstLine="640"/>
      </w:pPr>
      <w:r>
        <w:rPr>
          <w:rFonts w:hint="eastAsia" w:ascii="仿宋_GB2312" w:cs="仿宋_GB2312"/>
          <w:szCs w:val="32"/>
        </w:rPr>
        <w:t>2023年本部门项目支出 736.34万元，其中区级年初专项共97.94万元，分别为：农产品安全事务40万元，主要用于食品及食用农产品的抽检；打击传销专项5万元，主要用于开展打击传销行动和宣传费用；市场监督管理专项7万元，主要用于辖区内市场监督管理行动；药品事务8万元，主要用于药品抽检、用药安全宣传等；专利资助6万元，主要用于知识产权宣传教育、企业专利资助；安全生产专项整治三年行动经费5万元，主要用于开展安全生产教育、宣传；特种设备安全宣传教育5万元，主要用于特种设备的安全宣传；信息化建设8万元，主要用于购置国产电脑设备及系统；质量强区7万元，主要用于产商品抽检费用；消费者权益保护6.94万元，主要用于消费者权益保护的宣传活动。</w:t>
      </w:r>
    </w:p>
    <w:p>
      <w:pPr>
        <w:widowControl/>
        <w:autoSpaceDN w:val="0"/>
        <w:spacing w:line="540" w:lineRule="exact"/>
        <w:ind w:firstLine="640" w:firstLineChars="200"/>
        <w:rPr>
          <w:rFonts w:ascii="黑体" w:hAnsi="黑体" w:eastAsia="黑体" w:cs="宋体"/>
          <w:color w:val="000000"/>
          <w:kern w:val="0"/>
          <w:szCs w:val="32"/>
        </w:rPr>
      </w:pPr>
      <w:r>
        <w:rPr>
          <w:rFonts w:hint="eastAsia" w:ascii="黑体" w:hAnsi="黑体" w:eastAsia="黑体" w:cs="宋体"/>
          <w:color w:val="000000"/>
          <w:kern w:val="0"/>
          <w:szCs w:val="32"/>
        </w:rPr>
        <w:t>三、部门整体支出绩效情况</w:t>
      </w:r>
    </w:p>
    <w:p>
      <w:pPr>
        <w:topLinePunct/>
        <w:ind w:firstLine="640" w:firstLineChars="200"/>
        <w:rPr>
          <w:rFonts w:hint="eastAsia" w:ascii="仿宋_GB2312" w:cs="仿宋_GB2312"/>
          <w:szCs w:val="32"/>
        </w:rPr>
      </w:pPr>
      <w:r>
        <w:rPr>
          <w:rFonts w:hint="eastAsia" w:ascii="仿宋_GB2312" w:cs="仿宋_GB2312"/>
          <w:szCs w:val="32"/>
        </w:rPr>
        <w:t>根据区财政要求，严格进行绩效目标管理，通过建立合理完善的制度体系和高效有序的运转流程，增强部门整体支出的经济性、效率性、有效性和可持续性，切实提升单位整体支出效益，取得优秀成绩。</w:t>
      </w:r>
    </w:p>
    <w:p>
      <w:pPr>
        <w:spacing w:line="600" w:lineRule="exact"/>
        <w:ind w:firstLine="643" w:firstLineChars="200"/>
        <w:rPr>
          <w:rFonts w:ascii="仿宋_GB2312" w:hAnsi="仿宋_GB2312" w:cs="仿宋_GB2312"/>
          <w:kern w:val="0"/>
          <w:szCs w:val="32"/>
        </w:rPr>
      </w:pPr>
      <w:r>
        <w:rPr>
          <w:rFonts w:hint="eastAsia" w:ascii="楷体_GB2312" w:eastAsia="楷体_GB2312"/>
          <w:b/>
          <w:szCs w:val="32"/>
        </w:rPr>
        <w:t>（一）培育经营主体增速更快。</w:t>
      </w:r>
      <w:r>
        <w:rPr>
          <w:rFonts w:hint="eastAsia" w:ascii="仿宋_GB2312"/>
          <w:szCs w:val="32"/>
        </w:rPr>
        <w:t>围绕打好“发展六仗”和经营主体高质量发展目标，持续推进“一件事一次办”和企业开办便利化。通过政府门户网站完成“一件事一次办升级版”主题式、套餐式场景应用，为企业开办、变更、注销提供全生命周期、全流程优质服务。企业设立登记、</w:t>
      </w:r>
      <w:r>
        <w:rPr>
          <w:rFonts w:hint="eastAsia" w:ascii="仿宋_GB2312" w:hAnsi="仿宋" w:cs="仿宋"/>
          <w:szCs w:val="32"/>
        </w:rPr>
        <w:t>公章刻制等六个联办事项</w:t>
      </w:r>
      <w:r>
        <w:rPr>
          <w:rFonts w:hint="eastAsia" w:ascii="仿宋_GB2312"/>
          <w:szCs w:val="32"/>
        </w:rPr>
        <w:t>2小时内并联办结,企业全程网办率和“一网通办”准时办结率</w:t>
      </w:r>
      <w:r>
        <w:rPr>
          <w:rFonts w:hint="eastAsia" w:ascii="仿宋_GB2312" w:hAnsi="仿宋" w:cs="仿宋"/>
          <w:szCs w:val="32"/>
        </w:rPr>
        <w:t>均达100%。</w:t>
      </w:r>
      <w:r>
        <w:rPr>
          <w:rFonts w:hint="eastAsia" w:ascii="仿宋_GB2312"/>
          <w:szCs w:val="32"/>
        </w:rPr>
        <w:t>全面推行“一照多址”“一证多址”改革，认真落实告知承诺、容缺受理、简易注销、歇业备案等便企惠民措施，优质提供延时服务、预约服务、帮办代办、免费刻章、寄递服务等各类政务服务。完成“一照多址”备案登记3户，简易注销企业80户，歇业备案登记11家。全年</w:t>
      </w:r>
      <w:r>
        <w:rPr>
          <w:rFonts w:hint="eastAsia" w:ascii="仿宋" w:hAnsi="仿宋" w:eastAsia="仿宋" w:cs="仿宋"/>
          <w:szCs w:val="32"/>
        </w:rPr>
        <w:t>签发电子营业执照3787户，为企业提供寄递服务30余次，</w:t>
      </w:r>
      <w:r>
        <w:rPr>
          <w:rFonts w:hint="eastAsia" w:ascii="仿宋_GB2312"/>
          <w:szCs w:val="32"/>
        </w:rPr>
        <w:t>赠送企业首套印章</w:t>
      </w:r>
      <w:r>
        <w:rPr>
          <w:rFonts w:hint="eastAsia" w:ascii="仿宋" w:hAnsi="仿宋" w:eastAsia="仿宋" w:cs="仿宋"/>
          <w:szCs w:val="32"/>
        </w:rPr>
        <w:t>913 套（计3652枚）</w:t>
      </w:r>
      <w:r>
        <w:rPr>
          <w:rFonts w:hint="eastAsia" w:ascii="仿宋_GB2312"/>
          <w:szCs w:val="32"/>
        </w:rPr>
        <w:t>，为相关企业节省成本费用共计53万余元。2023年</w:t>
      </w:r>
      <w:r>
        <w:rPr>
          <w:rFonts w:hint="eastAsia" w:ascii="仿宋_GB2312" w:hAnsi="仿宋_GB2312" w:cs="仿宋_GB2312"/>
          <w:kern w:val="0"/>
          <w:szCs w:val="32"/>
        </w:rPr>
        <w:t>，全区新登记经营主体3787户，其中企业1319户、个体工商户2404户、农民专业合作社64户；新增企业注册资本（金）16.88亿元。</w:t>
      </w:r>
    </w:p>
    <w:p>
      <w:pPr>
        <w:ind w:firstLine="640" w:firstLineChars="200"/>
        <w:rPr>
          <w:rFonts w:ascii="仿宋" w:hAnsi="仿宋" w:eastAsia="仿宋" w:cs="仿宋"/>
          <w:color w:val="FF0000"/>
          <w:szCs w:val="32"/>
        </w:rPr>
      </w:pPr>
      <w:r>
        <w:rPr>
          <w:rFonts w:hint="eastAsia" w:ascii="仿宋_GB2312" w:hAnsi="仿宋_GB2312" w:cs="仿宋_GB2312"/>
          <w:kern w:val="0"/>
          <w:szCs w:val="32"/>
        </w:rPr>
        <w:t>截至2023年12月22日，资阳区实有经营主体总数40276户，净增2856户，同比增长7.63%，完成市定年度基本预期的103.18%。其中，实有企业7927户，净增1118户，同比增长16.42%，完成市定年度基本预期的147.88%；实有个体工商户31570户，净增1683户，同比增长5.63%；实有农民专业合作社779户，净增55户，同比增长7.6%。完成“个转企”培育53家，完成市定年度基本预期的108.16%。</w:t>
      </w:r>
    </w:p>
    <w:p>
      <w:pPr>
        <w:ind w:firstLine="630" w:firstLineChars="196"/>
        <w:rPr>
          <w:rFonts w:ascii="仿宋_GB2312"/>
          <w:szCs w:val="32"/>
        </w:rPr>
      </w:pPr>
      <w:r>
        <w:rPr>
          <w:rFonts w:hint="eastAsia" w:ascii="楷体_GB2312" w:eastAsia="楷体_GB2312"/>
          <w:b/>
          <w:szCs w:val="32"/>
        </w:rPr>
        <w:t>（二）创优营商环境服务更优。</w:t>
      </w:r>
      <w:r>
        <w:rPr>
          <w:rFonts w:hint="eastAsia" w:ascii="仿宋_GB2312"/>
          <w:szCs w:val="32"/>
        </w:rPr>
        <w:t>扎实开展“营商环境提升年”行动，出台我局涉企行政执法检查的十条规定，认真落实涉企检查年度计划、涉企重大行政处罚和实施涉企行政检查事前向区优化办备案制，集中安排时间对区内20家重点“四上”企业统一实施检查，启动使用“湖南营商码”赋码入企检查。进一步规范涉企检查行为，减少对企业的检查干扰，避免出现多头检查、重复检查，实现“进一次门、查多项事”。综合运用说服教育、预警提示、行政指导、行政约谈、行政告诫等柔性手段，大力实施审慎包容监管。全面推行涉企柔性执法“四张清单”，严格落实“首违不罚”“轻微免罚”监管举措。办理不予行政处罚案件14件、减轻处罚案件79件、从轻处罚案件87件，不予采取强制措施35起。法治市场监管建设成效明显，1件案件被市局评为“2023年度行政处罚案卷评查优秀典型案例”，1个案卷被评为“资阳区2023年度优秀执法案卷”，同时我局被益阳市局评为“2023年度益阳市法治市场监管建设A类单位”。</w:t>
      </w:r>
    </w:p>
    <w:p>
      <w:pPr>
        <w:ind w:firstLine="643" w:firstLineChars="200"/>
        <w:rPr>
          <w:rFonts w:ascii="仿宋_GB2312"/>
          <w:szCs w:val="32"/>
        </w:rPr>
      </w:pPr>
      <w:r>
        <w:rPr>
          <w:rFonts w:hint="eastAsia" w:ascii="楷体_GB2312" w:eastAsia="楷体_GB2312"/>
          <w:b/>
          <w:szCs w:val="32"/>
        </w:rPr>
        <w:t>（三）服务产业发展质量更高。</w:t>
      </w:r>
      <w:r>
        <w:rPr>
          <w:rFonts w:hint="eastAsia" w:ascii="仿宋_GB2312"/>
          <w:b/>
          <w:szCs w:val="32"/>
        </w:rPr>
        <w:t>一是有效推进质量提升。</w:t>
      </w:r>
      <w:r>
        <w:rPr>
          <w:rFonts w:hint="eastAsia" w:ascii="仿宋_GB2312"/>
          <w:szCs w:val="32"/>
        </w:rPr>
        <w:t>深入发动区内规模企业申报争创“第八届省长质量奖”，申报参与企业1家。积极推荐明正宏、鸿源稀土等6家企业高端产品申报“湖南名品”，1家企业入围。</w:t>
      </w:r>
      <w:r>
        <w:rPr>
          <w:rFonts w:hint="eastAsia" w:ascii="仿宋_GB2312" w:hAnsi="微软雅黑"/>
          <w:szCs w:val="32"/>
          <w:shd w:val="clear" w:color="auto" w:fill="FFFFFF"/>
        </w:rPr>
        <w:t>扶持小微企业做强做大，</w:t>
      </w:r>
      <w:r>
        <w:rPr>
          <w:rFonts w:hint="eastAsia" w:ascii="仿宋_GB2312"/>
          <w:szCs w:val="32"/>
        </w:rPr>
        <w:t>指导谦航现代农业科技等3家企业参与“小微企业质量管理体系认证”提升行动,获体系认证2家。扎实开展“质量月”活动，通过“质量体检进企业”重点帮扶中盛农业科技等2家中小企业有效破解质量发展难题。积极引导帮扶企业提升竞争力、做大做强，生力材料科技获第二届新湖南贡献奖，奥士康上榜2023三湘民营企业百强榜单。</w:t>
      </w:r>
      <w:r>
        <w:rPr>
          <w:rFonts w:hint="eastAsia" w:ascii="仿宋_GB2312"/>
          <w:b/>
          <w:szCs w:val="32"/>
        </w:rPr>
        <w:t>二是知识产权创新创造实现量质齐升。</w:t>
      </w:r>
      <w:r>
        <w:rPr>
          <w:rFonts w:hint="eastAsia" w:ascii="仿宋_GB2312"/>
          <w:szCs w:val="32"/>
        </w:rPr>
        <w:t>今年1-11月，全区专利授权量326件，其中发明专利59件。目前有效发明专利拥有量达242件，每万人口发明专利拥有量为6.93件；有效商标注册量5811件，马德里商标6件，PCT6件。</w:t>
      </w:r>
      <w:r>
        <w:rPr>
          <w:rFonts w:hint="eastAsia" w:ascii="仿宋_GB2312" w:hAnsi="Times New Roman"/>
          <w:szCs w:val="32"/>
        </w:rPr>
        <w:t>获评国家知识产权示范企业1家、优势企业1家。宇晶机器等3家企业获2023年湖南省商业秘密保护示范企业</w:t>
      </w:r>
      <w:r>
        <w:rPr>
          <w:rFonts w:hint="eastAsia" w:ascii="仿宋_GB2312"/>
          <w:szCs w:val="32"/>
        </w:rPr>
        <w:t>。奥士康公司一项发明专利获2023年度湖南专利奖初审通过。目前全区共有国家知识产权示范企业2家、优势企业9家，中国专利优秀奖2个、湖南专利奖5个，全省中小学知识产权教育试点学校1所。高规格召开全区知识产权工作会议，对41家企事业单位（个人）发放奖补资金64.6万元。开展知识产权“百企优培”行动，为西施生态、生力材料等15家企业在知识产权方面抒忧解困。引导企业树商标品牌，“宇晶机器”商标被国家知识产权局</w:t>
      </w:r>
      <w:r>
        <w:rPr>
          <w:rFonts w:hint="eastAsia" w:ascii="仿宋_GB2312" w:hAnsi="微软雅黑"/>
          <w:szCs w:val="32"/>
          <w:shd w:val="clear" w:color="auto" w:fill="FFFFFF"/>
        </w:rPr>
        <w:t>确定为全国首批参加“千企百城”</w:t>
      </w:r>
      <w:r>
        <w:rPr>
          <w:rFonts w:hint="eastAsia" w:ascii="仿宋_GB2312"/>
          <w:szCs w:val="32"/>
        </w:rPr>
        <w:t>商标品牌价值提升行动的</w:t>
      </w:r>
      <w:r>
        <w:rPr>
          <w:rFonts w:hint="eastAsia" w:ascii="仿宋_GB2312" w:hAnsi="微软雅黑"/>
          <w:szCs w:val="32"/>
          <w:shd w:val="clear" w:color="auto" w:fill="FFFFFF"/>
        </w:rPr>
        <w:t>企业商标品牌</w:t>
      </w:r>
      <w:r>
        <w:rPr>
          <w:rFonts w:hint="eastAsia" w:ascii="仿宋_GB2312"/>
          <w:szCs w:val="32"/>
        </w:rPr>
        <w:t>。加快培育申报“银城木槿”“张家塞甜酒”“刘家湖西瓜”地理标志产品及地理标志证明商标。推进知识产权质押融资“入园惠企”行动，鸿源稀土等5家企业实现专利权质押融资7100万元。鼓励企业加速创新成果转移转化，</w:t>
      </w:r>
      <w:r>
        <w:rPr>
          <w:rFonts w:hint="eastAsia" w:ascii="仿宋_GB2312" w:hAnsi="Times New Roman"/>
          <w:szCs w:val="32"/>
        </w:rPr>
        <w:t>全区专利开放许可次数达140余次，实现专利权转移转让83次，专利权备案311项。</w:t>
      </w:r>
      <w:r>
        <w:rPr>
          <w:rFonts w:hint="eastAsia" w:ascii="仿宋_GB2312"/>
          <w:szCs w:val="32"/>
        </w:rPr>
        <w:t>规范专利申请行为，撤回非正常专利申请38件。</w:t>
      </w:r>
      <w:r>
        <w:rPr>
          <w:rFonts w:ascii="Times New Roman" w:hAnsi="Times New Roman"/>
          <w:color w:val="000000" w:themeColor="text1"/>
          <w:szCs w:val="32"/>
          <w14:textFill>
            <w14:solidFill>
              <w14:schemeClr w14:val="tx1"/>
            </w14:solidFill>
          </w14:textFill>
        </w:rPr>
        <w:t>在全市</w:t>
      </w:r>
      <w:r>
        <w:rPr>
          <w:rFonts w:hint="eastAsia" w:ascii="Times New Roman" w:hAnsi="Times New Roman"/>
          <w:color w:val="000000" w:themeColor="text1"/>
          <w:szCs w:val="32"/>
          <w14:textFill>
            <w14:solidFill>
              <w14:schemeClr w14:val="tx1"/>
            </w14:solidFill>
          </w14:textFill>
        </w:rPr>
        <w:t>各</w:t>
      </w:r>
      <w:r>
        <w:rPr>
          <w:rFonts w:ascii="Times New Roman" w:hAnsi="Times New Roman"/>
          <w:color w:val="000000" w:themeColor="text1"/>
          <w:szCs w:val="32"/>
          <w14:textFill>
            <w14:solidFill>
              <w14:schemeClr w14:val="tx1"/>
            </w14:solidFill>
          </w14:textFill>
        </w:rPr>
        <w:t>县</w:t>
      </w:r>
      <w:r>
        <w:rPr>
          <w:rFonts w:hint="eastAsia" w:ascii="Times New Roman" w:hAnsi="Times New Roman"/>
          <w:color w:val="000000" w:themeColor="text1"/>
          <w:szCs w:val="32"/>
          <w14:textFill>
            <w14:solidFill>
              <w14:schemeClr w14:val="tx1"/>
            </w14:solidFill>
          </w14:textFill>
        </w:rPr>
        <w:t>市</w:t>
      </w:r>
      <w:r>
        <w:rPr>
          <w:rFonts w:ascii="Times New Roman" w:hAnsi="Times New Roman"/>
          <w:color w:val="000000" w:themeColor="text1"/>
          <w:szCs w:val="32"/>
          <w14:textFill>
            <w14:solidFill>
              <w14:schemeClr w14:val="tx1"/>
            </w14:solidFill>
          </w14:textFill>
        </w:rPr>
        <w:t>区率先</w:t>
      </w:r>
      <w:r>
        <w:rPr>
          <w:rFonts w:hint="eastAsia" w:ascii="Times New Roman" w:hAnsi="Times New Roman"/>
          <w:color w:val="000000" w:themeColor="text1"/>
          <w:szCs w:val="32"/>
          <w14:textFill>
            <w14:solidFill>
              <w14:schemeClr w14:val="tx1"/>
            </w14:solidFill>
          </w14:textFill>
        </w:rPr>
        <w:t>建成</w:t>
      </w:r>
      <w:r>
        <w:rPr>
          <w:rFonts w:ascii="Times New Roman" w:hAnsi="Times New Roman"/>
          <w:color w:val="000000" w:themeColor="text1"/>
          <w:szCs w:val="32"/>
          <w14:textFill>
            <w14:solidFill>
              <w14:schemeClr w14:val="tx1"/>
            </w14:solidFill>
          </w14:textFill>
        </w:rPr>
        <w:t>知识产权行政裁决试点</w:t>
      </w:r>
      <w:r>
        <w:rPr>
          <w:rFonts w:hint="eastAsia" w:ascii="Times New Roman" w:hAnsi="Times New Roman"/>
          <w:color w:val="000000" w:themeColor="text1"/>
          <w:szCs w:val="32"/>
          <w14:textFill>
            <w14:solidFill>
              <w14:schemeClr w14:val="tx1"/>
            </w14:solidFill>
          </w14:textFill>
        </w:rPr>
        <w:t>。全区各知识产权行政司法保护机构共处理专利侵权纠纷 17 起，其中行政裁决 2 起。知识产权侵权案件诉前调解 129 件、刑事判决 3 件、行政处罚 6 件</w:t>
      </w:r>
      <w:r>
        <w:rPr>
          <w:rFonts w:hint="eastAsia" w:ascii="仿宋_GB2312"/>
          <w:szCs w:val="32"/>
        </w:rPr>
        <w:t>。</w:t>
      </w:r>
      <w:r>
        <w:rPr>
          <w:rFonts w:hint="eastAsia" w:ascii="仿宋_GB2312"/>
          <w:b/>
          <w:szCs w:val="32"/>
        </w:rPr>
        <w:t>三是标准化工作开展有力。</w:t>
      </w:r>
      <w:r>
        <w:rPr>
          <w:rFonts w:hint="eastAsia" w:ascii="仿宋_GB2312"/>
          <w:szCs w:val="32"/>
        </w:rPr>
        <w:t>全国首个畜牧用棒香省级地方标准《畜牧用棒香通用技术条件》3月9日起正式实施。多途径开展木槿特色产业发展专题调研，积极推动木槿花食用标准制定及申报。</w:t>
      </w:r>
      <w:r>
        <w:rPr>
          <w:rFonts w:hint="eastAsia" w:ascii="仿宋" w:hAnsi="仿宋" w:eastAsia="仿宋" w:cs="仿宋"/>
          <w:color w:val="000000"/>
          <w:szCs w:val="32"/>
          <w:shd w:val="clear" w:color="auto" w:fill="FFFFFF"/>
        </w:rPr>
        <w:t>益阳鸿源稀土、</w:t>
      </w:r>
      <w:r>
        <w:rPr>
          <w:rFonts w:hint="eastAsia" w:ascii="仿宋_GB2312"/>
          <w:szCs w:val="32"/>
        </w:rPr>
        <w:t>湖南诺泽生物等企业</w:t>
      </w:r>
      <w:r>
        <w:rPr>
          <w:rFonts w:hint="eastAsia" w:ascii="仿宋" w:hAnsi="仿宋" w:eastAsia="仿宋" w:cs="仿宋"/>
          <w:szCs w:val="32"/>
          <w:shd w:val="clear" w:color="auto" w:fill="FFFFFF"/>
        </w:rPr>
        <w:t>参与制修订国家标准15项、行业标准16项、</w:t>
      </w:r>
      <w:r>
        <w:rPr>
          <w:rFonts w:hint="eastAsia" w:ascii="仿宋_GB2312"/>
          <w:szCs w:val="32"/>
        </w:rPr>
        <w:t>地方标准1项。谦航现代公司“棒香生产标准化研究试点”项目顺利通过市级标准化试点项目中期评估验收。加大对标准“领跑者”企业培育，指导18家企业完成质量提升对标达标提标创标工作，被市局评为“2023年度对标达标工作先进单位”。开展餐饮业四项国家标准、限制商品过度包装等国家标准宣贯及执行情况检查，提升餐饮业标准化管理水平，弘扬绿色简约新风尚。</w:t>
      </w:r>
      <w:r>
        <w:rPr>
          <w:rFonts w:hint="eastAsia" w:ascii="仿宋_GB2312"/>
          <w:b/>
          <w:szCs w:val="32"/>
        </w:rPr>
        <w:t>四是商业秘密保护不断强化。</w:t>
      </w:r>
      <w:r>
        <w:rPr>
          <w:rFonts w:hint="eastAsia" w:ascii="仿宋_GB2312"/>
          <w:szCs w:val="32"/>
        </w:rPr>
        <w:t>部署开展商业秘密保护创新试点，引导企业增强商业秘密保护意识和能力，提升核心竞争力。认真开展“商业秘密保护能力提升服务月”活动，培育和指导创建一批省级商业秘密保护示范企业。</w:t>
      </w:r>
      <w:r>
        <w:rPr>
          <w:rFonts w:hint="eastAsia" w:ascii="仿宋_GB2312" w:hAnsi="Times New Roman"/>
          <w:szCs w:val="32"/>
        </w:rPr>
        <w:t>宇晶机器等3家企业被确定为2023年湖南省商业秘密保护示范企业，全区目前省级商业秘密保护示范企业达4家。</w:t>
      </w:r>
      <w:r>
        <w:rPr>
          <w:rFonts w:hint="eastAsia" w:ascii="仿宋_GB2312"/>
          <w:szCs w:val="32"/>
        </w:rPr>
        <w:t xml:space="preserve"> </w:t>
      </w:r>
    </w:p>
    <w:p>
      <w:pPr>
        <w:ind w:firstLine="630" w:firstLineChars="196"/>
        <w:rPr>
          <w:rFonts w:ascii="楷体_GB2312" w:eastAsia="楷体_GB2312"/>
          <w:b/>
          <w:szCs w:val="32"/>
        </w:rPr>
      </w:pPr>
      <w:r>
        <w:rPr>
          <w:rFonts w:hint="eastAsia" w:ascii="楷体_GB2312" w:eastAsia="楷体_GB2312"/>
          <w:b/>
          <w:szCs w:val="32"/>
        </w:rPr>
        <w:t>（四）筑牢安全防线基石更牢。</w:t>
      </w:r>
      <w:r>
        <w:rPr>
          <w:rFonts w:hint="eastAsia" w:ascii="仿宋_GB2312"/>
          <w:szCs w:val="32"/>
        </w:rPr>
        <w:t>在黄家湖建成全市第一家食品药品安全科普基地并举行首届资阳食药论坛</w:t>
      </w:r>
      <w:r>
        <w:rPr>
          <w:rFonts w:hint="eastAsia" w:ascii="仿宋_GB2312" w:hAnsi="Arial" w:cs="Arial"/>
          <w:szCs w:val="32"/>
        </w:rPr>
        <w:t>。</w:t>
      </w:r>
      <w:r>
        <w:rPr>
          <w:rFonts w:hint="eastAsia" w:ascii="仿宋_GB2312"/>
          <w:szCs w:val="32"/>
        </w:rPr>
        <w:t>报请区人民政府常务会议研究并原则同意重建食品药品安全委员会和乡镇（街道、经开区）食品药品安全协管员、村食品药品安全信息员队伍。</w:t>
      </w:r>
    </w:p>
    <w:p>
      <w:pPr>
        <w:ind w:firstLine="630" w:firstLineChars="196"/>
        <w:rPr>
          <w:rFonts w:ascii="仿宋_GB2312" w:hAnsi="微软雅黑"/>
          <w:szCs w:val="32"/>
        </w:rPr>
      </w:pPr>
      <w:r>
        <w:rPr>
          <w:rFonts w:hint="eastAsia" w:ascii="仿宋_GB2312"/>
          <w:b/>
          <w:szCs w:val="32"/>
        </w:rPr>
        <w:t>一是不断夯实食品安全监管基础</w:t>
      </w:r>
      <w:r>
        <w:rPr>
          <w:rFonts w:hint="eastAsia" w:ascii="仿宋_GB2312"/>
          <w:szCs w:val="32"/>
        </w:rPr>
        <w:t>。创建省级食品安全示范区全面推进。“零小馋”等3家食品店成功创建为全市食品“三小”示范门店。食品安全“两个责任”三层三级包保关系</w:t>
      </w:r>
      <w:r>
        <w:rPr>
          <w:rFonts w:hint="eastAsia" w:ascii="仿宋_GB2312" w:hAnsi="微软雅黑"/>
          <w:szCs w:val="32"/>
        </w:rPr>
        <w:t>100%建立，</w:t>
      </w:r>
      <w:r>
        <w:rPr>
          <w:rFonts w:hint="eastAsia" w:ascii="仿宋_GB2312"/>
          <w:szCs w:val="32"/>
        </w:rPr>
        <w:t>623名包保干部匹配对应</w:t>
      </w:r>
      <w:r>
        <w:rPr>
          <w:rFonts w:hint="eastAsia" w:ascii="仿宋_GB2312"/>
          <w:color w:val="FF0000"/>
          <w:szCs w:val="32"/>
        </w:rPr>
        <w:t>3384户</w:t>
      </w:r>
      <w:r>
        <w:rPr>
          <w:rFonts w:hint="eastAsia" w:ascii="仿宋_GB2312"/>
          <w:szCs w:val="32"/>
        </w:rPr>
        <w:t>包保主体。“三清单、两配备、一承诺”“日管控、周排查、月调度”等机制有效落实。包保干部每季度督导任务完成率、包保主体数据归集率、问题整改完成率均达100%。组织开展对学校、医院、养老院、机关等集中用餐单位，学校食堂承包经营企业、校外供餐单位食品安全问题、违规使用“生鲜灯”专项治理，加强对保健食品、白酒、食盐、大米、茶叶、槟榔制品、包装饮用水、食品添加剂等重要食品及原料的监督检查。完成食品生产、经营、餐饮风险分级4421户，完成率97.42%，63家生产企业日常监督检查覆盖率、食品安全风险自查报告率100%。加强餐饮环节浪费行为监管，提醒告诫19家、责令改正25家、警告处罚3家。持续推进“长江禁捕 打非断链”专项行动，检查涉渔经营主体1600余户次，督促整改问题29个，拆除违法宣传广告牌1处，立案查处涉渔违法案件2起，被市局评为“2023年度‘长江禁捕 打非断链’专项行动工作优秀单位”。持续推动餐饮业“互联网+明厨亮灶”建设，1436户基本实现“明厨亮灶”，67家通过“互联网+明厨亮灶”初步实现非现场监管。圆满完成对节日市场、节会展销、春秋季开学、“两会”“三考”期间的食品安全保障任务。</w:t>
      </w:r>
      <w:r>
        <w:rPr>
          <w:rFonts w:hint="eastAsia" w:ascii="仿宋_GB2312" w:hAnsi="Arial" w:cs="Arial"/>
          <w:szCs w:val="32"/>
        </w:rPr>
        <w:t>投入40多万元为基层市场监管所新配置9台食品快速检测仪。</w:t>
      </w:r>
      <w:r>
        <w:rPr>
          <w:rFonts w:hint="eastAsia" w:ascii="仿宋_GB2312"/>
          <w:szCs w:val="32"/>
        </w:rPr>
        <w:t>全年组织抽检食品及食用农产品覆盖30大类1100批次，其中不合格44批次，不合格率4.00%;核查处置不合格食品66批次;立案查处食品违法案件62件。</w:t>
      </w:r>
    </w:p>
    <w:p>
      <w:pPr>
        <w:ind w:firstLine="643" w:firstLineChars="200"/>
        <w:rPr>
          <w:rFonts w:ascii="仿宋_GB2312"/>
          <w:szCs w:val="32"/>
        </w:rPr>
      </w:pPr>
      <w:r>
        <w:rPr>
          <w:rFonts w:hint="eastAsia" w:ascii="仿宋_GB2312"/>
          <w:b/>
          <w:szCs w:val="32"/>
        </w:rPr>
        <w:t>二是持续加强药械化安全监管。</w:t>
      </w:r>
      <w:r>
        <w:rPr>
          <w:rFonts w:hint="eastAsia" w:ascii="仿宋_GB2312"/>
          <w:szCs w:val="32"/>
        </w:rPr>
        <w:t>深入开展涉疫药品和医疗用品稳价保质、“三医”方面医药领域突出问题整治、药品安全巩固提升、医疗器械质量安全专项整治、化妆品“一号多用”排查等专项行动。持续加大对疫苗、老年人及儿童用药、特殊药品、集采中选药品等重点药品的监督检查力度。组织召开药品安全风险隐患会商会2次。检查药械化经营使用单位310家次，</w:t>
      </w:r>
      <w:r>
        <w:rPr>
          <w:rFonts w:hint="eastAsia" w:ascii="仿宋_GB2312" w:hAnsi="仿宋_GB2312" w:cs="仿宋_GB2312"/>
          <w:szCs w:val="32"/>
        </w:rPr>
        <w:t>排查处置风险隐患223条。</w:t>
      </w:r>
      <w:r>
        <w:rPr>
          <w:rFonts w:hint="eastAsia" w:ascii="仿宋_GB2312"/>
          <w:szCs w:val="32"/>
        </w:rPr>
        <w:t>药品监督抽检81批次，监测上报涉药不良反应(事件)信息586条。移送公安机关涉刑药品案件2个、化妆品案件1个，依法查处药械化违法案件50起（国家药监局挂牌督办案件1件、省药监局和省公安厅联合挂牌督办案件2件）。我局联合公安机关查处的“6.14江某等人生产销售假冒化妆品案”“张某枚销售假药案”分别被评为“2023年度湖南省药品稽查执法十佳典型案例”“2023年湖南省药品监管领域典型案例”，王雪桃被评为“2023年度湖南省药品稽查执法三十佳稽查能手”。我局被省药监局评为“2023年度药品安全巩固提升行动先进县市区局”。</w:t>
      </w:r>
    </w:p>
    <w:p>
      <w:pPr>
        <w:ind w:firstLine="803" w:firstLineChars="250"/>
        <w:rPr>
          <w:rFonts w:ascii="仿宋_GB2312"/>
          <w:szCs w:val="32"/>
        </w:rPr>
      </w:pPr>
      <w:r>
        <w:rPr>
          <w:rFonts w:hint="eastAsia" w:ascii="仿宋_GB2312"/>
          <w:b/>
          <w:szCs w:val="32"/>
        </w:rPr>
        <w:t>三是全面强化特种设备安全监管。</w:t>
      </w:r>
      <w:r>
        <w:rPr>
          <w:rFonts w:hint="eastAsia" w:ascii="仿宋_GB2312"/>
          <w:szCs w:val="32"/>
        </w:rPr>
        <w:t>围绕打好安全生产“翻身仗”，全面推进特种设备使用单位构建双重预防机制，组织开展特种设备重大隐患清零、“强执法，防事故”“打非治违”、电梯安全筑底等专项行动，深入排查城镇燃气、医用氧舱、液化石油气瓶充装等特种设备安全隐患。共检查电梯、锅炉、压力容器、燃气充装等特种设备使用单位214家次、餐饮业燃气使用者</w:t>
      </w:r>
      <w:r>
        <w:rPr>
          <w:rFonts w:hint="eastAsia" w:ascii="仿宋_GB2312"/>
          <w:color w:val="FF0000"/>
          <w:szCs w:val="32"/>
        </w:rPr>
        <w:t>748</w:t>
      </w:r>
      <w:r>
        <w:rPr>
          <w:rFonts w:hint="eastAsia" w:ascii="仿宋_GB2312"/>
          <w:szCs w:val="32"/>
        </w:rPr>
        <w:t>户次，检查液化气钢瓶</w:t>
      </w:r>
      <w:r>
        <w:rPr>
          <w:rFonts w:hint="eastAsia" w:ascii="仿宋_GB2312"/>
          <w:color w:val="FF0000"/>
          <w:szCs w:val="32"/>
        </w:rPr>
        <w:t>737只、</w:t>
      </w:r>
      <w:r>
        <w:rPr>
          <w:rFonts w:hint="eastAsia" w:ascii="仿宋_GB2312"/>
          <w:szCs w:val="32"/>
        </w:rPr>
        <w:t>医院在用医用氧舱2台套。督促企业整改相关安全隐患310处，实现</w:t>
      </w:r>
      <w:r>
        <w:rPr>
          <w:rFonts w:hint="eastAsia" w:ascii="仿宋" w:hAnsi="仿宋" w:eastAsia="仿宋" w:cs="仿宋"/>
          <w:szCs w:val="32"/>
        </w:rPr>
        <w:t>闭环处理9处。</w:t>
      </w:r>
      <w:r>
        <w:rPr>
          <w:rFonts w:hint="eastAsia" w:ascii="仿宋_GB2312"/>
          <w:szCs w:val="32"/>
        </w:rPr>
        <w:t>发出特种设备安全监察指令书25份，立案查处特种设备违法案件24起。在云梦方舟、锦绣欣城小区分别开展大型游乐设施、电梯安全事故应急救援演练，指导相关企业开展特种设备事故应急演练23次。加快推进电梯无纸化维保工作，督促25家电梯维保企业全面检修维保电梯服务775台次。</w:t>
      </w:r>
    </w:p>
    <w:p>
      <w:pPr>
        <w:ind w:firstLine="643" w:firstLineChars="200"/>
        <w:rPr>
          <w:rFonts w:ascii="仿宋_GB2312"/>
          <w:szCs w:val="32"/>
        </w:rPr>
      </w:pPr>
      <w:r>
        <w:rPr>
          <w:rFonts w:hint="eastAsia" w:ascii="仿宋_GB2312"/>
          <w:b/>
          <w:szCs w:val="32"/>
        </w:rPr>
        <w:t>四是依法严管产品质量安全。</w:t>
      </w:r>
      <w:r>
        <w:rPr>
          <w:rFonts w:hint="eastAsia" w:ascii="仿宋_GB2312"/>
          <w:szCs w:val="32"/>
        </w:rPr>
        <w:t>开展“查农资、保质量”护农专项行动，检查农资经营主体63户,指导建立农资经营档案并签订责任承诺书。开展儿童和学生用品安全守护行动，检查相关生产企业3家、个体销售经营户50家。依法加大产品质量抽检，组织抽检成品油、钢筋、儿童玩具、学生用品、复合肥、液化石油气等重要产品158批次，对7批次不合格产品立案调查。</w:t>
      </w:r>
    </w:p>
    <w:p>
      <w:pPr>
        <w:ind w:firstLine="630" w:firstLineChars="196"/>
        <w:rPr>
          <w:rFonts w:ascii="仿宋_GB2312"/>
          <w:szCs w:val="32"/>
        </w:rPr>
      </w:pPr>
      <w:r>
        <w:rPr>
          <w:rFonts w:hint="eastAsia" w:ascii="楷体_GB2312" w:eastAsia="楷体_GB2312"/>
          <w:b/>
          <w:szCs w:val="32"/>
        </w:rPr>
        <w:t>（五）维护市场秩序力度更大。</w:t>
      </w:r>
      <w:r>
        <w:rPr>
          <w:rFonts w:hint="eastAsia" w:ascii="仿宋_GB2312"/>
          <w:b/>
          <w:szCs w:val="32"/>
        </w:rPr>
        <w:t>一是深入开展专项整治。</w:t>
      </w:r>
      <w:r>
        <w:rPr>
          <w:rFonts w:hint="eastAsia" w:ascii="仿宋_GB2312"/>
          <w:szCs w:val="32"/>
        </w:rPr>
        <w:t>组织开展春节市场监管“年关守护（2023）”行动、民生领域案件查办“铁拳”行动、知识产权执法“双打”行动等多个综合治理行动，共立案查处市场违法违规案件132起，行政处罚550余万元。联合公安机关打掉一个横跨省内外、涉案金额高达10多亿元的制假犯罪团伙，端掉制假窝点3个，扣押假冒商品成品17万余瓶、半成品1200余箱，抓获犯罪嫌疑人17人。依法查处的某医院使用过期医疗器戒案、某便民店无证向未成年人销售卷烟案被评为全市市监系统2023民生领域案件查办“铁拳”行动典型案例。</w:t>
      </w:r>
    </w:p>
    <w:p>
      <w:pPr>
        <w:ind w:firstLine="630" w:firstLineChars="196"/>
        <w:rPr>
          <w:rFonts w:ascii="仿宋_GB2312"/>
          <w:szCs w:val="32"/>
        </w:rPr>
      </w:pPr>
      <w:r>
        <w:rPr>
          <w:rFonts w:hint="eastAsia" w:ascii="仿宋_GB2312"/>
          <w:b/>
          <w:szCs w:val="32"/>
        </w:rPr>
        <w:t>二是大力加强价格、广告、网络交易监管。</w:t>
      </w:r>
      <w:r>
        <w:rPr>
          <w:rFonts w:hint="eastAsia" w:ascii="仿宋_GB2312"/>
          <w:szCs w:val="32"/>
        </w:rPr>
        <w:t>加大对节日市场粮油、蔬菜、肉禽蛋奶等大宗商品价格的预警监测，责令整改问题12个，发出提醒告诫函162份。认真开展涉企违规收费、教育收费、燃气工程项目收费、农村地区快递末端服务收费等领域相关问题专项整治，依法查处学校违规收费6起、涉企违规收费5起，立案查处价格违法案件5起，处理价格投诉举报32起。监测检查各类广告1451条次，立案3起。加强网络交易平台监管，有力维护网络商品交易秩序。</w:t>
      </w:r>
      <w:r>
        <w:rPr>
          <w:rFonts w:hint="eastAsia" w:ascii="仿宋_GB2312"/>
          <w:b/>
          <w:szCs w:val="32"/>
        </w:rPr>
        <w:t>三是不断强化信用监管。</w:t>
      </w:r>
      <w:r>
        <w:rPr>
          <w:rFonts w:hint="eastAsia" w:ascii="仿宋_GB2312"/>
          <w:szCs w:val="32"/>
        </w:rPr>
        <w:t>经营主体年报公示企业6802户、个体工商户29589户、农民专业合作社724户，综合年报率达100%，高于全市6.23个百分点，名列全市前茅。牵头推进全区“双随机、一公开”监管和跨部门联合抽查，</w:t>
      </w:r>
      <w:r>
        <w:rPr>
          <w:rFonts w:hint="eastAsia" w:ascii="仿宋_GB2312" w:hAnsi="仿宋" w:cs="仿宋_GB2312"/>
          <w:szCs w:val="32"/>
        </w:rPr>
        <w:t>完成</w:t>
      </w:r>
      <w:r>
        <w:rPr>
          <w:rFonts w:hint="eastAsia" w:ascii="仿宋_GB2312"/>
          <w:szCs w:val="32"/>
        </w:rPr>
        <w:t>“双随机”抽查任务147项，</w:t>
      </w:r>
      <w:r>
        <w:rPr>
          <w:rFonts w:hint="eastAsia" w:ascii="仿宋_GB2312" w:hAnsi="仿宋" w:cs="仿宋_GB2312"/>
          <w:szCs w:val="32"/>
        </w:rPr>
        <w:t>抽查检查对象1472个</w:t>
      </w:r>
      <w:r>
        <w:rPr>
          <w:rFonts w:hint="eastAsia" w:ascii="仿宋_GB2312"/>
          <w:szCs w:val="32"/>
        </w:rPr>
        <w:t>，计划公示率、部门参与率、事项覆盖率、</w:t>
      </w:r>
      <w:r>
        <w:rPr>
          <w:rFonts w:hint="eastAsia" w:ascii="仿宋" w:hAnsi="仿宋" w:eastAsia="仿宋" w:cs="仿宋_GB2312"/>
          <w:szCs w:val="32"/>
        </w:rPr>
        <w:t>任务完成率、结果公示率均达100%。</w:t>
      </w:r>
      <w:r>
        <w:rPr>
          <w:rFonts w:hint="eastAsia" w:ascii="仿宋_GB2312"/>
          <w:szCs w:val="32"/>
        </w:rPr>
        <w:t>加强</w:t>
      </w:r>
      <w:r>
        <w:rPr>
          <w:rFonts w:hint="eastAsia" w:ascii="仿宋_GB2312" w:hAnsi="微软雅黑"/>
          <w:szCs w:val="32"/>
        </w:rPr>
        <w:t>企业信用风险分类管理，</w:t>
      </w:r>
      <w:r>
        <w:rPr>
          <w:rFonts w:hint="eastAsia" w:ascii="仿宋_GB2312"/>
          <w:szCs w:val="32"/>
        </w:rPr>
        <w:t>强化失信主体信用约束及信用修复。共列入经营异常名录或</w:t>
      </w:r>
      <w:r>
        <w:rPr>
          <w:rFonts w:hint="eastAsia" w:ascii="仿宋" w:hAnsi="仿宋" w:eastAsia="仿宋"/>
          <w:szCs w:val="32"/>
        </w:rPr>
        <w:t>标记异常经营状态</w:t>
      </w:r>
      <w:r>
        <w:rPr>
          <w:rFonts w:hint="eastAsia" w:ascii="仿宋_GB2312"/>
          <w:szCs w:val="32"/>
        </w:rPr>
        <w:t>主体信息5条，移出经营异常名录或恢复经营异常状态主体信息208条。撤销冒用身份信息登记1起，提供公众信用信息查询1700余人次。</w:t>
      </w:r>
      <w:r>
        <w:rPr>
          <w:rFonts w:hint="eastAsia" w:ascii="仿宋_GB2312"/>
          <w:b/>
          <w:szCs w:val="32"/>
        </w:rPr>
        <w:t>四是全面加强协同治理。</w:t>
      </w:r>
      <w:r>
        <w:rPr>
          <w:rFonts w:hint="eastAsia" w:ascii="仿宋_GB2312"/>
          <w:szCs w:val="32"/>
        </w:rPr>
        <w:t>对照创文和国卫复审标准和要求，常态化开展对集贸市场、学校周边、食品“三小”等重点区域场所的督导检查，严格督促整改创文巩卫通报指出的问题。继续推进经营性居民自建房安全整治，精准分类排查不同经营业态自建房3609栋，整治销号250栋。持续开展交通问题顽瘴痼疾整治，加强对销售非标低速三、四轮电动车和辖区4家机动车检验机构检测行为的监管，查处电动车辆违法改装等案件28起。深入养老机构等高风险场所开展防范非法集资宣传，有效防范化解涉众型非法经营风险。配合做好“禁磷限磷”、防治塑料污染、高污染燃料治理、烟花爆竹清查等综合治理工作，助力打好“蓝天、碧水、净土”保卫战。</w:t>
      </w:r>
    </w:p>
    <w:p>
      <w:pPr>
        <w:ind w:firstLine="643" w:firstLineChars="200"/>
        <w:rPr>
          <w:rFonts w:ascii="仿宋_GB2312"/>
          <w:szCs w:val="32"/>
        </w:rPr>
      </w:pPr>
      <w:r>
        <w:rPr>
          <w:rFonts w:hint="eastAsia" w:ascii="楷体_GB2312" w:eastAsia="楷体_GB2312"/>
          <w:b/>
          <w:szCs w:val="32"/>
        </w:rPr>
        <w:t>（六）护航消费安全举措更实。</w:t>
      </w:r>
      <w:r>
        <w:rPr>
          <w:rFonts w:hint="eastAsia" w:ascii="仿宋_GB2312"/>
          <w:b/>
          <w:szCs w:val="32"/>
        </w:rPr>
        <w:t>一是扩大计量惠民效应。</w:t>
      </w:r>
      <w:r>
        <w:rPr>
          <w:rFonts w:hint="eastAsia" w:ascii="仿宋_GB2312"/>
          <w:szCs w:val="32"/>
        </w:rPr>
        <w:t>试点开展红联市场诚信计量示范创建，100多户商家主动公开诚信计量承诺。集中告诫提醒城区10个集贸市场、33个加油站的负责人切实规范计量经营服务行为。深入开展电子计价秤市场秩序综合整治，611户商家公开作出诚信计量自我承诺。严查集贸市场“作弊秤”“问题秤”缺斤短两行为，共检查集贸市场、商场超市等单位168家，检查电子计价秤1924台，查处不合格电子计价秤17台。多方筹资为红联市场配置两个钢结构大型专用复秤亭。诚信计量自我承诺商家1156家。实地检查粮食领域粮库在用地磅、电子天平等在用计量器具备案及强制检定等情况，防止粮食收购过程中短斤缺两等计量违法行为发生。深入开展“计量服务中小企业行”活动，联合市计量检定所现场检定汽车站新能源汽车公共充电桩6组，全力帮助红联市场等企业解决计量器具上门检定难题。</w:t>
      </w:r>
      <w:r>
        <w:rPr>
          <w:rFonts w:hint="eastAsia" w:ascii="仿宋_GB2312"/>
          <w:b/>
          <w:szCs w:val="32"/>
        </w:rPr>
        <w:t>二是促进消费环境改善。</w:t>
      </w:r>
      <w:r>
        <w:rPr>
          <w:rFonts w:hint="eastAsia" w:ascii="仿宋_GB2312"/>
          <w:szCs w:val="32"/>
        </w:rPr>
        <w:t>围绕“提振消费信心”年主题，牵头组织全区24个部门单位集中开展2023年“3•15国际消费者权益日”诚信教育系列活动。持续开展“诚信经营•放心消费”创建活动，</w:t>
      </w:r>
      <w:r>
        <w:rPr>
          <w:rFonts w:hint="eastAsia" w:ascii="仿宋_GB2312" w:hAnsi="微软雅黑"/>
          <w:szCs w:val="32"/>
        </w:rPr>
        <w:t>发展放心消费示范创建参与单位</w:t>
      </w:r>
      <w:r>
        <w:rPr>
          <w:rFonts w:hint="eastAsia" w:ascii="仿宋_GB2312"/>
          <w:szCs w:val="32"/>
        </w:rPr>
        <w:t>（门店）104家。组织参加全市集中销毁假冒侵权商品统一行动，我局共销毁假冒侵权商品25大类、重达1000余公斤。</w:t>
      </w:r>
      <w:r>
        <w:rPr>
          <w:rFonts w:hint="eastAsia" w:ascii="仿宋_GB2312"/>
          <w:b/>
          <w:szCs w:val="32"/>
        </w:rPr>
        <w:t>三是化解消费矛盾纠纷。</w:t>
      </w:r>
      <w:r>
        <w:rPr>
          <w:rFonts w:hint="eastAsia" w:ascii="仿宋_GB2312"/>
          <w:szCs w:val="32"/>
        </w:rPr>
        <w:t>及时高效处置办结消费者投诉举报及热线交办件2617件，依法办理“诉转案”15起。通过调解纠纷、热线办理、“诉转案”查处，为消费者挽回经济损失34万余元。</w:t>
      </w:r>
    </w:p>
    <w:p>
      <w:pPr>
        <w:ind w:firstLine="643" w:firstLineChars="200"/>
      </w:pPr>
      <w:r>
        <w:rPr>
          <w:rFonts w:hint="eastAsia" w:ascii="楷体_GB2312" w:eastAsia="楷体_GB2312"/>
          <w:b/>
          <w:szCs w:val="32"/>
        </w:rPr>
        <w:t>（七）加强队伍建设抓得更严。</w:t>
      </w:r>
      <w:r>
        <w:rPr>
          <w:rFonts w:hint="eastAsia" w:ascii="仿宋_GB2312"/>
          <w:b/>
          <w:szCs w:val="32"/>
        </w:rPr>
        <w:t>一是深入推进全面从严治党。</w:t>
      </w:r>
      <w:r>
        <w:rPr>
          <w:rFonts w:hint="eastAsia" w:ascii="仿宋_GB2312"/>
          <w:szCs w:val="32"/>
        </w:rPr>
        <w:t>全面落实从严治党主体责任，班子成员坚持“一岗双责”。深化思想理论武装，坚持落实第一议题制度，</w:t>
      </w:r>
      <w:r>
        <w:rPr>
          <w:rFonts w:hint="eastAsia" w:ascii="仿宋_GB2312" w:hAnsi="微软雅黑"/>
          <w:szCs w:val="32"/>
        </w:rPr>
        <w:t>扎实推进主题教育。</w:t>
      </w:r>
      <w:r>
        <w:rPr>
          <w:rFonts w:hint="eastAsia" w:ascii="仿宋_GB2312"/>
          <w:szCs w:val="32"/>
        </w:rPr>
        <w:t>以中心组学习、主题党日、组织生活会、上党课、宣讲报告会、党建知识应知应会测试等形式，深入学习领会党的二十大精神和党章党纪党规。开展中心组学习9次，各支部开展主题党日活动10次、专题研讨交流2次。建立党员示范岗3个，组建党员突击队3支，明确党员责任区9个。按照“一月一课一片一实践”要求，机关各党支部组织全体党员多形式开展学习强国、集中聆听党课、观看红色教育片、电影党课、瞻仰爱国主义教育基地等活动。持续开展党建引领“基层吹哨、部门报到”和“联点单位进社区、在职党员进小区”活动，多次组织党员志愿者深入五里堆社区开展创文巩卫、倡导文明餐桌行动、防溺水宣传等志愿服务活动。派出驻村工作队员，以召开屋场会、召集村干部座谈、节假日慰问困难户、指导农民生产自救等多种帮扶手段，重点对长春镇紫薇村、张家塞乡三星村进行乡村振兴驻村帮扶。</w:t>
      </w:r>
      <w:r>
        <w:rPr>
          <w:rFonts w:hint="eastAsia" w:ascii="仿宋_GB2312"/>
          <w:b/>
          <w:szCs w:val="32"/>
        </w:rPr>
        <w:t>二是大力提升干部能力素质。</w:t>
      </w:r>
      <w:r>
        <w:rPr>
          <w:rFonts w:hint="eastAsia" w:ascii="仿宋_GB2312"/>
          <w:szCs w:val="32"/>
        </w:rPr>
        <w:t>以开展“能力素质提升年”“执行力提升年”行动为抓手，着力加强干部综合能力素质建设。通过举办春季业务知识培训班、云课堂、跟班及外派学习等形式，线上线下对干部进行业务知识培训1600余人次，干部依法履职水平和能力有效提升。</w:t>
      </w:r>
      <w:r>
        <w:rPr>
          <w:rFonts w:hint="eastAsia" w:ascii="仿宋_GB2312"/>
          <w:b/>
          <w:szCs w:val="32"/>
        </w:rPr>
        <w:t>三是切实加强队伍作风建设。</w:t>
      </w:r>
      <w:r>
        <w:rPr>
          <w:rFonts w:hint="eastAsia" w:ascii="仿宋_GB2312"/>
          <w:szCs w:val="32"/>
        </w:rPr>
        <w:t>持续强化正风肃纪，</w:t>
      </w:r>
      <w:r>
        <w:rPr>
          <w:rStyle w:val="9"/>
          <w:rFonts w:hint="eastAsia" w:ascii="仿宋_GB2312" w:hAnsi="Helvetica" w:cs="Helvetica"/>
          <w:spacing w:val="8"/>
          <w:kern w:val="0"/>
          <w:szCs w:val="32"/>
          <w:shd w:val="clear" w:color="auto" w:fill="FFFFFF"/>
        </w:rPr>
        <w:t>开展</w:t>
      </w:r>
      <w:r>
        <w:rPr>
          <w:rFonts w:hint="eastAsia" w:ascii="仿宋" w:hAnsi="仿宋" w:eastAsia="仿宋"/>
          <w:kern w:val="0"/>
          <w:szCs w:val="32"/>
        </w:rPr>
        <w:t>市场监管系统行风建设三年攻坚专项行动</w:t>
      </w:r>
      <w:r>
        <w:rPr>
          <w:rFonts w:hint="eastAsia" w:ascii="仿宋_GB2312" w:hAnsi="仿宋"/>
          <w:kern w:val="0"/>
          <w:szCs w:val="32"/>
        </w:rPr>
        <w:t>并</w:t>
      </w:r>
      <w:r>
        <w:rPr>
          <w:rFonts w:hint="eastAsia" w:ascii="仿宋_GB2312"/>
          <w:color w:val="000000"/>
          <w:kern w:val="0"/>
          <w:szCs w:val="32"/>
        </w:rPr>
        <w:t>围绕2023年“排查治理年”工作要求，扎实开展行风突出问题公开征集、股长走流程、执法案卷评查、市场监管体验日、局领导公开接访日和热线日等“五项”活动，全面查找存在的行风问题。</w:t>
      </w:r>
      <w:r>
        <w:rPr>
          <w:rFonts w:hint="eastAsia" w:ascii="仿宋_GB2312"/>
          <w:szCs w:val="32"/>
        </w:rPr>
        <w:t>深入开展政治生态强基工程建设，纵深推进“两带头五整治”纠风防腐行动，全面践行监督执纪“四种形态”。组织干部职工集中观看警示教育片、开展违纪案件警示教育、参观廉政教育基地等，教育提醒党员干部时刻筑牢拒腐防变思想防线。认真整改落实南县县委交叉巡察组巡察我局指出的28项问题并已全部整改到位。对9名新入职人员、30名新调整工作岗位人员进行集体廉政谈话。共组织开展干部谈心谈话132人次、集体廉政谈话88人次，谈话提醒3人次。班子成员开展廉政家访33人次，纪检监察开展干部作风纪律、履职效能、“三医”问题治理等专项督查12次。</w:t>
      </w:r>
    </w:p>
    <w:p>
      <w:pPr>
        <w:widowControl/>
        <w:autoSpaceDN w:val="0"/>
        <w:spacing w:line="540" w:lineRule="exact"/>
        <w:rPr>
          <w:rFonts w:ascii="黑体" w:hAnsi="黑体" w:eastAsia="黑体" w:cs="宋体"/>
          <w:color w:val="000000"/>
          <w:kern w:val="0"/>
          <w:szCs w:val="32"/>
        </w:rPr>
      </w:pPr>
      <w:r>
        <w:rPr>
          <w:rFonts w:ascii="??_GB2312" w:hAnsi="仿宋" w:eastAsia="Times New Roman" w:cs="宋体"/>
          <w:color w:val="000000"/>
          <w:kern w:val="0"/>
          <w:szCs w:val="32"/>
        </w:rPr>
        <w:t xml:space="preserve">    </w:t>
      </w:r>
      <w:r>
        <w:rPr>
          <w:rFonts w:hint="eastAsia" w:ascii="??_GB2312" w:hAnsi="仿宋" w:cs="宋体"/>
          <w:color w:val="000000"/>
          <w:kern w:val="0"/>
          <w:szCs w:val="32"/>
        </w:rPr>
        <w:t xml:space="preserve"> </w:t>
      </w:r>
      <w:r>
        <w:rPr>
          <w:rFonts w:hint="eastAsia" w:ascii="黑体" w:hAnsi="黑体" w:eastAsia="黑体" w:cs="宋体"/>
          <w:color w:val="000000"/>
          <w:kern w:val="0"/>
          <w:szCs w:val="32"/>
        </w:rPr>
        <w:t>四、总体评价和自评得分情况</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2023年度部门自评得分情况及整体支出绩效评价</w:t>
      </w:r>
    </w:p>
    <w:p>
      <w:pPr>
        <w:spacing w:line="600" w:lineRule="exact"/>
        <w:ind w:firstLine="630" w:firstLineChars="196"/>
        <w:rPr>
          <w:rFonts w:hint="eastAsia" w:ascii="仿宋_GB2312" w:hAnsi="仿宋_GB2312" w:cs="仿宋_GB2312"/>
          <w:kern w:val="0"/>
          <w:szCs w:val="32"/>
        </w:rPr>
      </w:pPr>
      <w:r>
        <w:rPr>
          <w:rFonts w:hint="eastAsia" w:ascii="楷体_GB2312" w:eastAsia="楷体_GB2312"/>
          <w:b/>
          <w:szCs w:val="32"/>
        </w:rPr>
        <w:t>（</w:t>
      </w:r>
      <w:r>
        <w:rPr>
          <w:rFonts w:hint="eastAsia" w:ascii="楷体_GB2312" w:eastAsia="楷体_GB2312"/>
          <w:b/>
          <w:szCs w:val="32"/>
          <w:lang w:val="en-US" w:eastAsia="zh-CN"/>
        </w:rPr>
        <w:t>一</w:t>
      </w:r>
      <w:r>
        <w:rPr>
          <w:rFonts w:hint="eastAsia" w:ascii="楷体_GB2312" w:eastAsia="楷体_GB2312"/>
          <w:b/>
          <w:szCs w:val="32"/>
        </w:rPr>
        <w:t>）</w:t>
      </w:r>
      <w:r>
        <w:rPr>
          <w:rFonts w:hint="eastAsia" w:ascii="仿宋_GB2312" w:hAnsi="仿宋_GB2312" w:cs="仿宋_GB2312"/>
          <w:kern w:val="0"/>
          <w:szCs w:val="32"/>
        </w:rPr>
        <w:t>自评得分情况简要说明</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在2023年度，本部门根据</w:t>
      </w:r>
      <w:r>
        <w:rPr>
          <w:rFonts w:hint="eastAsia" w:ascii="仿宋_GB2312" w:hAnsi="仿宋_GB2312" w:cs="仿宋_GB2312"/>
          <w:kern w:val="0"/>
          <w:szCs w:val="32"/>
          <w:lang w:val="en-US" w:eastAsia="zh-CN"/>
        </w:rPr>
        <w:t>《资阳区</w:t>
      </w:r>
      <w:r>
        <w:rPr>
          <w:rFonts w:hint="eastAsia" w:ascii="仿宋_GB2312" w:hAnsi="仿宋_GB2312" w:cs="仿宋_GB2312"/>
          <w:kern w:val="0"/>
          <w:szCs w:val="32"/>
        </w:rPr>
        <w:t>财政局关于开展</w:t>
      </w:r>
      <w:r>
        <w:rPr>
          <w:rFonts w:hint="eastAsia" w:ascii="仿宋_GB2312" w:hAnsi="仿宋_GB2312" w:cs="仿宋_GB2312"/>
          <w:kern w:val="0"/>
          <w:szCs w:val="32"/>
          <w:lang w:val="en-US" w:eastAsia="zh-CN"/>
        </w:rPr>
        <w:t>区级</w:t>
      </w:r>
      <w:r>
        <w:rPr>
          <w:rFonts w:hint="eastAsia" w:ascii="仿宋_GB2312" w:hAnsi="仿宋_GB2312" w:cs="仿宋_GB2312"/>
          <w:kern w:val="0"/>
          <w:szCs w:val="32"/>
        </w:rPr>
        <w:t>财政</w:t>
      </w:r>
      <w:r>
        <w:rPr>
          <w:rFonts w:hint="eastAsia" w:ascii="仿宋_GB2312" w:hAnsi="仿宋_GB2312" w:cs="仿宋_GB2312"/>
          <w:kern w:val="0"/>
          <w:szCs w:val="32"/>
          <w:lang w:val="en-US" w:eastAsia="zh-CN"/>
        </w:rPr>
        <w:t>重点</w:t>
      </w:r>
      <w:r>
        <w:rPr>
          <w:rFonts w:hint="eastAsia" w:ascii="仿宋_GB2312" w:hAnsi="仿宋_GB2312" w:cs="仿宋_GB2312"/>
          <w:kern w:val="0"/>
          <w:szCs w:val="32"/>
        </w:rPr>
        <w:t>绩效</w:t>
      </w:r>
      <w:r>
        <w:rPr>
          <w:rFonts w:hint="eastAsia" w:ascii="仿宋_GB2312" w:hAnsi="仿宋_GB2312" w:cs="仿宋_GB2312"/>
          <w:kern w:val="0"/>
          <w:szCs w:val="32"/>
          <w:lang w:val="en-US" w:eastAsia="zh-CN"/>
        </w:rPr>
        <w:t>评价</w:t>
      </w:r>
      <w:r>
        <w:rPr>
          <w:rFonts w:hint="eastAsia" w:ascii="仿宋_GB2312" w:hAnsi="仿宋_GB2312" w:cs="仿宋_GB2312"/>
          <w:kern w:val="0"/>
          <w:szCs w:val="32"/>
        </w:rPr>
        <w:t>工作的通知》等相关文件精神，认真组织开展了绩效自评工作。通过详细的自评过程，本部门在多个方面均取得了良好的绩效表现，自评得分情况如下：</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专项资金使用效率：本部门在专项资金使用上，严格按照项目资金的使用内容和用途进行支出，确保资金使用的专款专用和高效性。</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项目管理与实施：本部门的</w:t>
      </w:r>
      <w:r>
        <w:rPr>
          <w:rFonts w:hint="eastAsia" w:ascii="仿宋_GB2312" w:hAnsi="仿宋_GB2312" w:cs="仿宋_GB2312"/>
          <w:kern w:val="0"/>
          <w:szCs w:val="32"/>
          <w:lang w:val="en-US" w:eastAsia="zh-CN"/>
        </w:rPr>
        <w:t>十个年初</w:t>
      </w:r>
      <w:r>
        <w:rPr>
          <w:rFonts w:hint="eastAsia" w:ascii="仿宋_GB2312" w:hAnsi="仿宋_GB2312" w:cs="仿宋_GB2312"/>
          <w:kern w:val="0"/>
          <w:szCs w:val="32"/>
        </w:rPr>
        <w:t>专项工作均已完成当年计划，并达到了年度绩效目标。在项目执行过程中，我们建立了完善的工作机制，确保工作有计划、实施有方案、日常有监督，有效提升了项目的实施效率和效果。</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财务管理与内部控制：本部门在财务管理上，严格遵守国家法律法规和财务管理制度，确保资金使用的合规性和安全性。同时，我们还加强了内部控制，通过不定期的抽查和严格的人员作风管理，有效防止了违规违法问题的发生。</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基于以上方面的自评，本部门在202</w:t>
      </w:r>
      <w:r>
        <w:rPr>
          <w:rFonts w:hint="eastAsia" w:ascii="仿宋_GB2312" w:hAnsi="仿宋_GB2312" w:cs="仿宋_GB2312"/>
          <w:kern w:val="0"/>
          <w:szCs w:val="32"/>
          <w:lang w:val="en-US" w:eastAsia="zh-CN"/>
        </w:rPr>
        <w:t>3</w:t>
      </w:r>
      <w:r>
        <w:rPr>
          <w:rFonts w:hint="eastAsia" w:ascii="仿宋_GB2312" w:hAnsi="仿宋_GB2312" w:cs="仿宋_GB2312"/>
          <w:kern w:val="0"/>
          <w:szCs w:val="32"/>
        </w:rPr>
        <w:t>年度绩效自评中取得了</w:t>
      </w:r>
      <w:r>
        <w:rPr>
          <w:rFonts w:hint="eastAsia" w:ascii="仿宋_GB2312" w:hAnsi="仿宋_GB2312" w:cs="仿宋_GB2312"/>
          <w:kern w:val="0"/>
          <w:szCs w:val="32"/>
          <w:lang w:val="en-US" w:eastAsia="zh-CN"/>
        </w:rPr>
        <w:t>98</w:t>
      </w:r>
      <w:r>
        <w:rPr>
          <w:rFonts w:hint="eastAsia" w:ascii="仿宋_GB2312" w:hAnsi="仿宋_GB2312" w:cs="仿宋_GB2312"/>
          <w:kern w:val="0"/>
          <w:szCs w:val="32"/>
        </w:rPr>
        <w:t>分。</w:t>
      </w:r>
    </w:p>
    <w:p>
      <w:pPr>
        <w:spacing w:line="600" w:lineRule="exact"/>
        <w:ind w:firstLine="630" w:firstLineChars="196"/>
        <w:rPr>
          <w:rFonts w:hint="eastAsia" w:ascii="仿宋_GB2312" w:hAnsi="仿宋_GB2312" w:cs="仿宋_GB2312"/>
          <w:kern w:val="0"/>
          <w:szCs w:val="32"/>
        </w:rPr>
      </w:pPr>
      <w:r>
        <w:rPr>
          <w:rFonts w:hint="eastAsia" w:ascii="楷体_GB2312" w:eastAsia="楷体_GB2312"/>
          <w:b/>
          <w:szCs w:val="32"/>
        </w:rPr>
        <w:t>（</w:t>
      </w:r>
      <w:r>
        <w:rPr>
          <w:rFonts w:hint="eastAsia" w:ascii="楷体_GB2312" w:eastAsia="楷体_GB2312"/>
          <w:b/>
          <w:szCs w:val="32"/>
          <w:lang w:val="en-US" w:eastAsia="zh-CN"/>
        </w:rPr>
        <w:t>二</w:t>
      </w:r>
      <w:r>
        <w:rPr>
          <w:rFonts w:hint="eastAsia" w:ascii="楷体_GB2312" w:eastAsia="楷体_GB2312"/>
          <w:b/>
          <w:szCs w:val="32"/>
        </w:rPr>
        <w:t>）</w:t>
      </w:r>
      <w:r>
        <w:rPr>
          <w:rFonts w:hint="eastAsia" w:ascii="仿宋_GB2312" w:hAnsi="仿宋_GB2312" w:cs="仿宋_GB2312"/>
          <w:kern w:val="0"/>
          <w:szCs w:val="32"/>
        </w:rPr>
        <w:t>2023年度整体支出绩效评价</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对于2023年度整体支出绩效，本部门从以下几个方面进行了评价：</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预算完成情况：在2023年度，本部门严格按照年初预算进行支出，预算完成率达到100%，有效保障了各项工作的顺利开展。</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资金使用效益：通过合理的资金安排和有效的项目管理，本部门在资金使用上取得了良好的效益。特别是在专项资金使用上，我们确保了资金的专款专用和高效性，有效提升了资金使用效益。</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项目管理效果：本部门在项目管理上取得了显著成效。通过建立完善的工作机制、加强日常监督和检查等措施，我们有效提升了项目的实施效率和效果，圆满完成了各项任务。</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财务管理与内部控制：在财务管理和内部控制方面，本部门严格遵守国家法律法规和财务管理制度，确保了资金使用的合规性和安全性。同时，我们还加强了内部控制和风险管理，有效防止了违规违法问题的发生。</w:t>
      </w:r>
    </w:p>
    <w:p>
      <w:pPr>
        <w:spacing w:line="600" w:lineRule="exact"/>
        <w:ind w:firstLine="627" w:firstLineChars="196"/>
        <w:rPr>
          <w:rFonts w:ascii="仿宋_GB2312" w:hAnsi="仿宋_GB2312" w:cs="仿宋_GB2312"/>
          <w:kern w:val="0"/>
          <w:szCs w:val="32"/>
        </w:rPr>
      </w:pPr>
      <w:r>
        <w:rPr>
          <w:rFonts w:hint="eastAsia" w:ascii="仿宋_GB2312" w:hAnsi="仿宋_GB2312" w:cs="仿宋_GB2312"/>
          <w:kern w:val="0"/>
          <w:szCs w:val="32"/>
        </w:rPr>
        <w:t>综上所述，本部门在2023年度整体支出绩效上取得了良好的成绩。未来，我们将继续加强绩效管理和内部控制，进一步提升资金使用效益和项目管理效果。</w:t>
      </w:r>
    </w:p>
    <w:p>
      <w:pPr>
        <w:pStyle w:val="14"/>
        <w:widowControl/>
        <w:spacing w:line="600" w:lineRule="exact"/>
        <w:ind w:firstLine="640"/>
        <w:jc w:val="left"/>
        <w:rPr>
          <w:rFonts w:ascii="Times New Roman" w:hAnsi="Times New Roman" w:eastAsia="黑体"/>
          <w:szCs w:val="32"/>
        </w:rPr>
      </w:pPr>
      <w:r>
        <w:rPr>
          <w:rFonts w:hint="eastAsia" w:ascii="黑体" w:hAnsi="黑体" w:eastAsia="黑体" w:cs="宋体"/>
          <w:color w:val="000000"/>
          <w:kern w:val="0"/>
          <w:szCs w:val="32"/>
        </w:rPr>
        <w:t>五、</w:t>
      </w:r>
      <w:r>
        <w:rPr>
          <w:rFonts w:hint="eastAsia" w:ascii="Times New Roman" w:hAnsi="Times New Roman" w:eastAsia="黑体"/>
          <w:szCs w:val="32"/>
        </w:rPr>
        <w:t>存在的问题及原因分析</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在2023年度，本部门在预算支出执行过程中，虽然整体绩效表现良好，但仍存在一些预算支出执行偏离绩效目标的情况</w:t>
      </w:r>
      <w:r>
        <w:rPr>
          <w:rFonts w:hint="eastAsia" w:ascii="仿宋_GB2312" w:hAnsi="仿宋_GB2312" w:cs="仿宋_GB2312"/>
          <w:kern w:val="0"/>
          <w:szCs w:val="32"/>
          <w:lang w:eastAsia="zh-CN"/>
        </w:rPr>
        <w:t>。</w:t>
      </w:r>
      <w:r>
        <w:rPr>
          <w:rFonts w:hint="eastAsia" w:ascii="仿宋_GB2312" w:hAnsi="仿宋_GB2312" w:cs="仿宋_GB2312"/>
          <w:kern w:val="0"/>
          <w:szCs w:val="32"/>
        </w:rPr>
        <w:t>部分项目在执行过程中，由于管理机制不完善、监督不到位等原因，导致项目进展缓慢、效果不佳。这包括项目延期、质量不达标、成本超支等问题，进而影响了预算支出的绩效表现。</w:t>
      </w:r>
    </w:p>
    <w:p>
      <w:pPr>
        <w:spacing w:line="600" w:lineRule="exact"/>
        <w:ind w:firstLine="627" w:firstLineChars="196"/>
        <w:rPr>
          <w:rFonts w:hint="eastAsia" w:ascii="仿宋_GB2312" w:hAnsi="仿宋_GB2312" w:cs="仿宋_GB2312"/>
          <w:kern w:val="0"/>
          <w:szCs w:val="32"/>
        </w:rPr>
      </w:pPr>
      <w:r>
        <w:rPr>
          <w:rFonts w:hint="eastAsia" w:ascii="仿宋_GB2312" w:hAnsi="仿宋_GB2312" w:cs="仿宋_GB2312"/>
          <w:kern w:val="0"/>
          <w:szCs w:val="32"/>
        </w:rPr>
        <w:t>在预算编制过程中，可能存在过于乐观或过于悲观的估计，导致预算与实际需求之间存在较大偏差。此外，预算编制可能未充分考虑项目推进情况和外部环境变化等因素，导致预算支出执行偏离绩效目标。</w:t>
      </w:r>
    </w:p>
    <w:p>
      <w:pPr>
        <w:widowControl/>
        <w:numPr>
          <w:ilvl w:val="0"/>
          <w:numId w:val="1"/>
        </w:numPr>
        <w:spacing w:line="600" w:lineRule="exact"/>
        <w:ind w:firstLine="640" w:firstLineChars="200"/>
        <w:jc w:val="left"/>
        <w:rPr>
          <w:rFonts w:hint="eastAsia" w:eastAsia="黑体"/>
          <w:szCs w:val="32"/>
        </w:rPr>
      </w:pPr>
      <w:r>
        <w:rPr>
          <w:rFonts w:hint="eastAsia" w:eastAsia="黑体"/>
          <w:szCs w:val="32"/>
        </w:rPr>
        <w:t>下一步改进措施</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szCs w:val="32"/>
          <w:lang w:val="en-US" w:eastAsia="zh-CN"/>
        </w:rPr>
        <w:t>1、</w:t>
      </w:r>
      <w:r>
        <w:rPr>
          <w:rFonts w:hint="eastAsia" w:ascii="仿宋" w:hAnsi="仿宋" w:eastAsia="仿宋" w:cs="仿宋"/>
          <w:szCs w:val="32"/>
        </w:rPr>
        <w:t>加强预算编制的科学性和准确性，充分考虑项目推进情况和外部环境变化等因素；</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szCs w:val="32"/>
          <w:lang w:val="en-US" w:eastAsia="zh-CN"/>
        </w:rPr>
        <w:t>2、</w:t>
      </w:r>
      <w:r>
        <w:rPr>
          <w:rFonts w:hint="eastAsia" w:ascii="仿宋" w:hAnsi="仿宋" w:eastAsia="仿宋" w:cs="仿宋"/>
          <w:szCs w:val="32"/>
        </w:rPr>
        <w:t>加强预算执行过程中的管理和监督，确保预算支出的合规性和有效性；</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szCs w:val="32"/>
          <w:lang w:val="en-US" w:eastAsia="zh-CN"/>
        </w:rPr>
        <w:t>3、</w:t>
      </w:r>
      <w:r>
        <w:rPr>
          <w:rFonts w:hint="eastAsia" w:ascii="仿宋" w:hAnsi="仿宋" w:eastAsia="仿宋" w:cs="仿宋"/>
          <w:szCs w:val="32"/>
        </w:rPr>
        <w:t>加强项目管理措施和部门之间的沟通协调，提高项目管理效率和效果；</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szCs w:val="32"/>
          <w:lang w:val="en-US" w:eastAsia="zh-CN"/>
        </w:rPr>
        <w:t>4、</w:t>
      </w:r>
      <w:r>
        <w:rPr>
          <w:rFonts w:hint="eastAsia" w:ascii="仿宋" w:hAnsi="仿宋" w:eastAsia="仿宋" w:cs="仿宋"/>
          <w:szCs w:val="32"/>
        </w:rPr>
        <w:t>优化绩效评价指标体系，确保评价指标能够准确反映项目的绩效表现。</w:t>
      </w:r>
      <w:bookmarkStart w:id="0" w:name="_GoBack"/>
      <w:bookmarkEnd w:id="0"/>
    </w:p>
    <w:p>
      <w:pPr>
        <w:widowControl/>
        <w:spacing w:line="600" w:lineRule="exact"/>
        <w:ind w:firstLine="320" w:firstLineChars="100"/>
        <w:jc w:val="left"/>
        <w:rPr>
          <w:rFonts w:eastAsia="黑体"/>
          <w:szCs w:val="32"/>
        </w:rPr>
      </w:pPr>
      <w:r>
        <w:rPr>
          <w:rFonts w:hint="eastAsia" w:eastAsia="黑体"/>
          <w:szCs w:val="32"/>
        </w:rPr>
        <w:t>七、整体支出绩效自评结果拟应用和公开情况。</w:t>
      </w:r>
    </w:p>
    <w:p>
      <w:pPr>
        <w:widowControl/>
        <w:spacing w:line="600" w:lineRule="exact"/>
        <w:ind w:firstLine="645"/>
        <w:jc w:val="left"/>
        <w:rPr>
          <w:rFonts w:ascii="仿宋" w:hAnsi="仿宋" w:eastAsia="仿宋" w:cs="仿宋"/>
          <w:szCs w:val="32"/>
        </w:rPr>
      </w:pPr>
      <w:r>
        <w:rPr>
          <w:rFonts w:hint="eastAsia" w:ascii="仿宋" w:hAnsi="仿宋" w:eastAsia="仿宋" w:cs="仿宋"/>
          <w:szCs w:val="32"/>
        </w:rPr>
        <w:t>报告需要以下附件：</w:t>
      </w:r>
    </w:p>
    <w:p>
      <w:pPr>
        <w:widowControl/>
        <w:spacing w:line="600" w:lineRule="exact"/>
        <w:ind w:firstLine="640" w:firstLineChars="200"/>
        <w:jc w:val="left"/>
        <w:rPr>
          <w:rFonts w:ascii="仿宋" w:hAnsi="仿宋" w:eastAsia="仿宋" w:cs="仿宋"/>
          <w:szCs w:val="32"/>
        </w:rPr>
      </w:pPr>
      <w:r>
        <w:rPr>
          <w:rFonts w:hint="eastAsia" w:ascii="仿宋" w:hAnsi="仿宋" w:eastAsia="仿宋" w:cs="仿宋"/>
          <w:szCs w:val="32"/>
        </w:rPr>
        <w:t>1.部门整体支出绩效评价基础数据表</w:t>
      </w:r>
    </w:p>
    <w:p>
      <w:pPr>
        <w:widowControl/>
        <w:spacing w:line="600" w:lineRule="exact"/>
        <w:ind w:firstLine="640" w:firstLineChars="200"/>
        <w:jc w:val="left"/>
        <w:rPr>
          <w:rFonts w:ascii="仿宋" w:hAnsi="仿宋" w:eastAsia="仿宋" w:cs="仿宋"/>
          <w:szCs w:val="32"/>
        </w:rPr>
      </w:pPr>
      <w:r>
        <w:rPr>
          <w:rFonts w:hint="eastAsia" w:ascii="仿宋" w:hAnsi="仿宋" w:eastAsia="仿宋" w:cs="仿宋"/>
          <w:szCs w:val="32"/>
        </w:rPr>
        <w:t>2.部门整体支出绩效自评表</w:t>
      </w:r>
    </w:p>
    <w:p>
      <w:pPr>
        <w:widowControl/>
        <w:spacing w:line="600" w:lineRule="exact"/>
        <w:ind w:firstLine="640" w:firstLineChars="200"/>
        <w:jc w:val="left"/>
        <w:rPr>
          <w:rFonts w:ascii="仿宋" w:hAnsi="仿宋" w:eastAsia="仿宋" w:cs="仿宋"/>
          <w:szCs w:val="32"/>
        </w:rPr>
      </w:pPr>
      <w:r>
        <w:rPr>
          <w:rFonts w:hint="eastAsia" w:ascii="仿宋" w:hAnsi="仿宋" w:eastAsia="仿宋" w:cs="仿宋"/>
          <w:szCs w:val="32"/>
        </w:rPr>
        <w:t>3.项目支出绩效自评表</w:t>
      </w:r>
    </w:p>
    <w:p>
      <w:pPr>
        <w:spacing w:line="600" w:lineRule="exact"/>
        <w:ind w:firstLine="627" w:firstLineChars="196"/>
        <w:rPr>
          <w:rFonts w:ascii="仿宋_GB2312" w:hAnsi="仿宋_GB2312" w:cs="仿宋_GB2312"/>
          <w:kern w:val="0"/>
          <w:szCs w:val="32"/>
        </w:rPr>
      </w:pPr>
      <w:r>
        <w:rPr>
          <w:rFonts w:hint="eastAsia" w:ascii="仿宋_GB2312" w:hAnsi="仿宋_GB2312" w:cs="仿宋_GB2312"/>
          <w:kern w:val="0"/>
          <w:szCs w:val="32"/>
        </w:rPr>
        <w:t>4.其他必要材料（当年度预算绩效目标申报表、单位年度工作总结、预决算报表、有关表彰奖励复印件等）及与自评报告、基础表、自评表内容相符的相关佐证材料（佐证资料必须列目录，与自评表指标对应）</w:t>
      </w:r>
    </w:p>
    <w:p>
      <w:pPr>
        <w:pStyle w:val="2"/>
        <w:ind w:left="0" w:leftChars="0" w:firstLine="0" w:firstLineChars="0"/>
        <w:rPr>
          <w:rFonts w:eastAsia="仿宋"/>
        </w:rPr>
      </w:pPr>
    </w:p>
    <w:p>
      <w:pPr>
        <w:pStyle w:val="6"/>
        <w:ind w:firstLine="640"/>
        <w:rPr>
          <w:rFonts w:ascii="仿宋" w:hAnsi="仿宋" w:eastAsia="仿宋" w:cs="仿宋"/>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54B3A"/>
    <w:multiLevelType w:val="singleLevel"/>
    <w:tmpl w:val="25454B3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4MmQwNmEwMWMzMjc0MDU5YmFlODI4NmEyMzFiZTEifQ=="/>
  </w:docVars>
  <w:rsids>
    <w:rsidRoot w:val="00D01679"/>
    <w:rsid w:val="00090C17"/>
    <w:rsid w:val="00144551"/>
    <w:rsid w:val="002E4466"/>
    <w:rsid w:val="003768B3"/>
    <w:rsid w:val="003D7EB6"/>
    <w:rsid w:val="005620A4"/>
    <w:rsid w:val="005B1149"/>
    <w:rsid w:val="00613017"/>
    <w:rsid w:val="00625F77"/>
    <w:rsid w:val="00810A7A"/>
    <w:rsid w:val="00A2704A"/>
    <w:rsid w:val="00B420A4"/>
    <w:rsid w:val="00B5244B"/>
    <w:rsid w:val="00D01679"/>
    <w:rsid w:val="00DF7BFB"/>
    <w:rsid w:val="00FE7C11"/>
    <w:rsid w:val="1E6226F0"/>
    <w:rsid w:val="335A0FC0"/>
    <w:rsid w:val="54FF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0"/>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1"/>
    <w:qFormat/>
    <w:uiPriority w:val="0"/>
    <w:pPr>
      <w:spacing w:after="120"/>
      <w:ind w:left="420" w:leftChars="200" w:firstLine="420" w:firstLineChars="200"/>
      <w:textAlignment w:val="baseline"/>
    </w:pPr>
  </w:style>
  <w:style w:type="paragraph" w:styleId="3">
    <w:name w:val="Body Text Indent"/>
    <w:basedOn w:val="1"/>
    <w:link w:val="12"/>
    <w:semiHidden/>
    <w:unhideWhenUsed/>
    <w:qFormat/>
    <w:uiPriority w:val="99"/>
    <w:pPr>
      <w:spacing w:after="120"/>
      <w:ind w:left="420" w:leftChars="200"/>
    </w:pPr>
  </w:style>
  <w:style w:type="paragraph" w:styleId="4">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Body Text First Indent 2"/>
    <w:basedOn w:val="3"/>
    <w:link w:val="13"/>
    <w:qFormat/>
    <w:uiPriority w:val="0"/>
    <w:pPr>
      <w:spacing w:before="100" w:beforeAutospacing="1" w:after="0"/>
      <w:ind w:left="0" w:leftChars="0" w:firstLine="420" w:firstLineChars="200"/>
    </w:pPr>
  </w:style>
  <w:style w:type="character" w:styleId="9">
    <w:name w:val="Strong"/>
    <w:basedOn w:val="8"/>
    <w:qFormat/>
    <w:uiPriority w:val="22"/>
    <w:rPr>
      <w:b/>
      <w:bCs/>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正文文本缩进 Char"/>
    <w:basedOn w:val="8"/>
    <w:link w:val="3"/>
    <w:semiHidden/>
    <w:qFormat/>
    <w:uiPriority w:val="99"/>
    <w:rPr>
      <w:rFonts w:ascii="Calibri" w:hAnsi="Calibri" w:eastAsia="仿宋_GB2312" w:cs="Times New Roman"/>
      <w:sz w:val="32"/>
      <w:szCs w:val="20"/>
    </w:rPr>
  </w:style>
  <w:style w:type="character" w:customStyle="1" w:styleId="13">
    <w:name w:val="正文首行缩进 2 Char"/>
    <w:basedOn w:val="12"/>
    <w:link w:val="6"/>
    <w:qFormat/>
    <w:uiPriority w:val="0"/>
  </w:style>
  <w:style w:type="paragraph" w:styleId="14">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9010</Words>
  <Characters>9497</Characters>
  <Lines>60</Lines>
  <Paragraphs>16</Paragraphs>
  <TotalTime>1</TotalTime>
  <ScaleCrop>false</ScaleCrop>
  <LinksUpToDate>false</LinksUpToDate>
  <CharactersWithSpaces>9547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2024-05-23T09:05:00Z</dcterms:created>
  <dc:creator>Administrator</dc:creator>
  <cp:lastModifiedBy>Administrator</cp:lastModifiedBy>
  <dcterms:modified xsi:type="dcterms:W3CDTF">2024-05-28T09:01:12Z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AEAC7D2D794D427AA8B431D3C4E1BA10_12</vt:lpwstr>
  </property>
</Properties>
</file>