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仿宋_GB2312" w:hAnsi="仿宋_GB2312" w:cs="仿宋_GB2312"/>
          <w:b/>
          <w:bCs/>
          <w:kern w:val="0"/>
          <w:sz w:val="44"/>
          <w:szCs w:val="44"/>
          <w:lang w:val="en-US" w:eastAsia="zh-CN" w:bidi="ar-SA"/>
        </w:rPr>
      </w:pPr>
      <w:r>
        <w:rPr>
          <w:rFonts w:hint="eastAsia" w:ascii="仿宋_GB2312" w:hAnsi="仿宋_GB2312" w:cs="仿宋_GB2312"/>
          <w:b/>
          <w:bCs/>
          <w:kern w:val="0"/>
          <w:sz w:val="44"/>
          <w:szCs w:val="44"/>
          <w:lang w:val="en-US" w:eastAsia="zh-CN" w:bidi="ar-SA"/>
        </w:rPr>
        <w:t>2023</w:t>
      </w:r>
      <w:r>
        <w:rPr>
          <w:rFonts w:hint="eastAsia" w:ascii="仿宋_GB2312" w:hAnsi="仿宋_GB2312" w:eastAsia="仿宋_GB2312" w:cs="仿宋_GB2312"/>
          <w:b/>
          <w:bCs/>
          <w:kern w:val="0"/>
          <w:sz w:val="44"/>
          <w:szCs w:val="44"/>
          <w:lang w:val="en-US" w:eastAsia="zh-CN" w:bidi="ar-SA"/>
        </w:rPr>
        <w:t>年度</w:t>
      </w:r>
      <w:r>
        <w:rPr>
          <w:rFonts w:hint="eastAsia" w:ascii="仿宋_GB2312" w:hAnsi="仿宋_GB2312" w:cs="仿宋_GB2312"/>
          <w:b/>
          <w:bCs/>
          <w:kern w:val="0"/>
          <w:sz w:val="44"/>
          <w:szCs w:val="44"/>
          <w:lang w:val="en-US" w:eastAsia="zh-CN" w:bidi="ar-SA"/>
        </w:rPr>
        <w:t>益阳市资阳区就业服务中心</w:t>
      </w:r>
    </w:p>
    <w:p>
      <w:pPr>
        <w:spacing w:line="600" w:lineRule="exact"/>
        <w:jc w:val="center"/>
        <w:rPr>
          <w:rFonts w:hint="eastAsia" w:ascii="仿宋_GB2312" w:hAnsi="仿宋_GB2312" w:eastAsia="仿宋_GB2312" w:cs="仿宋_GB2312"/>
          <w:b/>
          <w:bCs/>
          <w:kern w:val="0"/>
          <w:sz w:val="44"/>
          <w:szCs w:val="44"/>
          <w:lang w:val="en-US" w:eastAsia="zh-CN" w:bidi="ar-SA"/>
        </w:rPr>
      </w:pPr>
      <w:r>
        <w:rPr>
          <w:rFonts w:hint="eastAsia" w:ascii="仿宋_GB2312" w:hAnsi="仿宋_GB2312" w:eastAsia="仿宋_GB2312" w:cs="仿宋_GB2312"/>
          <w:b/>
          <w:bCs/>
          <w:kern w:val="0"/>
          <w:sz w:val="44"/>
          <w:szCs w:val="44"/>
          <w:lang w:val="en-US" w:eastAsia="zh-CN" w:bidi="ar-SA"/>
        </w:rPr>
        <w:t>部门整体支出绩效自评报告</w:t>
      </w:r>
    </w:p>
    <w:p>
      <w:pPr>
        <w:pStyle w:val="2"/>
        <w:rPr>
          <w:rFonts w:hint="eastAsia"/>
          <w:lang w:val="en-US" w:eastAsia="zh-CN"/>
        </w:rPr>
      </w:pP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根据益阳市资阳区财政局关于开展2023年度部门绩效自评工作的要求，我</w:t>
      </w:r>
      <w:r>
        <w:rPr>
          <w:rFonts w:hint="eastAsia" w:ascii="仿宋_GB2312" w:hAnsi="仿宋_GB2312" w:cs="仿宋_GB2312"/>
          <w:kern w:val="0"/>
          <w:sz w:val="32"/>
          <w:szCs w:val="32"/>
          <w:lang w:val="en-US" w:eastAsia="zh-CN" w:bidi="ar-SA"/>
        </w:rPr>
        <w:t>中心</w:t>
      </w:r>
      <w:r>
        <w:rPr>
          <w:rFonts w:hint="eastAsia" w:ascii="仿宋_GB2312" w:hAnsi="仿宋_GB2312" w:eastAsia="仿宋_GB2312" w:cs="仿宋_GB2312"/>
          <w:kern w:val="0"/>
          <w:sz w:val="32"/>
          <w:szCs w:val="32"/>
          <w:lang w:val="en-US" w:eastAsia="zh-CN" w:bidi="ar-SA"/>
        </w:rPr>
        <w:t>成立自评工作小组，明确分工，落实责任，认真开展自评自查工作，经查阅、核实有关账务及项目等执行情况，填写自评表格，形成本评价报告。现将益阳市资阳区</w:t>
      </w:r>
      <w:r>
        <w:rPr>
          <w:rFonts w:hint="eastAsia" w:ascii="仿宋_GB2312" w:hAnsi="仿宋_GB2312" w:cs="仿宋_GB2312"/>
          <w:kern w:val="0"/>
          <w:sz w:val="32"/>
          <w:szCs w:val="32"/>
          <w:lang w:val="en-US" w:eastAsia="zh-CN" w:bidi="ar-SA"/>
        </w:rPr>
        <w:t>就业服务中心</w:t>
      </w:r>
      <w:r>
        <w:rPr>
          <w:rFonts w:hint="eastAsia" w:ascii="仿宋_GB2312" w:hAnsi="仿宋_GB2312" w:eastAsia="仿宋_GB2312" w:cs="仿宋_GB2312"/>
          <w:kern w:val="0"/>
          <w:sz w:val="32"/>
          <w:szCs w:val="32"/>
          <w:lang w:val="en-US" w:eastAsia="zh-CN" w:bidi="ar-SA"/>
        </w:rPr>
        <w:t>2023年度整</w:t>
      </w:r>
      <w:bookmarkStart w:id="0" w:name="_GoBack"/>
      <w:bookmarkEnd w:id="0"/>
      <w:r>
        <w:rPr>
          <w:rFonts w:hint="eastAsia" w:ascii="仿宋_GB2312" w:hAnsi="仿宋_GB2312" w:eastAsia="仿宋_GB2312" w:cs="仿宋_GB2312"/>
          <w:kern w:val="0"/>
          <w:sz w:val="32"/>
          <w:szCs w:val="32"/>
          <w:lang w:val="en-US" w:eastAsia="zh-CN" w:bidi="ar-SA"/>
        </w:rPr>
        <w:t>体支出绩效自评情况报告如下：</w:t>
      </w:r>
    </w:p>
    <w:p>
      <w:pPr>
        <w:widowControl/>
        <w:numPr>
          <w:ilvl w:val="0"/>
          <w:numId w:val="1"/>
        </w:numPr>
        <w:autoSpaceDN w:val="0"/>
        <w:spacing w:line="540" w:lineRule="exact"/>
        <w:ind w:firstLine="64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部门概况</w:t>
      </w:r>
    </w:p>
    <w:p>
      <w:pPr>
        <w:pStyle w:val="2"/>
        <w:numPr>
          <w:ilvl w:val="0"/>
          <w:numId w:val="2"/>
        </w:numPr>
        <w:ind w:left="0" w:leftChars="0" w:firstLine="630" w:firstLineChars="196"/>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部门职能</w:t>
      </w:r>
    </w:p>
    <w:p>
      <w:pPr>
        <w:pStyle w:val="2"/>
        <w:numPr>
          <w:ilvl w:val="0"/>
          <w:numId w:val="3"/>
        </w:numPr>
        <w:ind w:left="220" w:leftChars="0" w:firstLineChars="0"/>
        <w:rPr>
          <w:rFonts w:hint="eastAsia"/>
          <w:lang w:val="en-US" w:eastAsia="zh-CN"/>
        </w:rPr>
      </w:pPr>
      <w:r>
        <w:rPr>
          <w:rFonts w:hint="eastAsia"/>
          <w:lang w:val="en-US" w:eastAsia="zh-CN"/>
        </w:rPr>
        <w:t>负责全区劳动职业培训，就业服务和失业保险工作；</w:t>
      </w:r>
    </w:p>
    <w:p>
      <w:pPr>
        <w:pStyle w:val="2"/>
        <w:numPr>
          <w:ilvl w:val="0"/>
          <w:numId w:val="3"/>
        </w:numPr>
        <w:ind w:left="220" w:leftChars="0" w:firstLineChars="0"/>
        <w:rPr>
          <w:rFonts w:hint="eastAsia"/>
          <w:lang w:val="en-US" w:eastAsia="zh-CN"/>
        </w:rPr>
      </w:pPr>
      <w:r>
        <w:rPr>
          <w:rFonts w:hint="eastAsia"/>
          <w:lang w:val="en-US" w:eastAsia="zh-CN"/>
        </w:rPr>
        <w:t>拟定职业技能培训机构发展规划；负责就业技能培训，岗位技能提升培训，创业培训；指导定点职业技能培训机构的业务工作；</w:t>
      </w:r>
    </w:p>
    <w:p>
      <w:pPr>
        <w:pStyle w:val="2"/>
        <w:numPr>
          <w:ilvl w:val="0"/>
          <w:numId w:val="3"/>
        </w:numPr>
        <w:ind w:left="220" w:leftChars="0" w:firstLineChars="0"/>
        <w:rPr>
          <w:rFonts w:hint="eastAsia"/>
          <w:lang w:val="en-US" w:eastAsia="zh-CN"/>
        </w:rPr>
      </w:pPr>
      <w:r>
        <w:rPr>
          <w:rFonts w:hint="eastAsia"/>
          <w:lang w:val="en-US" w:eastAsia="zh-CN"/>
        </w:rPr>
        <w:t>协助政府履行有关就业方面的社会公共服务职能。</w:t>
      </w:r>
    </w:p>
    <w:p>
      <w:pPr>
        <w:pStyle w:val="2"/>
        <w:numPr>
          <w:ilvl w:val="0"/>
          <w:numId w:val="2"/>
        </w:numPr>
        <w:ind w:left="0" w:leftChars="0" w:firstLine="630" w:firstLineChars="196"/>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机构设置</w:t>
      </w:r>
    </w:p>
    <w:p>
      <w:pPr>
        <w:pStyle w:val="2"/>
        <w:numPr>
          <w:numId w:val="0"/>
        </w:numPr>
        <w:spacing w:after="0"/>
        <w:ind w:left="0" w:leftChars="0" w:firstLine="640" w:firstLineChars="200"/>
        <w:rPr>
          <w:rFonts w:hint="default"/>
          <w:lang w:val="en-US" w:eastAsia="zh-CN"/>
        </w:rPr>
      </w:pPr>
      <w:r>
        <w:rPr>
          <w:rFonts w:hint="eastAsia"/>
          <w:lang w:val="en-US" w:eastAsia="zh-CN"/>
        </w:rPr>
        <w:t>我中心内设办公室、失业保险、城乡就业、职业培训4个股室。</w:t>
      </w:r>
    </w:p>
    <w:p>
      <w:pPr>
        <w:pStyle w:val="2"/>
        <w:numPr>
          <w:ilvl w:val="0"/>
          <w:numId w:val="2"/>
        </w:numPr>
        <w:ind w:left="0" w:leftChars="0" w:firstLine="630" w:firstLineChars="196"/>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年度总体工作和重点工作任务</w:t>
      </w:r>
    </w:p>
    <w:p>
      <w:pPr>
        <w:pStyle w:val="2"/>
        <w:numPr>
          <w:ilvl w:val="0"/>
          <w:numId w:val="3"/>
        </w:numPr>
        <w:ind w:left="220" w:leftChars="0" w:firstLineChars="0"/>
        <w:rPr>
          <w:rFonts w:hint="eastAsia"/>
          <w:lang w:val="en-US" w:eastAsia="zh-CN"/>
        </w:rPr>
      </w:pPr>
      <w:r>
        <w:rPr>
          <w:rFonts w:hint="eastAsia"/>
          <w:lang w:val="en-US" w:eastAsia="zh-CN"/>
        </w:rPr>
        <w:t>贯彻落实政府失业保险政策，负责全区失业保险基金征缴与发放，以保障失业人员基本生活；</w:t>
      </w:r>
    </w:p>
    <w:p>
      <w:pPr>
        <w:pStyle w:val="2"/>
        <w:numPr>
          <w:ilvl w:val="0"/>
          <w:numId w:val="3"/>
        </w:numPr>
        <w:ind w:left="220" w:leftChars="0" w:firstLineChars="0"/>
        <w:rPr>
          <w:rFonts w:hint="eastAsia"/>
          <w:lang w:val="en-US" w:eastAsia="zh-CN"/>
        </w:rPr>
      </w:pPr>
      <w:r>
        <w:rPr>
          <w:rFonts w:hint="eastAsia"/>
          <w:lang w:val="en-US" w:eastAsia="zh-CN"/>
        </w:rPr>
        <w:t>负责全区企业职工培训、就业培训、农村劳动力转移技能培训、创业培训工作；</w:t>
      </w:r>
    </w:p>
    <w:p>
      <w:pPr>
        <w:pStyle w:val="2"/>
        <w:numPr>
          <w:ilvl w:val="0"/>
          <w:numId w:val="3"/>
        </w:numPr>
        <w:ind w:left="220" w:leftChars="0" w:firstLineChars="0"/>
        <w:rPr>
          <w:rFonts w:hint="eastAsia"/>
          <w:lang w:val="en-US" w:eastAsia="zh-CN"/>
        </w:rPr>
      </w:pPr>
      <w:r>
        <w:rPr>
          <w:rFonts w:hint="eastAsia"/>
          <w:lang w:val="en-US" w:eastAsia="zh-CN"/>
        </w:rPr>
        <w:t>负责全区基层平台建设管理，小额担保贷款，农村劳动力转移就业及零就业家庭援助、职业指导、政策扶持等工作。</w:t>
      </w:r>
    </w:p>
    <w:p>
      <w:pPr>
        <w:pStyle w:val="2"/>
        <w:numPr>
          <w:ilvl w:val="0"/>
          <w:numId w:val="1"/>
        </w:numPr>
        <w:ind w:left="0" w:leftChars="0" w:firstLine="640" w:firstLineChars="0"/>
        <w:rPr>
          <w:rFonts w:hint="eastAsia" w:ascii="黑体" w:hAnsi="黑体" w:eastAsia="黑体" w:cs="宋体"/>
          <w:color w:val="000000"/>
          <w:kern w:val="0"/>
          <w:sz w:val="32"/>
          <w:szCs w:val="32"/>
          <w:lang w:val="en-US" w:eastAsia="zh-CN" w:bidi="ar-SA"/>
        </w:rPr>
      </w:pPr>
      <w:r>
        <w:rPr>
          <w:rFonts w:hint="eastAsia" w:ascii="黑体" w:hAnsi="黑体" w:eastAsia="黑体" w:cs="宋体"/>
          <w:color w:val="000000"/>
          <w:kern w:val="0"/>
          <w:sz w:val="32"/>
          <w:szCs w:val="32"/>
          <w:lang w:val="en-US" w:eastAsia="zh-CN" w:bidi="ar-SA"/>
        </w:rPr>
        <w:t>一般公共预算支出情况</w:t>
      </w:r>
    </w:p>
    <w:p>
      <w:pPr>
        <w:pStyle w:val="2"/>
        <w:numPr>
          <w:numId w:val="0"/>
        </w:numPr>
        <w:ind w:leftChars="196"/>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（一）基本支出安排及使用情况</w:t>
      </w:r>
    </w:p>
    <w:p>
      <w:pPr>
        <w:pStyle w:val="2"/>
        <w:numPr>
          <w:numId w:val="0"/>
        </w:numPr>
        <w:ind w:firstLine="640" w:firstLineChars="200"/>
        <w:rPr>
          <w:rFonts w:hint="eastAsia"/>
          <w:lang w:val="en-US" w:eastAsia="zh-CN"/>
        </w:rPr>
      </w:pPr>
      <w:r>
        <w:rPr>
          <w:rFonts w:hint="eastAsia"/>
          <w:lang w:val="en-US" w:eastAsia="zh-CN"/>
        </w:rPr>
        <w:t>2023年度财政拨款基本支出80.11万元，其中：人员经费71.26万元，占基本支出的88.95%，主要包括基本工资、津贴补贴、奖金、绩效工资、住房公积金、社保；公用经费8.85万元，占基本支出的11.05%，主要包括办公费、电费、劳务费、工会经费、其他交通费用、其他商品和服务支出等。</w:t>
      </w:r>
    </w:p>
    <w:p>
      <w:pPr>
        <w:spacing w:line="600" w:lineRule="exact"/>
        <w:ind w:firstLine="630" w:firstLineChars="196"/>
        <w:jc w:val="left"/>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（二）项目支出安排及使用情况</w:t>
      </w:r>
    </w:p>
    <w:p>
      <w:pPr>
        <w:spacing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2023年项目支出1191.54万元。主要用于发放培训补贴、发放充分就业社区补助以及召开专场招聘会等。</w:t>
      </w:r>
    </w:p>
    <w:p>
      <w:pPr>
        <w:pStyle w:val="2"/>
        <w:numPr>
          <w:ilvl w:val="0"/>
          <w:numId w:val="1"/>
        </w:numPr>
        <w:ind w:left="0" w:leftChars="0" w:firstLine="640" w:firstLineChars="0"/>
        <w:rPr>
          <w:rFonts w:hint="eastAsia" w:ascii="黑体" w:hAnsi="黑体" w:eastAsia="黑体" w:cs="宋体"/>
          <w:color w:val="000000"/>
          <w:kern w:val="0"/>
          <w:sz w:val="32"/>
          <w:szCs w:val="32"/>
          <w:lang w:val="en-US" w:eastAsia="zh-CN" w:bidi="ar-SA"/>
        </w:rPr>
      </w:pPr>
      <w:r>
        <w:rPr>
          <w:rFonts w:hint="eastAsia" w:ascii="黑体" w:hAnsi="黑体" w:eastAsia="黑体" w:cs="宋体"/>
          <w:color w:val="000000"/>
          <w:kern w:val="0"/>
          <w:sz w:val="32"/>
          <w:szCs w:val="32"/>
          <w:lang w:val="en-US" w:eastAsia="zh-CN" w:bidi="ar-SA"/>
        </w:rPr>
        <w:t>部门整体支出绩效情况</w:t>
      </w:r>
    </w:p>
    <w:p>
      <w:pPr>
        <w:spacing w:line="600" w:lineRule="exact"/>
        <w:ind w:firstLine="630" w:firstLineChars="196"/>
        <w:jc w:val="left"/>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（一）就业培训工作稳步推进</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2023年，职业技能培训目标任务1800人，已完成1880人次，完成比例104.4%。创业培训目标任务560人，已完成576人，完成比例102.9%。</w:t>
      </w:r>
    </w:p>
    <w:p>
      <w:pPr>
        <w:spacing w:line="600" w:lineRule="exact"/>
        <w:ind w:firstLine="630" w:firstLineChars="196"/>
        <w:jc w:val="left"/>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（二）失业保险工作扎实推进</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失业保险省级统筹已按要求全面落实。严格按照省统一政策覆盖范围、发放标准、经办流程完成；失业保险基金结余已于7月31日前全部归集上解至省财政专户；按月及时申报基金支付计划。</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2023年收缴失业保险基金1136.77万元，支出3431.87万元，参保单位258家（机关事业单位72家），参保人数27790人，新增参保人数840人，失业保险稳岗返还90.24万元，涉及66家企业，领取失业保险金2271人次386.55万元，缴纳医保116.6万元，领取失业补助金373人次10.14万元，技能提升补贴2.02万元，一次性留工补助0万元，一次性扩岗补助0.6万元。</w:t>
      </w:r>
    </w:p>
    <w:p>
      <w:pPr>
        <w:spacing w:line="600" w:lineRule="exact"/>
        <w:ind w:firstLine="630" w:firstLineChars="196"/>
        <w:jc w:val="left"/>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（三）城乡就业工作全力推进</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1.基层平台建设情况</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大力推进人社业务职能下移，已建成了6个乡镇、2个街道、1个经开区级人社服务中心，36个社区人社服务站，88个村级人社服务站，覆盖率均达到了100%。</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2.稳岗就业工作开展情况</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1、离校未就业高校毕业生：截止12月20日下发615人，已就业592人，就业率96.26%，已达到上级要求的95%以上的就业比例。</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2、人社部全国高校毕业生求职登记小程序跟踪服务情况：对每个在求职小程序上求职的高校毕业生我们会在三个工作日内提供就业服务并跟踪回访指导确保求职人员能够找到工作，严格按照上级部门要求的90%以上就业比例。目前就业率95%。</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3、就业见习：就业见习人数达到高校毕业生人数的7%。目标任务43人，目前已完成46人，完成目标任务。</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4、退捕渔民就业援助和脱贫劳动力就业帮扶情况：对无就业意愿的退捕渔民每月进行一轮跟踪联系，对已就业的退捕渔民每半年进行一轮跟踪联系，并及时在系统内更新退捕渔民的就失业状态、就业意愿、培训意愿等情况。每出现一人有就业意愿未就业的退捕渔民已按月实现动态清零，以上都已按时按质量完成。</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每季度完成一次脱贫劳动力信息更新，对未就业有就业意愿的脱贫劳动力提供311就业服务，脱贫劳动力转移就业比率不低于2022年。2022年脱贫人口8182人，已就业6859人，就业率83.83%；2023年8246人，已就业7021人，就业率85.14%；以上情况都已按时完成。</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5、就业帮扶车间数量及吸纳人数均不低于去年：2022年车间数量39家，吸纳人数465人，2023年车间数量44家，吸纳人数468人，已完成任务。（今年新增车间13家，退出车间8家。）</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6、创业担保贷款：今年发放创业担保贷款2800万，带动就业500人，目前已发放2035.3万,带动就业人数347人。</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7、充分就业社区建设成效：全年的平均分除以月份数上90分达标，目前全部社区（村）均达到要求。</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8、农村劳动力转移就业：目标任务2154人，已新增转移2158人，完成目标任务。</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9、园区和重点企业公共就业服务就业服务联系工作：已按要求每月对重点企业进行监测并报送报表，并要求重点企业更新岗位信息。</w:t>
      </w:r>
    </w:p>
    <w:p>
      <w:pPr>
        <w:spacing w:line="600" w:lineRule="exact"/>
        <w:ind w:firstLine="640" w:firstLineChars="200"/>
        <w:rPr>
          <w:rFonts w:hint="eastAsia" w:ascii="Calibri" w:hAnsi="Calibri" w:eastAsia="仿宋_GB2312" w:cs="Times New Roman"/>
          <w:kern w:val="2"/>
          <w:sz w:val="32"/>
          <w:lang w:val="en-US" w:eastAsia="zh-CN" w:bidi="ar-SA"/>
        </w:rPr>
      </w:pPr>
      <w:r>
        <w:rPr>
          <w:rFonts w:hint="eastAsia" w:ascii="Calibri" w:hAnsi="Calibri" w:eastAsia="仿宋_GB2312" w:cs="Times New Roman"/>
          <w:kern w:val="2"/>
          <w:sz w:val="32"/>
          <w:lang w:val="en-US" w:eastAsia="zh-CN" w:bidi="ar-SA"/>
        </w:rPr>
        <w:t>10、社区和行政村平台建设比例：目前都已完成建站，上级部门如再有要求我们会按时按质按量完成。（四）加强部门整体支出绩效管理的举措。</w:t>
      </w:r>
    </w:p>
    <w:p>
      <w:pPr>
        <w:widowControl/>
        <w:autoSpaceDN w:val="0"/>
        <w:spacing w:line="540" w:lineRule="exact"/>
        <w:rPr>
          <w:rFonts w:ascii="黑体" w:hAnsi="黑体" w:eastAsia="黑体" w:cs="宋体"/>
          <w:color w:val="000000"/>
          <w:kern w:val="0"/>
          <w:sz w:val="32"/>
          <w:szCs w:val="32"/>
        </w:rPr>
      </w:pPr>
      <w:r>
        <w:rPr>
          <w:rFonts w:ascii="??_GB2312" w:hAnsi="仿宋" w:eastAsia="Times New Roman" w:cs="宋体"/>
          <w:color w:val="000000"/>
          <w:kern w:val="0"/>
          <w:sz w:val="32"/>
          <w:szCs w:val="32"/>
        </w:rPr>
        <w:t xml:space="preserve">    </w:t>
      </w:r>
      <w:r>
        <w:rPr>
          <w:rFonts w:hint="eastAsia" w:ascii="??_GB2312" w:hAnsi="仿宋" w:cs="宋体"/>
          <w:color w:val="000000"/>
          <w:kern w:val="0"/>
          <w:sz w:val="32"/>
          <w:szCs w:val="32"/>
        </w:rPr>
        <w:t xml:space="preserve"> </w:t>
      </w:r>
      <w:r>
        <w:rPr>
          <w:rFonts w:hint="eastAsia" w:ascii="黑体" w:hAnsi="黑体" w:eastAsia="黑体" w:cs="宋体"/>
          <w:color w:val="000000"/>
          <w:kern w:val="0"/>
          <w:sz w:val="32"/>
          <w:szCs w:val="32"/>
        </w:rPr>
        <w:t>四、总体评价和自评得分情况</w:t>
      </w:r>
    </w:p>
    <w:p>
      <w:pPr>
        <w:spacing w:line="600" w:lineRule="exact"/>
        <w:ind w:firstLine="640" w:firstLineChars="200"/>
        <w:rPr>
          <w:rFonts w:hint="eastAsia" w:ascii="Calibri" w:hAnsi="Calibri" w:eastAsia="仿宋_GB2312" w:cs="Times New Roman"/>
          <w:kern w:val="2"/>
          <w:sz w:val="32"/>
          <w:highlight w:val="none"/>
          <w:lang w:val="en-US" w:eastAsia="zh-CN" w:bidi="ar-SA"/>
        </w:rPr>
      </w:pPr>
      <w:r>
        <w:rPr>
          <w:rFonts w:hint="eastAsia" w:ascii="Calibri" w:hAnsi="Calibri" w:eastAsia="仿宋_GB2312" w:cs="Times New Roman"/>
          <w:kern w:val="2"/>
          <w:sz w:val="32"/>
          <w:highlight w:val="none"/>
          <w:lang w:val="en-US" w:eastAsia="zh-CN" w:bidi="ar-SA"/>
        </w:rPr>
        <w:t>本次评价分从三个方面评价，按照评价要求，产出指标50分、效益指标30分、服务对象满意度指标10分。2023年我中心预算执行率9</w:t>
      </w:r>
      <w:r>
        <w:rPr>
          <w:rFonts w:hint="eastAsia" w:cs="Times New Roman"/>
          <w:kern w:val="2"/>
          <w:sz w:val="32"/>
          <w:highlight w:val="none"/>
          <w:lang w:val="en-US" w:eastAsia="zh-CN" w:bidi="ar-SA"/>
        </w:rPr>
        <w:t>3.29</w:t>
      </w:r>
      <w:r>
        <w:rPr>
          <w:rFonts w:hint="eastAsia" w:ascii="Calibri" w:hAnsi="Calibri" w:eastAsia="仿宋_GB2312" w:cs="Times New Roman"/>
          <w:kern w:val="2"/>
          <w:sz w:val="32"/>
          <w:highlight w:val="none"/>
          <w:lang w:val="en-US" w:eastAsia="zh-CN" w:bidi="ar-SA"/>
        </w:rPr>
        <w:t xml:space="preserve"> %，预算执行得分9.</w:t>
      </w:r>
      <w:r>
        <w:rPr>
          <w:rFonts w:hint="eastAsia" w:cs="Times New Roman"/>
          <w:kern w:val="2"/>
          <w:sz w:val="32"/>
          <w:highlight w:val="none"/>
          <w:lang w:val="en-US" w:eastAsia="zh-CN" w:bidi="ar-SA"/>
        </w:rPr>
        <w:t>33</w:t>
      </w:r>
      <w:r>
        <w:rPr>
          <w:rFonts w:hint="eastAsia" w:ascii="Calibri" w:hAnsi="Calibri" w:eastAsia="仿宋_GB2312" w:cs="Times New Roman"/>
          <w:kern w:val="2"/>
          <w:sz w:val="32"/>
          <w:highlight w:val="none"/>
          <w:lang w:val="en-US" w:eastAsia="zh-CN" w:bidi="ar-SA"/>
        </w:rPr>
        <w:t>分。在各科室积极明责履责中，产出指标共计</w:t>
      </w:r>
      <w:r>
        <w:rPr>
          <w:rFonts w:hint="eastAsia" w:cs="Times New Roman"/>
          <w:kern w:val="2"/>
          <w:sz w:val="32"/>
          <w:highlight w:val="none"/>
          <w:lang w:val="en-US" w:eastAsia="zh-CN" w:bidi="ar-SA"/>
        </w:rPr>
        <w:t>6</w:t>
      </w:r>
      <w:r>
        <w:rPr>
          <w:rFonts w:hint="eastAsia" w:ascii="Calibri" w:hAnsi="Calibri" w:eastAsia="仿宋_GB2312" w:cs="Times New Roman"/>
          <w:kern w:val="2"/>
          <w:sz w:val="32"/>
          <w:highlight w:val="none"/>
          <w:lang w:val="en-US" w:eastAsia="zh-CN" w:bidi="ar-SA"/>
        </w:rPr>
        <w:t>个，完成情况较好，我中心重点工作均完成，产出高效，得分</w:t>
      </w:r>
      <w:r>
        <w:rPr>
          <w:rFonts w:hint="eastAsia" w:cs="Times New Roman"/>
          <w:kern w:val="2"/>
          <w:sz w:val="32"/>
          <w:highlight w:val="none"/>
          <w:lang w:val="en-US" w:eastAsia="zh-CN" w:bidi="ar-SA"/>
        </w:rPr>
        <w:t>50</w:t>
      </w:r>
      <w:r>
        <w:rPr>
          <w:rFonts w:hint="eastAsia" w:ascii="Calibri" w:hAnsi="Calibri" w:eastAsia="仿宋_GB2312" w:cs="Times New Roman"/>
          <w:kern w:val="2"/>
          <w:sz w:val="32"/>
          <w:highlight w:val="none"/>
          <w:lang w:val="en-US" w:eastAsia="zh-CN" w:bidi="ar-SA"/>
        </w:rPr>
        <w:t>分。在产出指标支撑下，效益指标也均实现了预定目标，服务对象满意度指标效果满意，得分</w:t>
      </w:r>
      <w:r>
        <w:rPr>
          <w:rFonts w:hint="eastAsia" w:cs="Times New Roman"/>
          <w:kern w:val="2"/>
          <w:sz w:val="32"/>
          <w:highlight w:val="none"/>
          <w:lang w:val="en-US" w:eastAsia="zh-CN" w:bidi="ar-SA"/>
        </w:rPr>
        <w:t>37</w:t>
      </w:r>
      <w:r>
        <w:rPr>
          <w:rFonts w:hint="eastAsia" w:ascii="Calibri" w:hAnsi="Calibri" w:eastAsia="仿宋_GB2312" w:cs="Times New Roman"/>
          <w:kern w:val="2"/>
          <w:sz w:val="32"/>
          <w:highlight w:val="none"/>
          <w:lang w:val="en-US" w:eastAsia="zh-CN" w:bidi="ar-SA"/>
        </w:rPr>
        <w:t>分。综上，2023年我</w:t>
      </w:r>
      <w:r>
        <w:rPr>
          <w:rFonts w:hint="eastAsia" w:cs="Times New Roman"/>
          <w:kern w:val="2"/>
          <w:sz w:val="32"/>
          <w:highlight w:val="none"/>
          <w:lang w:val="en-US" w:eastAsia="zh-CN" w:bidi="ar-SA"/>
        </w:rPr>
        <w:t>中心</w:t>
      </w:r>
      <w:r>
        <w:rPr>
          <w:rFonts w:hint="eastAsia" w:ascii="Calibri" w:hAnsi="Calibri" w:eastAsia="仿宋_GB2312" w:cs="Times New Roman"/>
          <w:kern w:val="2"/>
          <w:sz w:val="32"/>
          <w:highlight w:val="none"/>
          <w:lang w:val="en-US" w:eastAsia="zh-CN" w:bidi="ar-SA"/>
        </w:rPr>
        <w:t>部门整体支出绩效自评9</w:t>
      </w:r>
      <w:r>
        <w:rPr>
          <w:rFonts w:hint="eastAsia" w:cs="Times New Roman"/>
          <w:kern w:val="2"/>
          <w:sz w:val="32"/>
          <w:highlight w:val="none"/>
          <w:lang w:val="en-US" w:eastAsia="zh-CN" w:bidi="ar-SA"/>
        </w:rPr>
        <w:t>6.33</w:t>
      </w:r>
      <w:r>
        <w:rPr>
          <w:rFonts w:hint="eastAsia" w:ascii="Calibri" w:hAnsi="Calibri" w:eastAsia="仿宋_GB2312" w:cs="Times New Roman"/>
          <w:kern w:val="2"/>
          <w:sz w:val="32"/>
          <w:highlight w:val="none"/>
          <w:lang w:val="en-US" w:eastAsia="zh-CN" w:bidi="ar-SA"/>
        </w:rPr>
        <w:t>分。</w:t>
      </w:r>
    </w:p>
    <w:p>
      <w:pPr>
        <w:pStyle w:val="6"/>
        <w:widowControl/>
        <w:spacing w:line="600" w:lineRule="exact"/>
        <w:ind w:firstLine="640"/>
        <w:jc w:val="left"/>
        <w:rPr>
          <w:rFonts w:ascii="Times New Roman" w:hAnsi="Times New Roman" w:eastAsia="黑体"/>
          <w:sz w:val="32"/>
          <w:szCs w:val="32"/>
        </w:rPr>
      </w:pPr>
      <w:r>
        <w:rPr>
          <w:rFonts w:hint="eastAsia" w:ascii="黑体" w:hAnsi="黑体" w:eastAsia="黑体" w:cs="宋体"/>
          <w:color w:val="000000"/>
          <w:kern w:val="0"/>
          <w:sz w:val="32"/>
          <w:szCs w:val="32"/>
        </w:rPr>
        <w:t>五、</w:t>
      </w:r>
      <w:r>
        <w:rPr>
          <w:rFonts w:hint="eastAsia" w:ascii="Times New Roman" w:hAnsi="Times New Roman" w:eastAsia="黑体"/>
          <w:sz w:val="32"/>
          <w:szCs w:val="32"/>
        </w:rPr>
        <w:t>存在的问题及原因分析</w:t>
      </w:r>
    </w:p>
    <w:p>
      <w:pPr>
        <w:spacing w:line="600" w:lineRule="exact"/>
        <w:ind w:firstLine="640" w:firstLineChars="200"/>
        <w:rPr>
          <w:rFonts w:hint="eastAsia" w:ascii="Calibri" w:hAnsi="Calibri" w:eastAsia="仿宋_GB2312" w:cs="Times New Roman"/>
          <w:kern w:val="2"/>
          <w:sz w:val="32"/>
          <w:highlight w:val="none"/>
          <w:lang w:val="en-US" w:eastAsia="zh-CN" w:bidi="ar-SA"/>
        </w:rPr>
      </w:pPr>
      <w:r>
        <w:rPr>
          <w:rFonts w:hint="eastAsia" w:ascii="Calibri" w:hAnsi="Calibri" w:eastAsia="仿宋_GB2312" w:cs="Times New Roman"/>
          <w:kern w:val="2"/>
          <w:sz w:val="32"/>
          <w:highlight w:val="none"/>
          <w:lang w:val="en-US" w:eastAsia="zh-CN" w:bidi="ar-SA"/>
        </w:rPr>
        <w:t>2023年在预算收支执行中，个别项目预算编制不够精准、全面，在执行中存在报财政批准调整情况。</w:t>
      </w:r>
    </w:p>
    <w:p>
      <w:pPr>
        <w:widowControl/>
        <w:numPr>
          <w:ilvl w:val="0"/>
          <w:numId w:val="4"/>
        </w:numPr>
        <w:spacing w:line="600" w:lineRule="exact"/>
        <w:ind w:firstLine="640" w:firstLineChars="200"/>
        <w:jc w:val="left"/>
        <w:rPr>
          <w:rFonts w:hint="eastAsia" w:eastAsia="黑体"/>
          <w:sz w:val="32"/>
          <w:szCs w:val="32"/>
        </w:rPr>
      </w:pPr>
      <w:r>
        <w:rPr>
          <w:rFonts w:hint="eastAsia" w:eastAsia="黑体"/>
          <w:sz w:val="32"/>
          <w:szCs w:val="32"/>
        </w:rPr>
        <w:t>下一步改进措施</w:t>
      </w:r>
    </w:p>
    <w:p>
      <w:pPr>
        <w:pStyle w:val="2"/>
        <w:numPr>
          <w:ilvl w:val="0"/>
          <w:numId w:val="0"/>
        </w:numPr>
        <w:ind w:firstLine="640" w:firstLineChars="200"/>
        <w:rPr>
          <w:rFonts w:hint="eastAsia"/>
        </w:rPr>
      </w:pPr>
      <w:r>
        <w:rPr>
          <w:rFonts w:hint="eastAsia"/>
        </w:rPr>
        <w:t>（1）细化预算编制工作。进一步加强各科室的预算管理意识,严格按照预算编制的相关制度和要求,提高预算编制的科学性、合理性。</w:t>
      </w:r>
    </w:p>
    <w:p>
      <w:pPr>
        <w:pStyle w:val="2"/>
        <w:numPr>
          <w:ilvl w:val="0"/>
          <w:numId w:val="0"/>
        </w:numPr>
        <w:ind w:firstLine="640" w:firstLineChars="200"/>
        <w:rPr>
          <w:rFonts w:hint="eastAsia"/>
        </w:rPr>
      </w:pPr>
      <w:r>
        <w:rPr>
          <w:rFonts w:hint="eastAsia"/>
        </w:rPr>
        <w:t>（2）加强预算执行管理。遵循预算管理办法,按项目工作推进提高资金支出进度，加强和各业务科室的沟通和督促项目资金使用，科学合理使用财政资金，确保财政资金发挥最大效益。</w:t>
      </w:r>
    </w:p>
    <w:p>
      <w:pPr>
        <w:pStyle w:val="2"/>
        <w:numPr>
          <w:ilvl w:val="0"/>
          <w:numId w:val="0"/>
        </w:numPr>
        <w:ind w:firstLine="640" w:firstLineChars="200"/>
      </w:pPr>
      <w:r>
        <w:rPr>
          <w:rFonts w:hint="eastAsia"/>
        </w:rPr>
        <w:t>（3）加强人员培训。进一步加强管理人员对相关业务的学习，规范部门预算收支核算，切实提高预算收支管理水平。</w:t>
      </w:r>
    </w:p>
    <w:p>
      <w:pPr>
        <w:widowControl/>
        <w:numPr>
          <w:ilvl w:val="0"/>
          <w:numId w:val="4"/>
        </w:numPr>
        <w:spacing w:line="600" w:lineRule="exact"/>
        <w:ind w:firstLine="640" w:firstLineChars="200"/>
        <w:jc w:val="left"/>
        <w:rPr>
          <w:rFonts w:hint="eastAsia" w:eastAsia="黑体"/>
          <w:sz w:val="32"/>
          <w:szCs w:val="32"/>
          <w:lang w:eastAsia="zh-CN"/>
        </w:rPr>
      </w:pPr>
      <w:r>
        <w:rPr>
          <w:rFonts w:hint="eastAsia" w:eastAsia="黑体"/>
          <w:sz w:val="32"/>
          <w:szCs w:val="32"/>
        </w:rPr>
        <w:t>整体支出绩效自评结果拟应用</w:t>
      </w:r>
      <w:r>
        <w:rPr>
          <w:rFonts w:hint="eastAsia" w:eastAsia="黑体"/>
          <w:sz w:val="32"/>
          <w:szCs w:val="32"/>
          <w:lang w:eastAsia="zh-CN"/>
        </w:rPr>
        <w:t>和</w:t>
      </w:r>
      <w:r>
        <w:rPr>
          <w:rFonts w:hint="eastAsia" w:eastAsia="黑体"/>
          <w:sz w:val="32"/>
          <w:szCs w:val="32"/>
        </w:rPr>
        <w:t>公开</w:t>
      </w:r>
      <w:r>
        <w:rPr>
          <w:rFonts w:hint="eastAsia" w:eastAsia="黑体"/>
          <w:sz w:val="32"/>
          <w:szCs w:val="32"/>
          <w:lang w:eastAsia="zh-CN"/>
        </w:rPr>
        <w:t>情况。</w:t>
      </w:r>
    </w:p>
    <w:p>
      <w:pPr>
        <w:pStyle w:val="2"/>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（一）绩效自评结果拟应用</w:t>
      </w:r>
    </w:p>
    <w:p>
      <w:pPr>
        <w:pStyle w:val="2"/>
        <w:rPr>
          <w:rFonts w:hint="eastAsia"/>
          <w:lang w:eastAsia="zh-CN"/>
        </w:rPr>
      </w:pPr>
      <w:r>
        <w:rPr>
          <w:rFonts w:hint="eastAsia"/>
          <w:lang w:eastAsia="zh-CN"/>
        </w:rPr>
        <w:t>通过绩效自评，进一步掌握了资金使用情况和取得的效果，总结了专项资金管理经验，认识到了工作中存在的问题和不足，为今后完善年初预算编制、加强资金使用管理、健全资金支出项目、提高资金绩效管理、加大资金使用效益工作提供了重要的参考依据。</w:t>
      </w:r>
    </w:p>
    <w:p>
      <w:pPr>
        <w:pStyle w:val="2"/>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（二）绩效自评结果公开情况</w:t>
      </w:r>
    </w:p>
    <w:p>
      <w:pPr>
        <w:pStyle w:val="2"/>
        <w:rPr>
          <w:rFonts w:hint="eastAsia"/>
          <w:lang w:eastAsia="zh-CN"/>
        </w:rPr>
      </w:pPr>
      <w:r>
        <w:rPr>
          <w:rFonts w:hint="eastAsia"/>
          <w:lang w:eastAsia="zh-CN"/>
        </w:rPr>
        <w:t>2023年本部门整体支出绩效自评报告将在益阳市资阳区人民政府门户网站上予以全文公布，向社会公开，广泛接受群众监督。</w:t>
      </w:r>
    </w:p>
    <w:p>
      <w:pPr>
        <w:pStyle w:val="2"/>
        <w:rPr>
          <w:rFonts w:hint="eastAsia"/>
          <w:lang w:eastAsia="zh-CN"/>
        </w:rPr>
      </w:pPr>
    </w:p>
    <w:p>
      <w:pPr>
        <w:widowControl/>
        <w:spacing w:line="600" w:lineRule="exact"/>
        <w:ind w:firstLine="1280" w:firstLineChars="400"/>
        <w:jc w:val="left"/>
        <w:rPr>
          <w:rFonts w:hint="eastAsia" w:ascii="仿宋" w:hAnsi="仿宋" w:eastAsia="仿宋" w:cs="仿宋"/>
          <w:sz w:val="32"/>
          <w:szCs w:val="32"/>
        </w:rPr>
      </w:pPr>
      <w:r>
        <w:rPr>
          <w:rFonts w:hint="eastAsia" w:ascii="仿宋" w:hAnsi="仿宋" w:eastAsia="仿宋" w:cs="仿宋"/>
          <w:sz w:val="32"/>
          <w:szCs w:val="32"/>
          <w:lang w:eastAsia="zh-CN"/>
        </w:rPr>
        <w:t>附件</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部门整体支出绩效评价基础数据表</w:t>
      </w:r>
    </w:p>
    <w:p>
      <w:pPr>
        <w:widowControl/>
        <w:spacing w:line="600" w:lineRule="exact"/>
        <w:ind w:firstLine="1280" w:firstLineChars="400"/>
        <w:jc w:val="left"/>
        <w:rPr>
          <w:rFonts w:hint="eastAsia" w:ascii="仿宋" w:hAnsi="仿宋" w:eastAsia="仿宋" w:cs="仿宋"/>
          <w:sz w:val="32"/>
          <w:szCs w:val="32"/>
        </w:rPr>
      </w:pPr>
      <w:r>
        <w:rPr>
          <w:rFonts w:hint="eastAsia" w:ascii="仿宋" w:hAnsi="仿宋" w:eastAsia="仿宋" w:cs="仿宋"/>
          <w:sz w:val="32"/>
          <w:szCs w:val="32"/>
          <w:lang w:eastAsia="zh-CN"/>
        </w:rPr>
        <w:t>附件</w:t>
      </w: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部门整体支出绩效自评表</w:t>
      </w:r>
    </w:p>
    <w:p>
      <w:pPr>
        <w:widowControl/>
        <w:spacing w:line="600" w:lineRule="exact"/>
        <w:ind w:firstLine="1280" w:firstLineChars="400"/>
        <w:jc w:val="left"/>
        <w:rPr>
          <w:rFonts w:hint="eastAsia" w:ascii="仿宋" w:hAnsi="仿宋" w:eastAsia="仿宋" w:cs="仿宋"/>
          <w:sz w:val="32"/>
          <w:szCs w:val="32"/>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3.</w:t>
      </w:r>
      <w:r>
        <w:rPr>
          <w:rFonts w:hint="eastAsia" w:ascii="仿宋" w:hAnsi="仿宋" w:eastAsia="仿宋" w:cs="仿宋"/>
          <w:sz w:val="32"/>
          <w:szCs w:val="32"/>
        </w:rPr>
        <w:t>项目支出绩效自评表</w:t>
      </w:r>
    </w:p>
    <w:p/>
    <w:p>
      <w:pPr>
        <w:pStyle w:val="2"/>
        <w:jc w:val="right"/>
      </w:pPr>
    </w:p>
    <w:p>
      <w:pPr>
        <w:pStyle w:val="2"/>
        <w:jc w:val="right"/>
        <w:rPr>
          <w:rFonts w:hint="eastAsia"/>
          <w:lang w:eastAsia="zh-CN"/>
        </w:rPr>
      </w:pPr>
      <w:r>
        <w:rPr>
          <w:rFonts w:hint="eastAsia"/>
          <w:lang w:eastAsia="zh-CN"/>
        </w:rPr>
        <w:t>益阳市资阳区就业服务中心</w:t>
      </w:r>
    </w:p>
    <w:p>
      <w:pPr>
        <w:pStyle w:val="2"/>
        <w:jc w:val="center"/>
        <w:rPr>
          <w:rFonts w:hint="default"/>
          <w:lang w:val="en-US" w:eastAsia="zh-CN"/>
        </w:rPr>
      </w:pPr>
      <w:r>
        <w:rPr>
          <w:rFonts w:hint="eastAsia"/>
          <w:lang w:val="en-US" w:eastAsia="zh-CN"/>
        </w:rPr>
        <w:t xml:space="preserve">                    2024年5月22日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3D944E"/>
    <w:multiLevelType w:val="singleLevel"/>
    <w:tmpl w:val="D03D944E"/>
    <w:lvl w:ilvl="0" w:tentative="0">
      <w:start w:val="1"/>
      <w:numFmt w:val="chineseCounting"/>
      <w:suff w:val="nothing"/>
      <w:lvlText w:val="（%1）"/>
      <w:lvlJc w:val="left"/>
      <w:rPr>
        <w:rFonts w:hint="eastAsia"/>
      </w:rPr>
    </w:lvl>
  </w:abstractNum>
  <w:abstractNum w:abstractNumId="1">
    <w:nsid w:val="DE409E62"/>
    <w:multiLevelType w:val="singleLevel"/>
    <w:tmpl w:val="DE409E62"/>
    <w:lvl w:ilvl="0" w:tentative="0">
      <w:start w:val="6"/>
      <w:numFmt w:val="chineseCounting"/>
      <w:suff w:val="nothing"/>
      <w:lvlText w:val="%1、"/>
      <w:lvlJc w:val="left"/>
      <w:rPr>
        <w:rFonts w:hint="eastAsia"/>
      </w:rPr>
    </w:lvl>
  </w:abstractNum>
  <w:abstractNum w:abstractNumId="2">
    <w:nsid w:val="0DEA7D3C"/>
    <w:multiLevelType w:val="singleLevel"/>
    <w:tmpl w:val="0DEA7D3C"/>
    <w:lvl w:ilvl="0" w:tentative="0">
      <w:start w:val="1"/>
      <w:numFmt w:val="chineseCounting"/>
      <w:suff w:val="nothing"/>
      <w:lvlText w:val="%1、"/>
      <w:lvlJc w:val="left"/>
      <w:rPr>
        <w:rFonts w:hint="eastAsia"/>
      </w:rPr>
    </w:lvl>
  </w:abstractNum>
  <w:abstractNum w:abstractNumId="3">
    <w:nsid w:val="7BBA7AFB"/>
    <w:multiLevelType w:val="singleLevel"/>
    <w:tmpl w:val="7BBA7AFB"/>
    <w:lvl w:ilvl="0" w:tentative="0">
      <w:start w:val="1"/>
      <w:numFmt w:val="decimal"/>
      <w:suff w:val="nothing"/>
      <w:lvlText w:val="%1、"/>
      <w:lvlJc w:val="left"/>
      <w:pPr>
        <w:ind w:left="-20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zNjNmNWE4ZDY1ZWZhMjllMWY5OWIxMTIzYmZlMzAifQ=="/>
  </w:docVars>
  <w:rsids>
    <w:rsidRoot w:val="3FDA7FA1"/>
    <w:rsid w:val="00452CE4"/>
    <w:rsid w:val="23553FAB"/>
    <w:rsid w:val="34551853"/>
    <w:rsid w:val="3B796E8B"/>
    <w:rsid w:val="3FDA7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BodyText1I2"/>
    <w:basedOn w:val="3"/>
    <w:qFormat/>
    <w:uiPriority w:val="0"/>
    <w:pPr>
      <w:ind w:firstLine="420"/>
    </w:pPr>
  </w:style>
  <w:style w:type="paragraph" w:customStyle="1" w:styleId="3">
    <w:name w:val="BodyTextIndent"/>
    <w:basedOn w:val="1"/>
    <w:qFormat/>
    <w:uiPriority w:val="0"/>
    <w:pPr>
      <w:spacing w:after="120"/>
      <w:ind w:left="420" w:leftChars="200" w:firstLine="200" w:firstLineChars="200"/>
      <w:textAlignment w:val="baseline"/>
    </w:pPr>
  </w:style>
  <w:style w:type="paragraph" w:styleId="6">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2024-05-14T07:21:00Z</dcterms:created>
  <dc:creator>幼儿园库里</dc:creator>
  <cp:lastModifiedBy>Administrator</cp:lastModifiedBy>
  <dcterms:modified xsi:type="dcterms:W3CDTF">2024-05-22T01:29:34Z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404BA706B1054135B3A0F36D6FE51F2F_11</vt:lpwstr>
  </property>
</Properties>
</file>