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A37" w:rsidRPr="00246B10" w:rsidRDefault="00246B10">
      <w:pPr>
        <w:pStyle w:val="a8"/>
        <w:spacing w:before="0" w:after="0" w:line="520" w:lineRule="exact"/>
        <w:ind w:firstLineChars="200" w:firstLine="883"/>
        <w:rPr>
          <w:rFonts w:ascii="宋体" w:hAnsi="宋体" w:cs="宋体"/>
          <w:kern w:val="0"/>
          <w:sz w:val="44"/>
          <w:szCs w:val="44"/>
        </w:rPr>
      </w:pPr>
      <w:r w:rsidRPr="00246B10">
        <w:rPr>
          <w:rFonts w:ascii="宋体" w:hAnsi="宋体" w:cs="宋体" w:hint="eastAsia"/>
          <w:kern w:val="0"/>
          <w:sz w:val="44"/>
          <w:szCs w:val="44"/>
        </w:rPr>
        <w:t>湖南益阳长春经济开发区管理委员会2023年度预算绩效评价自评</w:t>
      </w:r>
    </w:p>
    <w:p w:rsidR="00351A37" w:rsidRDefault="00246B10">
      <w:pPr>
        <w:pStyle w:val="a8"/>
        <w:spacing w:before="0" w:after="0" w:line="520" w:lineRule="exact"/>
        <w:ind w:firstLineChars="200" w:firstLine="883"/>
        <w:rPr>
          <w:rFonts w:ascii="仿宋" w:eastAsia="仿宋" w:hAnsi="仿宋" w:cs="仿宋"/>
          <w:kern w:val="0"/>
          <w:sz w:val="30"/>
          <w:szCs w:val="30"/>
        </w:rPr>
      </w:pPr>
      <w:r w:rsidRPr="00246B10">
        <w:rPr>
          <w:rFonts w:ascii="宋体" w:hAnsi="宋体" w:cs="宋体" w:hint="eastAsia"/>
          <w:kern w:val="0"/>
          <w:sz w:val="44"/>
          <w:szCs w:val="44"/>
        </w:rPr>
        <w:t>工 作 报 告</w:t>
      </w:r>
    </w:p>
    <w:p w:rsidR="00351A37" w:rsidRDefault="00351A37">
      <w:pPr>
        <w:widowControl/>
        <w:shd w:val="clear" w:color="auto" w:fill="FFFFFF"/>
        <w:spacing w:line="520" w:lineRule="exact"/>
        <w:ind w:firstLineChars="200" w:firstLine="600"/>
        <w:jc w:val="left"/>
        <w:rPr>
          <w:rFonts w:ascii="仿宋" w:eastAsia="仿宋" w:hAnsi="仿宋" w:cs="仿宋"/>
          <w:kern w:val="0"/>
          <w:sz w:val="30"/>
          <w:szCs w:val="30"/>
        </w:rPr>
      </w:pPr>
    </w:p>
    <w:p w:rsidR="00351A37" w:rsidRDefault="00246B10">
      <w:pPr>
        <w:spacing w:line="520" w:lineRule="exact"/>
        <w:ind w:right="317" w:firstLineChars="200" w:firstLine="600"/>
        <w:rPr>
          <w:rFonts w:ascii="仿宋" w:eastAsia="仿宋" w:hAnsi="仿宋" w:cs="仿宋"/>
          <w:sz w:val="30"/>
          <w:szCs w:val="30"/>
        </w:rPr>
      </w:pPr>
      <w:r>
        <w:rPr>
          <w:rFonts w:ascii="仿宋" w:eastAsia="仿宋" w:hAnsi="仿宋" w:cs="仿宋" w:hint="eastAsia"/>
          <w:sz w:val="30"/>
          <w:szCs w:val="30"/>
        </w:rPr>
        <w:t>为加强财政资金管理，强化支出责任，提高财政资金的使用效益，建立科学、合理的财政支出绩效评价管理体系，根据益阳市资阳区财政局关于开展2023年部门绩效自评工作的要求，我单位遵循“科学规范、公开公正、分类管理、绩效相关”的原则，及时布置自评工作，明确分工，落实责任，运用科学、合理的绩效评价方法，对本单位2023年度预算绩效情况进行了客观、公正的评价。现就我单位2023年度整体支出绩效评价报告如下：</w:t>
      </w:r>
    </w:p>
    <w:p w:rsidR="00351A37" w:rsidRDefault="00246B10">
      <w:pPr>
        <w:widowControl/>
        <w:shd w:val="clear" w:color="auto" w:fill="FFFFFF"/>
        <w:spacing w:line="52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t>一.部门概况</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长春经开区党工委、管委会贯彻执行中央、省和市关于经开区的方针政策和决策部署，根据相关法律法规和市委、市政府及区委、区政府授权(委托)履行组织领导、发展规划、区域开发、产业发展、投资促进、协调服务等职能。在履行职责过程中坚持加强党的全面领导，认真落实国家、省关于促进开发区改革和创新发展的要求，切实优化营商环境，大力实施“三高四新"战略。</w:t>
      </w:r>
    </w:p>
    <w:p w:rsidR="00351A37" w:rsidRDefault="00246B10">
      <w:pPr>
        <w:widowControl/>
        <w:shd w:val="clear" w:color="auto" w:fill="FFFFFF"/>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（一）主要职责：</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1.负责贯彻执行党和国家关于经开区的方针政策、法律法规和决策部署。</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2.负责研究拟订和组织实施长春经开区重大发展战略发展规划和工作计划。</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3.按照资阳区国土空间总体规划和产业发展规划要求及相关权限，负责统筹建设发展空间布局。负责拟订长春经开区发展</w:t>
      </w:r>
      <w:r>
        <w:rPr>
          <w:rFonts w:ascii="仿宋" w:eastAsia="仿宋" w:hAnsi="仿宋" w:cs="仿宋" w:hint="eastAsia"/>
          <w:sz w:val="30"/>
          <w:szCs w:val="30"/>
        </w:rPr>
        <w:lastRenderedPageBreak/>
        <w:t>规划、产业布局、产业政策、项目准入标准等重要事项并组织实施。</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4.负责长春经开区开放型经济、招商引资和对外工作，组织对外经济技术合作与交流。负责长春经开区基础设施、公用事业、重大项目等建设管理相关工作。</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5.负责长春经开区优化营商环境工作，根据权限依法承担有关行政审批工作，履行行政审批服务职责。负责构建长春经开区创新创业服务体系，协助企业做好人才引进和服务工作。</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 xml:space="preserve"> 6.负责长春经开区的科技创新和高新技术产业管理服务，开展有关科技创新和高新技术产业政策研究，构建技术创新服务体系。指导区内企业建立现代化企业制度，推进高新技术产业化、国际化。</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 xml:space="preserve"> 7.负责长春经开区党的建设和“两新”组织党建工作。</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 xml:space="preserve"> 8.根据有关要求和职责分工，承担长春经开区综合管理、统计、信息、安全生产监督管理、生态环境保护、财政收支管理及国有资产管理等工作。</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9.承办市委、市政府和区委、区政府交办的其他事项。</w:t>
      </w:r>
    </w:p>
    <w:p w:rsidR="00351A37" w:rsidRDefault="00246B10">
      <w:pPr>
        <w:widowControl/>
        <w:shd w:val="clear" w:color="auto" w:fill="FFFFFF"/>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（二）机构情况</w:t>
      </w:r>
    </w:p>
    <w:p w:rsidR="00351A37" w:rsidRDefault="00246B10">
      <w:pPr>
        <w:widowControl/>
        <w:shd w:val="clear" w:color="auto" w:fill="FFFFFF"/>
        <w:spacing w:line="520" w:lineRule="exact"/>
        <w:ind w:firstLineChars="200" w:firstLine="600"/>
        <w:rPr>
          <w:rFonts w:ascii="仿宋" w:eastAsia="仿宋" w:hAnsi="仿宋" w:cs="仿宋"/>
          <w:spacing w:val="12"/>
          <w:sz w:val="30"/>
          <w:szCs w:val="30"/>
        </w:rPr>
      </w:pPr>
      <w:r>
        <w:rPr>
          <w:rFonts w:ascii="仿宋" w:eastAsia="仿宋" w:hAnsi="仿宋" w:cs="仿宋" w:hint="eastAsia"/>
          <w:sz w:val="30"/>
          <w:szCs w:val="30"/>
        </w:rPr>
        <w:t>长春经开区党工委、管委会下设内设机构5个，机构规格均为副科级。分别是办公室，产业发展局(安全生产监管局)，经济合作局，开发建设局，征地拆迁安置事务局。纪检监察机构按有关规定设置。比照内设机构1个为社会事务局，规格为副科级。下设2个事业单位，分别是益阳长春经济开发区党群和政务服务中心（加挂益阳长春经济开发区退役军人服务站），湖南益阳长春经济开发区建筑工程质量安全监督站（加挂益阳长春经济开发区征地拆迁事务中心）。</w:t>
      </w:r>
    </w:p>
    <w:p w:rsidR="00351A37" w:rsidRDefault="00246B10">
      <w:pPr>
        <w:widowControl/>
        <w:shd w:val="clear" w:color="auto" w:fill="FFFFFF"/>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lastRenderedPageBreak/>
        <w:t>（三）人员情况</w:t>
      </w:r>
    </w:p>
    <w:p w:rsidR="00351A37" w:rsidRDefault="00246B10">
      <w:pPr>
        <w:widowControl/>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长春开区党工委、管委会机关核定编制104名(行政编制12名，事业编制92名)。其中：副处级领导职数2名</w:t>
      </w:r>
      <w:r>
        <w:rPr>
          <w:rFonts w:ascii="仿宋" w:eastAsia="仿宋" w:hAnsi="仿宋" w:cs="仿宋" w:hint="eastAsia"/>
          <w:sz w:val="30"/>
          <w:szCs w:val="30"/>
        </w:rPr>
        <w:tab/>
        <w:t>(党工委书记1名，党工委副书记兼管委会主任1名);正科级领导职数5名(党工委副书记1名、纪工委书记兼监工委主任1名，管委会副主任3名);副科级领导职数7名(含纪工委副书记兼监工委副主任1名)。截止2023年底，实际在职人数100人。其中：行政编制12人，全额事业30人，差额事业编制28人，自收自支30。离退休人数11人。</w:t>
      </w:r>
    </w:p>
    <w:p w:rsidR="00351A37" w:rsidRDefault="00246B10">
      <w:pPr>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（四）2023年总体工作思路</w:t>
      </w:r>
    </w:p>
    <w:p w:rsidR="00351A37" w:rsidRDefault="00246B10">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园区始终以习近平新时代中国特色社会主义思想为指引，贯彻执行中央、省委、市委、区委决策部署，牢牢锚定实现“三高四新”美好蓝图，全力推进“五好”园区创建，坚定不移朝着打造中国PCB第三极接续奋斗，圆满完成各项既定目标任务。</w:t>
      </w:r>
    </w:p>
    <w:p w:rsidR="00351A37" w:rsidRDefault="00246B10">
      <w:pPr>
        <w:numPr>
          <w:ilvl w:val="0"/>
          <w:numId w:val="1"/>
        </w:numPr>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部门整体支出规模、使用方向、主要内容和涉及范围</w:t>
      </w:r>
    </w:p>
    <w:p w:rsidR="00351A37" w:rsidRDefault="00246B10">
      <w:pPr>
        <w:spacing w:line="520" w:lineRule="exact"/>
        <w:rPr>
          <w:rFonts w:ascii="仿宋" w:eastAsia="仿宋" w:hAnsi="仿宋" w:cs="仿宋"/>
          <w:sz w:val="30"/>
          <w:szCs w:val="30"/>
        </w:rPr>
      </w:pPr>
      <w:r>
        <w:rPr>
          <w:rFonts w:ascii="仿宋" w:eastAsia="仿宋" w:hAnsi="仿宋" w:cs="仿宋" w:hint="eastAsia"/>
          <w:b/>
          <w:bCs/>
          <w:sz w:val="30"/>
          <w:szCs w:val="30"/>
        </w:rPr>
        <w:t xml:space="preserve">   </w:t>
      </w:r>
      <w:r>
        <w:rPr>
          <w:rFonts w:ascii="仿宋" w:eastAsia="仿宋" w:hAnsi="仿宋" w:cs="仿宋" w:hint="eastAsia"/>
          <w:sz w:val="30"/>
          <w:szCs w:val="30"/>
        </w:rPr>
        <w:t xml:space="preserve"> 2023年度总支出</w:t>
      </w:r>
      <w:r w:rsidR="001609E0">
        <w:rPr>
          <w:rFonts w:ascii="仿宋" w:eastAsia="仿宋" w:hAnsi="仿宋" w:cs="仿宋" w:hint="eastAsia"/>
          <w:sz w:val="30"/>
          <w:szCs w:val="30"/>
        </w:rPr>
        <w:t>3073.92</w:t>
      </w:r>
      <w:r>
        <w:rPr>
          <w:rFonts w:ascii="仿宋" w:eastAsia="仿宋" w:hAnsi="仿宋" w:cs="仿宋" w:hint="eastAsia"/>
          <w:sz w:val="30"/>
          <w:szCs w:val="30"/>
        </w:rPr>
        <w:t>万元，其中一般公共服务支出932.14万元，公共安全支出3万元，科学技术支出867万元，文化旅游体育支出101.67万元，社会保障和就业支出343.46万元，卫生健康支出91.98万元，节能环保支出5万元，城乡社区支出409.12万元，农林水支出230万元，资源勘探工业支出40万元，住房保障支出47.55万元，其他支出</w:t>
      </w:r>
      <w:r w:rsidR="001609E0">
        <w:rPr>
          <w:rFonts w:ascii="仿宋" w:eastAsia="仿宋" w:hAnsi="仿宋" w:cs="仿宋"/>
          <w:sz w:val="30"/>
          <w:szCs w:val="30"/>
        </w:rPr>
        <w:t>3</w:t>
      </w:r>
      <w:r>
        <w:rPr>
          <w:rFonts w:ascii="仿宋" w:eastAsia="仿宋" w:hAnsi="仿宋" w:cs="仿宋" w:hint="eastAsia"/>
          <w:sz w:val="30"/>
          <w:szCs w:val="30"/>
        </w:rPr>
        <w:t>万元。主要用于人员经费支出，公用经费支出，园区各项</w:t>
      </w:r>
      <w:r w:rsidR="00C60C7D">
        <w:rPr>
          <w:rFonts w:ascii="仿宋" w:eastAsia="仿宋" w:hAnsi="仿宋" w:cs="仿宋" w:hint="eastAsia"/>
          <w:sz w:val="30"/>
          <w:szCs w:val="30"/>
        </w:rPr>
        <w:t>目支出。涉及村管费、社区经费、产业园区建设、公用设施建设等方面。</w:t>
      </w:r>
      <w:r w:rsidR="001609E0">
        <w:rPr>
          <w:rFonts w:ascii="仿宋" w:eastAsia="仿宋" w:hAnsi="仿宋" w:cs="仿宋" w:hint="eastAsia"/>
          <w:sz w:val="30"/>
          <w:szCs w:val="30"/>
        </w:rPr>
        <w:t>（不</w:t>
      </w:r>
      <w:r w:rsidR="001609E0">
        <w:rPr>
          <w:rFonts w:ascii="仿宋" w:eastAsia="仿宋" w:hAnsi="仿宋" w:cs="仿宋"/>
          <w:sz w:val="30"/>
          <w:szCs w:val="30"/>
        </w:rPr>
        <w:t>包</w:t>
      </w:r>
      <w:r w:rsidR="001609E0">
        <w:rPr>
          <w:rFonts w:ascii="仿宋" w:eastAsia="仿宋" w:hAnsi="仿宋" w:cs="仿宋" w:hint="eastAsia"/>
          <w:sz w:val="30"/>
          <w:szCs w:val="30"/>
        </w:rPr>
        <w:t>含55000万</w:t>
      </w:r>
      <w:r w:rsidR="001609E0">
        <w:rPr>
          <w:rFonts w:ascii="仿宋" w:eastAsia="仿宋" w:hAnsi="仿宋" w:cs="仿宋"/>
          <w:sz w:val="30"/>
          <w:szCs w:val="30"/>
        </w:rPr>
        <w:t>元债券支出，</w:t>
      </w:r>
      <w:r w:rsidR="001609E0">
        <w:rPr>
          <w:rFonts w:ascii="仿宋" w:eastAsia="仿宋" w:hAnsi="仿宋" w:cs="仿宋" w:hint="eastAsia"/>
          <w:sz w:val="30"/>
          <w:szCs w:val="30"/>
        </w:rPr>
        <w:t>4316.24万</w:t>
      </w:r>
      <w:r w:rsidR="001609E0">
        <w:rPr>
          <w:rFonts w:ascii="仿宋" w:eastAsia="仿宋" w:hAnsi="仿宋" w:cs="仿宋"/>
          <w:sz w:val="30"/>
          <w:szCs w:val="30"/>
        </w:rPr>
        <w:t>元其他</w:t>
      </w:r>
      <w:r w:rsidR="001609E0">
        <w:rPr>
          <w:rFonts w:ascii="仿宋" w:eastAsia="仿宋" w:hAnsi="仿宋" w:cs="仿宋" w:hint="eastAsia"/>
          <w:sz w:val="30"/>
          <w:szCs w:val="30"/>
        </w:rPr>
        <w:t>支</w:t>
      </w:r>
      <w:r w:rsidR="001609E0">
        <w:rPr>
          <w:rFonts w:ascii="仿宋" w:eastAsia="仿宋" w:hAnsi="仿宋" w:cs="仿宋"/>
          <w:sz w:val="30"/>
          <w:szCs w:val="30"/>
        </w:rPr>
        <w:t>出</w:t>
      </w:r>
      <w:r w:rsidR="001609E0">
        <w:rPr>
          <w:rFonts w:ascii="仿宋" w:eastAsia="仿宋" w:hAnsi="仿宋" w:cs="仿宋" w:hint="eastAsia"/>
          <w:sz w:val="30"/>
          <w:szCs w:val="30"/>
        </w:rPr>
        <w:t>)</w:t>
      </w:r>
      <w:bookmarkStart w:id="0" w:name="_GoBack"/>
      <w:bookmarkEnd w:id="0"/>
    </w:p>
    <w:p w:rsidR="00351A37" w:rsidRDefault="00246B10">
      <w:pPr>
        <w:spacing w:line="520" w:lineRule="exact"/>
        <w:ind w:left="630"/>
        <w:rPr>
          <w:rFonts w:ascii="仿宋" w:eastAsia="仿宋" w:hAnsi="仿宋" w:cs="仿宋"/>
          <w:b/>
          <w:bCs/>
          <w:sz w:val="30"/>
          <w:szCs w:val="30"/>
        </w:rPr>
      </w:pPr>
      <w:r>
        <w:rPr>
          <w:rFonts w:ascii="仿宋" w:eastAsia="仿宋" w:hAnsi="仿宋" w:cs="仿宋" w:hint="eastAsia"/>
          <w:b/>
          <w:bCs/>
          <w:sz w:val="30"/>
          <w:szCs w:val="30"/>
        </w:rPr>
        <w:t>二、一般公共预算支出情况</w:t>
      </w:r>
    </w:p>
    <w:p w:rsidR="00351A37" w:rsidRDefault="00246B10">
      <w:pPr>
        <w:spacing w:line="520" w:lineRule="exact"/>
        <w:ind w:leftChars="200" w:left="420"/>
        <w:rPr>
          <w:rFonts w:ascii="仿宋" w:eastAsia="仿宋" w:hAnsi="仿宋" w:cs="仿宋"/>
          <w:b/>
          <w:bCs/>
          <w:sz w:val="30"/>
          <w:szCs w:val="30"/>
        </w:rPr>
      </w:pPr>
      <w:r>
        <w:rPr>
          <w:rFonts w:ascii="仿宋" w:eastAsia="仿宋" w:hAnsi="仿宋" w:cs="仿宋" w:hint="eastAsia"/>
          <w:b/>
          <w:bCs/>
          <w:sz w:val="30"/>
          <w:szCs w:val="30"/>
        </w:rPr>
        <w:t>（一）基本支出情况</w:t>
      </w:r>
    </w:p>
    <w:p w:rsidR="00351A37" w:rsidRDefault="00246B10">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一般公共预算财政拨款基本支出1037.11万元。其中人员经费支出759.82万元，主要包括：工资福利支出758.17万元，其他对个人和家庭的补助支出1.65万元，主要用于单位人员基本工资、津贴补贴、绩效工资、奖金、机关事业单位养老保险金缴费、职业年金缴费、医疗保险缴费、其他社会保障缴费、其他工资福利支出、住房公积金、其他对个人和家庭的补助支出等；日常公用经费支出277.29万元，主要用于单位办公费、印刷费、水电费、邮电费、委托业务费、劳务费、其他交通费等。</w:t>
      </w:r>
    </w:p>
    <w:p w:rsidR="00351A37" w:rsidRDefault="00246B10">
      <w:pPr>
        <w:spacing w:line="520" w:lineRule="exact"/>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 xml:space="preserve">（二）项目支出情况 </w:t>
      </w:r>
    </w:p>
    <w:p w:rsidR="00051CA7" w:rsidRDefault="00246B10">
      <w:pPr>
        <w:spacing w:line="52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一般公共预算财政拨款项目支出2021.81万元。其中，其他商贸事务支出442.1万元，其他知识产权事务支出16万元，其他群众团体事务支出1.08万元，组织事务一般行政管理事务4万元，其他宣传事务支出0.86万元，其他组织事务支出0.03万元，其他统战事务支出0.05万元，其他公安支出3万元，其他科学技术支出867万元，其他文化和旅游支出19万元，其他文化旅游体育与传媒支出82.67万元，其他支出3万元，其他就业补助支出45.05万元，重大公共卫生服务49.81万元，其他卫生健康支出1.58万元，其他自然生态保护支出5万元，其他农业农村支出5.76万元，其他制造业支出40万元，对村民委员会和村党支部的补助67.5万元，农村综合改革示范试点补助142.95万元，基层政权建设和社区治理223.38万元，财政事务一般行政管理事务2万元。</w:t>
      </w:r>
    </w:p>
    <w:p w:rsidR="00351A37" w:rsidRDefault="00051CA7">
      <w:pPr>
        <w:spacing w:line="52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2023年</w:t>
      </w:r>
      <w:r>
        <w:rPr>
          <w:rFonts w:ascii="仿宋" w:eastAsia="仿宋" w:hAnsi="仿宋" w:cs="仿宋"/>
          <w:sz w:val="30"/>
          <w:szCs w:val="30"/>
        </w:rPr>
        <w:t>度</w:t>
      </w:r>
      <w:r w:rsidR="00F97688">
        <w:rPr>
          <w:rFonts w:ascii="仿宋" w:eastAsia="仿宋" w:hAnsi="仿宋" w:cs="仿宋" w:hint="eastAsia"/>
          <w:sz w:val="30"/>
          <w:szCs w:val="30"/>
        </w:rPr>
        <w:t>年</w:t>
      </w:r>
      <w:r w:rsidR="00F97688">
        <w:rPr>
          <w:rFonts w:ascii="仿宋" w:eastAsia="仿宋" w:hAnsi="仿宋" w:cs="仿宋"/>
          <w:sz w:val="30"/>
          <w:szCs w:val="30"/>
        </w:rPr>
        <w:t>初</w:t>
      </w:r>
      <w:r>
        <w:rPr>
          <w:rFonts w:ascii="仿宋" w:eastAsia="仿宋" w:hAnsi="仿宋" w:cs="仿宋"/>
          <w:sz w:val="30"/>
          <w:szCs w:val="30"/>
        </w:rPr>
        <w:t>区</w:t>
      </w:r>
      <w:r>
        <w:rPr>
          <w:rFonts w:ascii="仿宋" w:eastAsia="仿宋" w:hAnsi="仿宋" w:cs="仿宋" w:hint="eastAsia"/>
          <w:sz w:val="30"/>
          <w:szCs w:val="30"/>
        </w:rPr>
        <w:t>级</w:t>
      </w:r>
      <w:r w:rsidR="00F97688">
        <w:rPr>
          <w:rFonts w:ascii="仿宋" w:eastAsia="仿宋" w:hAnsi="仿宋" w:cs="仿宋" w:hint="eastAsia"/>
          <w:sz w:val="30"/>
          <w:szCs w:val="30"/>
        </w:rPr>
        <w:t>安排</w:t>
      </w:r>
      <w:r>
        <w:rPr>
          <w:rFonts w:ascii="仿宋" w:eastAsia="仿宋" w:hAnsi="仿宋" w:cs="仿宋"/>
          <w:sz w:val="30"/>
          <w:szCs w:val="30"/>
        </w:rPr>
        <w:t>专项</w:t>
      </w:r>
      <w:r w:rsidR="00F97688">
        <w:rPr>
          <w:rFonts w:ascii="仿宋" w:eastAsia="仿宋" w:hAnsi="仿宋" w:cs="仿宋" w:hint="eastAsia"/>
          <w:sz w:val="30"/>
          <w:szCs w:val="30"/>
        </w:rPr>
        <w:t>资金</w:t>
      </w:r>
      <w:r>
        <w:rPr>
          <w:rFonts w:ascii="仿宋" w:eastAsia="仿宋" w:hAnsi="仿宋" w:cs="仿宋" w:hint="eastAsia"/>
          <w:sz w:val="30"/>
          <w:szCs w:val="30"/>
        </w:rPr>
        <w:t>271.39万</w:t>
      </w:r>
      <w:r>
        <w:rPr>
          <w:rFonts w:ascii="仿宋" w:eastAsia="仿宋" w:hAnsi="仿宋" w:cs="仿宋"/>
          <w:sz w:val="30"/>
          <w:szCs w:val="30"/>
        </w:rPr>
        <w:t>元，其中：</w:t>
      </w:r>
      <w:r>
        <w:rPr>
          <w:rFonts w:ascii="仿宋" w:eastAsia="仿宋" w:hAnsi="仿宋" w:cs="仿宋" w:hint="eastAsia"/>
          <w:sz w:val="30"/>
          <w:szCs w:val="30"/>
        </w:rPr>
        <w:t>乡</w:t>
      </w:r>
      <w:r>
        <w:rPr>
          <w:rFonts w:ascii="仿宋" w:eastAsia="仿宋" w:hAnsi="仿宋" w:cs="仿宋"/>
          <w:sz w:val="30"/>
          <w:szCs w:val="30"/>
        </w:rPr>
        <w:t>镇人大</w:t>
      </w:r>
      <w:r>
        <w:rPr>
          <w:rFonts w:ascii="仿宋" w:eastAsia="仿宋" w:hAnsi="仿宋" w:cs="仿宋" w:hint="eastAsia"/>
          <w:sz w:val="30"/>
          <w:szCs w:val="30"/>
        </w:rPr>
        <w:t>经</w:t>
      </w:r>
      <w:r>
        <w:rPr>
          <w:rFonts w:ascii="仿宋" w:eastAsia="仿宋" w:hAnsi="仿宋" w:cs="仿宋"/>
          <w:sz w:val="30"/>
          <w:szCs w:val="30"/>
        </w:rPr>
        <w:t>费</w:t>
      </w:r>
      <w:r>
        <w:rPr>
          <w:rFonts w:ascii="仿宋" w:eastAsia="仿宋" w:hAnsi="仿宋" w:cs="仿宋" w:hint="eastAsia"/>
          <w:sz w:val="30"/>
          <w:szCs w:val="30"/>
        </w:rPr>
        <w:t>2万</w:t>
      </w:r>
      <w:r>
        <w:rPr>
          <w:rFonts w:ascii="仿宋" w:eastAsia="仿宋" w:hAnsi="仿宋" w:cs="仿宋"/>
          <w:sz w:val="30"/>
          <w:szCs w:val="30"/>
        </w:rPr>
        <w:t>元，乡镇政</w:t>
      </w:r>
      <w:r>
        <w:rPr>
          <w:rFonts w:ascii="仿宋" w:eastAsia="仿宋" w:hAnsi="仿宋" w:cs="仿宋" w:hint="eastAsia"/>
          <w:sz w:val="30"/>
          <w:szCs w:val="30"/>
        </w:rPr>
        <w:t>协经</w:t>
      </w:r>
      <w:r>
        <w:rPr>
          <w:rFonts w:ascii="仿宋" w:eastAsia="仿宋" w:hAnsi="仿宋" w:cs="仿宋"/>
          <w:sz w:val="30"/>
          <w:szCs w:val="30"/>
        </w:rPr>
        <w:t>费</w:t>
      </w:r>
      <w:r>
        <w:rPr>
          <w:rFonts w:ascii="仿宋" w:eastAsia="仿宋" w:hAnsi="仿宋" w:cs="仿宋" w:hint="eastAsia"/>
          <w:sz w:val="30"/>
          <w:szCs w:val="30"/>
        </w:rPr>
        <w:t>1.2万</w:t>
      </w:r>
      <w:r>
        <w:rPr>
          <w:rFonts w:ascii="仿宋" w:eastAsia="仿宋" w:hAnsi="仿宋" w:cs="仿宋"/>
          <w:sz w:val="30"/>
          <w:szCs w:val="30"/>
        </w:rPr>
        <w:t>元，乡镇团委经费</w:t>
      </w:r>
      <w:r>
        <w:rPr>
          <w:rFonts w:ascii="仿宋" w:eastAsia="仿宋" w:hAnsi="仿宋" w:cs="仿宋" w:hint="eastAsia"/>
          <w:sz w:val="30"/>
          <w:szCs w:val="30"/>
        </w:rPr>
        <w:t>2万</w:t>
      </w:r>
      <w:r>
        <w:rPr>
          <w:rFonts w:ascii="仿宋" w:eastAsia="仿宋" w:hAnsi="仿宋" w:cs="仿宋"/>
          <w:sz w:val="30"/>
          <w:szCs w:val="30"/>
        </w:rPr>
        <w:t>元，远程</w:t>
      </w:r>
      <w:r>
        <w:rPr>
          <w:rFonts w:ascii="仿宋" w:eastAsia="仿宋" w:hAnsi="仿宋" w:cs="仿宋" w:hint="eastAsia"/>
          <w:sz w:val="30"/>
          <w:szCs w:val="30"/>
        </w:rPr>
        <w:t>站</w:t>
      </w:r>
      <w:r>
        <w:rPr>
          <w:rFonts w:ascii="仿宋" w:eastAsia="仿宋" w:hAnsi="仿宋" w:cs="仿宋"/>
          <w:sz w:val="30"/>
          <w:szCs w:val="30"/>
        </w:rPr>
        <w:t>点维护</w:t>
      </w:r>
      <w:r>
        <w:rPr>
          <w:rFonts w:ascii="仿宋" w:eastAsia="仿宋" w:hAnsi="仿宋" w:cs="仿宋" w:hint="eastAsia"/>
          <w:sz w:val="30"/>
          <w:szCs w:val="30"/>
        </w:rPr>
        <w:t>0.8万</w:t>
      </w:r>
      <w:r>
        <w:rPr>
          <w:rFonts w:ascii="仿宋" w:eastAsia="仿宋" w:hAnsi="仿宋" w:cs="仿宋"/>
          <w:sz w:val="30"/>
          <w:szCs w:val="30"/>
        </w:rPr>
        <w:t>元，党报党刊订</w:t>
      </w:r>
      <w:r>
        <w:rPr>
          <w:rFonts w:ascii="仿宋" w:eastAsia="仿宋" w:hAnsi="仿宋" w:cs="仿宋" w:hint="eastAsia"/>
          <w:sz w:val="30"/>
          <w:szCs w:val="30"/>
        </w:rPr>
        <w:t>阅1万</w:t>
      </w:r>
      <w:r>
        <w:rPr>
          <w:rFonts w:ascii="仿宋" w:eastAsia="仿宋" w:hAnsi="仿宋" w:cs="仿宋"/>
          <w:sz w:val="30"/>
          <w:szCs w:val="30"/>
        </w:rPr>
        <w:t>元，文化站免费开放</w:t>
      </w:r>
      <w:r>
        <w:rPr>
          <w:rFonts w:ascii="仿宋" w:eastAsia="仿宋" w:hAnsi="仿宋" w:cs="仿宋" w:hint="eastAsia"/>
          <w:sz w:val="30"/>
          <w:szCs w:val="30"/>
        </w:rPr>
        <w:t>1万</w:t>
      </w:r>
      <w:r>
        <w:rPr>
          <w:rFonts w:ascii="仿宋" w:eastAsia="仿宋" w:hAnsi="仿宋" w:cs="仿宋"/>
          <w:sz w:val="30"/>
          <w:szCs w:val="30"/>
        </w:rPr>
        <w:t>元，城管中队</w:t>
      </w:r>
      <w:r>
        <w:rPr>
          <w:rFonts w:ascii="仿宋" w:eastAsia="仿宋" w:hAnsi="仿宋" w:cs="仿宋" w:hint="eastAsia"/>
          <w:sz w:val="30"/>
          <w:szCs w:val="30"/>
        </w:rPr>
        <w:t>4万</w:t>
      </w:r>
      <w:r>
        <w:rPr>
          <w:rFonts w:ascii="仿宋" w:eastAsia="仿宋" w:hAnsi="仿宋" w:cs="仿宋"/>
          <w:sz w:val="30"/>
          <w:szCs w:val="30"/>
        </w:rPr>
        <w:t>元，省级社区经费</w:t>
      </w:r>
      <w:r>
        <w:rPr>
          <w:rFonts w:ascii="仿宋" w:eastAsia="仿宋" w:hAnsi="仿宋" w:cs="仿宋" w:hint="eastAsia"/>
          <w:sz w:val="30"/>
          <w:szCs w:val="30"/>
        </w:rPr>
        <w:t>6万</w:t>
      </w:r>
      <w:r>
        <w:rPr>
          <w:rFonts w:ascii="仿宋" w:eastAsia="仿宋" w:hAnsi="仿宋" w:cs="仿宋"/>
          <w:sz w:val="30"/>
          <w:szCs w:val="30"/>
        </w:rPr>
        <w:t>元，社区经费</w:t>
      </w:r>
      <w:r>
        <w:rPr>
          <w:rFonts w:ascii="仿宋" w:eastAsia="仿宋" w:hAnsi="仿宋" w:cs="仿宋" w:hint="eastAsia"/>
          <w:sz w:val="30"/>
          <w:szCs w:val="30"/>
        </w:rPr>
        <w:t>85.8</w:t>
      </w:r>
      <w:r>
        <w:rPr>
          <w:rFonts w:ascii="仿宋" w:eastAsia="仿宋" w:hAnsi="仿宋" w:cs="仿宋" w:hint="eastAsia"/>
          <w:sz w:val="30"/>
          <w:szCs w:val="30"/>
        </w:rPr>
        <w:lastRenderedPageBreak/>
        <w:t>万</w:t>
      </w:r>
      <w:r>
        <w:rPr>
          <w:rFonts w:ascii="仿宋" w:eastAsia="仿宋" w:hAnsi="仿宋" w:cs="仿宋"/>
          <w:sz w:val="30"/>
          <w:szCs w:val="30"/>
        </w:rPr>
        <w:t>元，社区惠民</w:t>
      </w:r>
      <w:r>
        <w:rPr>
          <w:rFonts w:ascii="仿宋" w:eastAsia="仿宋" w:hAnsi="仿宋" w:cs="仿宋" w:hint="eastAsia"/>
          <w:sz w:val="30"/>
          <w:szCs w:val="30"/>
        </w:rPr>
        <w:t>59.4万元</w:t>
      </w:r>
      <w:r>
        <w:rPr>
          <w:rFonts w:ascii="仿宋" w:eastAsia="仿宋" w:hAnsi="仿宋" w:cs="仿宋"/>
          <w:sz w:val="30"/>
          <w:szCs w:val="30"/>
        </w:rPr>
        <w:t>，街道综合治理经费</w:t>
      </w:r>
      <w:r>
        <w:rPr>
          <w:rFonts w:ascii="仿宋" w:eastAsia="仿宋" w:hAnsi="仿宋" w:cs="仿宋" w:hint="eastAsia"/>
          <w:sz w:val="30"/>
          <w:szCs w:val="30"/>
        </w:rPr>
        <w:t>5.89万</w:t>
      </w:r>
      <w:r>
        <w:rPr>
          <w:rFonts w:ascii="仿宋" w:eastAsia="仿宋" w:hAnsi="仿宋" w:cs="仿宋"/>
          <w:sz w:val="30"/>
          <w:szCs w:val="30"/>
        </w:rPr>
        <w:t>元，村级组织</w:t>
      </w:r>
      <w:r>
        <w:rPr>
          <w:rFonts w:ascii="仿宋" w:eastAsia="仿宋" w:hAnsi="仿宋" w:cs="仿宋" w:hint="eastAsia"/>
          <w:sz w:val="30"/>
          <w:szCs w:val="30"/>
        </w:rPr>
        <w:t>服务</w:t>
      </w:r>
      <w:r>
        <w:rPr>
          <w:rFonts w:ascii="仿宋" w:eastAsia="仿宋" w:hAnsi="仿宋" w:cs="仿宋"/>
          <w:sz w:val="30"/>
          <w:szCs w:val="30"/>
        </w:rPr>
        <w:t>群众</w:t>
      </w:r>
      <w:r>
        <w:rPr>
          <w:rFonts w:ascii="仿宋" w:eastAsia="仿宋" w:hAnsi="仿宋" w:cs="仿宋" w:hint="eastAsia"/>
          <w:sz w:val="30"/>
          <w:szCs w:val="30"/>
        </w:rPr>
        <w:t>专</w:t>
      </w:r>
      <w:r>
        <w:rPr>
          <w:rFonts w:ascii="仿宋" w:eastAsia="仿宋" w:hAnsi="仿宋" w:cs="仿宋"/>
          <w:sz w:val="30"/>
          <w:szCs w:val="30"/>
        </w:rPr>
        <w:t>项</w:t>
      </w:r>
      <w:r>
        <w:rPr>
          <w:rFonts w:ascii="仿宋" w:eastAsia="仿宋" w:hAnsi="仿宋" w:cs="仿宋" w:hint="eastAsia"/>
          <w:sz w:val="30"/>
          <w:szCs w:val="30"/>
        </w:rPr>
        <w:t>4万</w:t>
      </w:r>
      <w:r>
        <w:rPr>
          <w:rFonts w:ascii="仿宋" w:eastAsia="仿宋" w:hAnsi="仿宋" w:cs="仿宋"/>
          <w:sz w:val="30"/>
          <w:szCs w:val="30"/>
        </w:rPr>
        <w:t>元</w:t>
      </w:r>
      <w:r>
        <w:rPr>
          <w:rFonts w:ascii="仿宋" w:eastAsia="仿宋" w:hAnsi="仿宋" w:cs="仿宋" w:hint="eastAsia"/>
          <w:sz w:val="30"/>
          <w:szCs w:val="30"/>
        </w:rPr>
        <w:t>（含</w:t>
      </w:r>
      <w:r>
        <w:rPr>
          <w:rFonts w:ascii="仿宋" w:eastAsia="仿宋" w:hAnsi="仿宋" w:cs="仿宋"/>
          <w:sz w:val="30"/>
          <w:szCs w:val="30"/>
        </w:rPr>
        <w:t>白</w:t>
      </w:r>
      <w:r>
        <w:rPr>
          <w:rFonts w:ascii="仿宋" w:eastAsia="仿宋" w:hAnsi="仿宋" w:cs="仿宋" w:hint="eastAsia"/>
          <w:sz w:val="30"/>
          <w:szCs w:val="30"/>
        </w:rPr>
        <w:t>鹿铺</w:t>
      </w:r>
      <w:r>
        <w:rPr>
          <w:rFonts w:ascii="仿宋" w:eastAsia="仿宋" w:hAnsi="仿宋" w:cs="仿宋"/>
          <w:sz w:val="30"/>
          <w:szCs w:val="30"/>
        </w:rPr>
        <w:t>村</w:t>
      </w:r>
      <w:r>
        <w:rPr>
          <w:rFonts w:ascii="仿宋" w:eastAsia="仿宋" w:hAnsi="仿宋" w:cs="仿宋" w:hint="eastAsia"/>
          <w:sz w:val="30"/>
          <w:szCs w:val="30"/>
        </w:rPr>
        <w:t>1万</w:t>
      </w:r>
      <w:r>
        <w:rPr>
          <w:rFonts w:ascii="仿宋" w:eastAsia="仿宋" w:hAnsi="仿宋" w:cs="仿宋"/>
          <w:sz w:val="30"/>
          <w:szCs w:val="30"/>
        </w:rPr>
        <w:t>元</w:t>
      </w:r>
      <w:r>
        <w:rPr>
          <w:rFonts w:ascii="仿宋" w:eastAsia="仿宋" w:hAnsi="仿宋" w:cs="仿宋" w:hint="eastAsia"/>
          <w:sz w:val="30"/>
          <w:szCs w:val="30"/>
        </w:rPr>
        <w:t>）</w:t>
      </w:r>
      <w:r>
        <w:rPr>
          <w:rFonts w:ascii="仿宋" w:eastAsia="仿宋" w:hAnsi="仿宋" w:cs="仿宋"/>
          <w:sz w:val="30"/>
          <w:szCs w:val="30"/>
        </w:rPr>
        <w:t>，村管费</w:t>
      </w:r>
      <w:r>
        <w:rPr>
          <w:rFonts w:ascii="仿宋" w:eastAsia="仿宋" w:hAnsi="仿宋" w:cs="仿宋" w:hint="eastAsia"/>
          <w:sz w:val="30"/>
          <w:szCs w:val="30"/>
        </w:rPr>
        <w:t>92.3万</w:t>
      </w:r>
      <w:r>
        <w:rPr>
          <w:rFonts w:ascii="仿宋" w:eastAsia="仿宋" w:hAnsi="仿宋" w:cs="仿宋"/>
          <w:sz w:val="30"/>
          <w:szCs w:val="30"/>
        </w:rPr>
        <w:t>元（</w:t>
      </w:r>
      <w:r>
        <w:rPr>
          <w:rFonts w:ascii="仿宋" w:eastAsia="仿宋" w:hAnsi="仿宋" w:cs="仿宋" w:hint="eastAsia"/>
          <w:sz w:val="30"/>
          <w:szCs w:val="30"/>
        </w:rPr>
        <w:t>含</w:t>
      </w:r>
      <w:r>
        <w:rPr>
          <w:rFonts w:ascii="仿宋" w:eastAsia="仿宋" w:hAnsi="仿宋" w:cs="仿宋"/>
          <w:sz w:val="30"/>
          <w:szCs w:val="30"/>
        </w:rPr>
        <w:t>白</w:t>
      </w:r>
      <w:r>
        <w:rPr>
          <w:rFonts w:ascii="仿宋" w:eastAsia="仿宋" w:hAnsi="仿宋" w:cs="仿宋" w:hint="eastAsia"/>
          <w:sz w:val="30"/>
          <w:szCs w:val="30"/>
        </w:rPr>
        <w:t>鹿铺</w:t>
      </w:r>
      <w:r>
        <w:rPr>
          <w:rFonts w:ascii="仿宋" w:eastAsia="仿宋" w:hAnsi="仿宋" w:cs="仿宋"/>
          <w:sz w:val="30"/>
          <w:szCs w:val="30"/>
        </w:rPr>
        <w:t>村</w:t>
      </w:r>
      <w:r>
        <w:rPr>
          <w:rFonts w:ascii="仿宋" w:eastAsia="仿宋" w:hAnsi="仿宋" w:cs="仿宋" w:hint="eastAsia"/>
          <w:sz w:val="30"/>
          <w:szCs w:val="30"/>
        </w:rPr>
        <w:t>24.8万</w:t>
      </w:r>
      <w:r>
        <w:rPr>
          <w:rFonts w:ascii="仿宋" w:eastAsia="仿宋" w:hAnsi="仿宋" w:cs="仿宋"/>
          <w:sz w:val="30"/>
          <w:szCs w:val="30"/>
        </w:rPr>
        <w:t>元）</w:t>
      </w:r>
      <w:r>
        <w:rPr>
          <w:rFonts w:ascii="仿宋" w:eastAsia="仿宋" w:hAnsi="仿宋" w:cs="仿宋" w:hint="eastAsia"/>
          <w:sz w:val="30"/>
          <w:szCs w:val="30"/>
        </w:rPr>
        <w:t>，</w:t>
      </w:r>
      <w:r>
        <w:rPr>
          <w:rFonts w:ascii="仿宋" w:eastAsia="仿宋" w:hAnsi="仿宋" w:cs="仿宋"/>
          <w:sz w:val="30"/>
          <w:szCs w:val="30"/>
        </w:rPr>
        <w:t>四位一体工作经费</w:t>
      </w:r>
      <w:r>
        <w:rPr>
          <w:rFonts w:ascii="仿宋" w:eastAsia="仿宋" w:hAnsi="仿宋" w:cs="仿宋" w:hint="eastAsia"/>
          <w:sz w:val="30"/>
          <w:szCs w:val="30"/>
        </w:rPr>
        <w:t>2万</w:t>
      </w:r>
      <w:r>
        <w:rPr>
          <w:rFonts w:ascii="仿宋" w:eastAsia="仿宋" w:hAnsi="仿宋" w:cs="仿宋"/>
          <w:sz w:val="30"/>
          <w:szCs w:val="30"/>
        </w:rPr>
        <w:t>元（</w:t>
      </w:r>
      <w:r>
        <w:rPr>
          <w:rFonts w:ascii="仿宋" w:eastAsia="仿宋" w:hAnsi="仿宋" w:cs="仿宋" w:hint="eastAsia"/>
          <w:sz w:val="30"/>
          <w:szCs w:val="30"/>
        </w:rPr>
        <w:t>含</w:t>
      </w:r>
      <w:r>
        <w:rPr>
          <w:rFonts w:ascii="仿宋" w:eastAsia="仿宋" w:hAnsi="仿宋" w:cs="仿宋"/>
          <w:sz w:val="30"/>
          <w:szCs w:val="30"/>
        </w:rPr>
        <w:t>白</w:t>
      </w:r>
      <w:r>
        <w:rPr>
          <w:rFonts w:ascii="仿宋" w:eastAsia="仿宋" w:hAnsi="仿宋" w:cs="仿宋" w:hint="eastAsia"/>
          <w:sz w:val="30"/>
          <w:szCs w:val="30"/>
        </w:rPr>
        <w:t>鹿铺</w:t>
      </w:r>
      <w:r>
        <w:rPr>
          <w:rFonts w:ascii="仿宋" w:eastAsia="仿宋" w:hAnsi="仿宋" w:cs="仿宋"/>
          <w:sz w:val="30"/>
          <w:szCs w:val="30"/>
        </w:rPr>
        <w:t>村0.5</w:t>
      </w:r>
      <w:r>
        <w:rPr>
          <w:rFonts w:ascii="仿宋" w:eastAsia="仿宋" w:hAnsi="仿宋" w:cs="仿宋" w:hint="eastAsia"/>
          <w:sz w:val="30"/>
          <w:szCs w:val="30"/>
        </w:rPr>
        <w:t>万</w:t>
      </w:r>
      <w:r>
        <w:rPr>
          <w:rFonts w:ascii="仿宋" w:eastAsia="仿宋" w:hAnsi="仿宋" w:cs="仿宋"/>
          <w:sz w:val="30"/>
          <w:szCs w:val="30"/>
        </w:rPr>
        <w:t>元）</w:t>
      </w:r>
      <w:r>
        <w:rPr>
          <w:rFonts w:ascii="仿宋" w:eastAsia="仿宋" w:hAnsi="仿宋" w:cs="仿宋" w:hint="eastAsia"/>
          <w:sz w:val="30"/>
          <w:szCs w:val="30"/>
        </w:rPr>
        <w:t>，</w:t>
      </w:r>
      <w:r>
        <w:rPr>
          <w:rFonts w:ascii="仿宋" w:eastAsia="仿宋" w:hAnsi="仿宋" w:cs="仿宋"/>
          <w:sz w:val="30"/>
          <w:szCs w:val="30"/>
        </w:rPr>
        <w:t>正常离</w:t>
      </w:r>
      <w:r>
        <w:rPr>
          <w:rFonts w:ascii="仿宋" w:eastAsia="仿宋" w:hAnsi="仿宋" w:cs="仿宋" w:hint="eastAsia"/>
          <w:sz w:val="30"/>
          <w:szCs w:val="30"/>
        </w:rPr>
        <w:t>任</w:t>
      </w:r>
      <w:r>
        <w:rPr>
          <w:rFonts w:ascii="仿宋" w:eastAsia="仿宋" w:hAnsi="仿宋" w:cs="仿宋"/>
          <w:sz w:val="30"/>
          <w:szCs w:val="30"/>
        </w:rPr>
        <w:t>村干部生活补贴提标</w:t>
      </w:r>
      <w:r>
        <w:rPr>
          <w:rFonts w:ascii="仿宋" w:eastAsia="仿宋" w:hAnsi="仿宋" w:cs="仿宋" w:hint="eastAsia"/>
          <w:sz w:val="30"/>
          <w:szCs w:val="30"/>
        </w:rPr>
        <w:t>4万</w:t>
      </w:r>
      <w:r>
        <w:rPr>
          <w:rFonts w:ascii="仿宋" w:eastAsia="仿宋" w:hAnsi="仿宋" w:cs="仿宋"/>
          <w:sz w:val="30"/>
          <w:szCs w:val="30"/>
        </w:rPr>
        <w:t>元（</w:t>
      </w:r>
      <w:r>
        <w:rPr>
          <w:rFonts w:ascii="仿宋" w:eastAsia="仿宋" w:hAnsi="仿宋" w:cs="仿宋" w:hint="eastAsia"/>
          <w:sz w:val="30"/>
          <w:szCs w:val="30"/>
        </w:rPr>
        <w:t>含</w:t>
      </w:r>
      <w:r>
        <w:rPr>
          <w:rFonts w:ascii="仿宋" w:eastAsia="仿宋" w:hAnsi="仿宋" w:cs="仿宋"/>
          <w:sz w:val="30"/>
          <w:szCs w:val="30"/>
        </w:rPr>
        <w:t>白鹿铺村</w:t>
      </w:r>
      <w:r>
        <w:rPr>
          <w:rFonts w:ascii="仿宋" w:eastAsia="仿宋" w:hAnsi="仿宋" w:cs="仿宋" w:hint="eastAsia"/>
          <w:sz w:val="30"/>
          <w:szCs w:val="30"/>
        </w:rPr>
        <w:t>1万</w:t>
      </w:r>
      <w:r>
        <w:rPr>
          <w:rFonts w:ascii="仿宋" w:eastAsia="仿宋" w:hAnsi="仿宋" w:cs="仿宋"/>
          <w:sz w:val="30"/>
          <w:szCs w:val="30"/>
        </w:rPr>
        <w:t>元）</w:t>
      </w:r>
      <w:r>
        <w:rPr>
          <w:rFonts w:ascii="仿宋" w:eastAsia="仿宋" w:hAnsi="仿宋" w:cs="仿宋" w:hint="eastAsia"/>
          <w:sz w:val="30"/>
          <w:szCs w:val="30"/>
        </w:rPr>
        <w:t>。2023年</w:t>
      </w:r>
      <w:r>
        <w:rPr>
          <w:rFonts w:ascii="仿宋" w:eastAsia="仿宋" w:hAnsi="仿宋" w:cs="仿宋"/>
          <w:sz w:val="30"/>
          <w:szCs w:val="30"/>
        </w:rPr>
        <w:t>本级专项</w:t>
      </w:r>
      <w:r>
        <w:rPr>
          <w:rFonts w:ascii="仿宋" w:eastAsia="仿宋" w:hAnsi="仿宋" w:cs="仿宋" w:hint="eastAsia"/>
          <w:sz w:val="30"/>
          <w:szCs w:val="30"/>
        </w:rPr>
        <w:t>严格</w:t>
      </w:r>
      <w:r>
        <w:rPr>
          <w:rFonts w:ascii="仿宋" w:eastAsia="仿宋" w:hAnsi="仿宋" w:cs="仿宋"/>
          <w:sz w:val="30"/>
          <w:szCs w:val="30"/>
        </w:rPr>
        <w:t>按照项目</w:t>
      </w:r>
      <w:r>
        <w:rPr>
          <w:rFonts w:ascii="仿宋" w:eastAsia="仿宋" w:hAnsi="仿宋" w:cs="仿宋" w:hint="eastAsia"/>
          <w:sz w:val="30"/>
          <w:szCs w:val="30"/>
        </w:rPr>
        <w:t>内</w:t>
      </w:r>
      <w:r>
        <w:rPr>
          <w:rFonts w:ascii="仿宋" w:eastAsia="仿宋" w:hAnsi="仿宋" w:cs="仿宋"/>
          <w:sz w:val="30"/>
          <w:szCs w:val="30"/>
        </w:rPr>
        <w:t>容，项目</w:t>
      </w:r>
      <w:r>
        <w:rPr>
          <w:rFonts w:ascii="仿宋" w:eastAsia="仿宋" w:hAnsi="仿宋" w:cs="仿宋" w:hint="eastAsia"/>
          <w:sz w:val="30"/>
          <w:szCs w:val="30"/>
        </w:rPr>
        <w:t>使用</w:t>
      </w:r>
      <w:r>
        <w:rPr>
          <w:rFonts w:ascii="仿宋" w:eastAsia="仿宋" w:hAnsi="仿宋" w:cs="仿宋"/>
          <w:sz w:val="30"/>
          <w:szCs w:val="30"/>
        </w:rPr>
        <w:t>方向，</w:t>
      </w:r>
      <w:r>
        <w:rPr>
          <w:rFonts w:ascii="仿宋" w:eastAsia="仿宋" w:hAnsi="仿宋" w:cs="仿宋" w:hint="eastAsia"/>
          <w:sz w:val="30"/>
          <w:szCs w:val="30"/>
        </w:rPr>
        <w:t>及</w:t>
      </w:r>
      <w:r>
        <w:rPr>
          <w:rFonts w:ascii="仿宋" w:eastAsia="仿宋" w:hAnsi="仿宋" w:cs="仿宋"/>
          <w:sz w:val="30"/>
          <w:szCs w:val="30"/>
        </w:rPr>
        <w:t>绩效</w:t>
      </w:r>
      <w:r>
        <w:rPr>
          <w:rFonts w:ascii="仿宋" w:eastAsia="仿宋" w:hAnsi="仿宋" w:cs="仿宋" w:hint="eastAsia"/>
          <w:sz w:val="30"/>
          <w:szCs w:val="30"/>
        </w:rPr>
        <w:t>目</w:t>
      </w:r>
      <w:r>
        <w:rPr>
          <w:rFonts w:ascii="仿宋" w:eastAsia="仿宋" w:hAnsi="仿宋" w:cs="仿宋"/>
          <w:sz w:val="30"/>
          <w:szCs w:val="30"/>
        </w:rPr>
        <w:t>标</w:t>
      </w:r>
      <w:r>
        <w:rPr>
          <w:rFonts w:ascii="仿宋" w:eastAsia="仿宋" w:hAnsi="仿宋" w:cs="仿宋" w:hint="eastAsia"/>
          <w:sz w:val="30"/>
          <w:szCs w:val="30"/>
        </w:rPr>
        <w:t>要</w:t>
      </w:r>
      <w:r>
        <w:rPr>
          <w:rFonts w:ascii="仿宋" w:eastAsia="仿宋" w:hAnsi="仿宋" w:cs="仿宋"/>
          <w:sz w:val="30"/>
          <w:szCs w:val="30"/>
        </w:rPr>
        <w:t>求，严格</w:t>
      </w:r>
      <w:r w:rsidR="00F97688">
        <w:rPr>
          <w:rFonts w:ascii="仿宋" w:eastAsia="仿宋" w:hAnsi="仿宋" w:cs="仿宋" w:hint="eastAsia"/>
          <w:sz w:val="30"/>
          <w:szCs w:val="30"/>
        </w:rPr>
        <w:t>资金</w:t>
      </w:r>
      <w:r w:rsidR="00F97688">
        <w:rPr>
          <w:rFonts w:ascii="仿宋" w:eastAsia="仿宋" w:hAnsi="仿宋" w:cs="仿宋"/>
          <w:sz w:val="30"/>
          <w:szCs w:val="30"/>
        </w:rPr>
        <w:t>管理，</w:t>
      </w:r>
      <w:r>
        <w:rPr>
          <w:rFonts w:ascii="仿宋" w:eastAsia="仿宋" w:hAnsi="仿宋" w:cs="仿宋"/>
          <w:sz w:val="30"/>
          <w:szCs w:val="30"/>
        </w:rPr>
        <w:t>专款</w:t>
      </w:r>
      <w:r>
        <w:rPr>
          <w:rFonts w:ascii="仿宋" w:eastAsia="仿宋" w:hAnsi="仿宋" w:cs="仿宋" w:hint="eastAsia"/>
          <w:sz w:val="30"/>
          <w:szCs w:val="30"/>
        </w:rPr>
        <w:t>专</w:t>
      </w:r>
      <w:r>
        <w:rPr>
          <w:rFonts w:ascii="仿宋" w:eastAsia="仿宋" w:hAnsi="仿宋" w:cs="仿宋"/>
          <w:sz w:val="30"/>
          <w:szCs w:val="30"/>
        </w:rPr>
        <w:t>用，已</w:t>
      </w:r>
      <w:r>
        <w:rPr>
          <w:rFonts w:ascii="仿宋" w:eastAsia="仿宋" w:hAnsi="仿宋" w:cs="仿宋" w:hint="eastAsia"/>
          <w:sz w:val="30"/>
          <w:szCs w:val="30"/>
        </w:rPr>
        <w:t>全</w:t>
      </w:r>
      <w:r>
        <w:rPr>
          <w:rFonts w:ascii="仿宋" w:eastAsia="仿宋" w:hAnsi="仿宋" w:cs="仿宋"/>
          <w:sz w:val="30"/>
          <w:szCs w:val="30"/>
        </w:rPr>
        <w:t>部落实到位。</w:t>
      </w:r>
    </w:p>
    <w:p w:rsidR="00351A37" w:rsidRDefault="00246B10">
      <w:pPr>
        <w:widowControl/>
        <w:spacing w:line="520" w:lineRule="exact"/>
        <w:ind w:firstLineChars="200" w:firstLine="602"/>
        <w:jc w:val="left"/>
        <w:rPr>
          <w:rFonts w:ascii="仿宋" w:eastAsia="仿宋" w:hAnsi="仿宋" w:cs="仿宋"/>
          <w:b/>
          <w:bCs/>
          <w:sz w:val="30"/>
          <w:szCs w:val="30"/>
        </w:rPr>
      </w:pPr>
      <w:r>
        <w:rPr>
          <w:rFonts w:ascii="仿宋" w:eastAsia="仿宋" w:hAnsi="仿宋" w:cs="仿宋" w:hint="eastAsia"/>
          <w:b/>
          <w:bCs/>
          <w:sz w:val="30"/>
          <w:szCs w:val="30"/>
        </w:rPr>
        <w:t>三、部门整体支出绩效情况</w:t>
      </w:r>
    </w:p>
    <w:p w:rsidR="00351A37" w:rsidRDefault="00246B10">
      <w:pPr>
        <w:spacing w:line="520" w:lineRule="exact"/>
        <w:ind w:firstLineChars="200" w:firstLine="600"/>
        <w:rPr>
          <w:rFonts w:ascii="仿宋" w:eastAsia="仿宋" w:hAnsi="仿宋" w:cs="仿宋"/>
          <w:b/>
          <w:bCs/>
          <w:sz w:val="30"/>
          <w:szCs w:val="30"/>
        </w:rPr>
      </w:pPr>
      <w:r>
        <w:rPr>
          <w:rFonts w:ascii="仿宋" w:eastAsia="仿宋" w:hAnsi="仿宋" w:cs="仿宋" w:hint="eastAsia"/>
          <w:sz w:val="30"/>
          <w:szCs w:val="30"/>
        </w:rPr>
        <w:t>（一）</w:t>
      </w:r>
      <w:r>
        <w:rPr>
          <w:rFonts w:ascii="仿宋" w:eastAsia="仿宋" w:hAnsi="仿宋" w:cs="仿宋" w:hint="eastAsia"/>
          <w:b/>
          <w:bCs/>
          <w:sz w:val="30"/>
          <w:szCs w:val="30"/>
        </w:rPr>
        <w:t>主要工作成绩</w:t>
      </w:r>
    </w:p>
    <w:p w:rsidR="00351A37" w:rsidRDefault="00246B10">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2023年，面对复杂严峻的外部环境和国内多重困难挑战，园区迎难而上，奋发有为，始终坚持推进高质量发展主题不褪色，政策精准发力，企业主动作为，积极开拓市场，全力激发活力，园区各项经济指标稳中有进。全年，园区完成规模工业增加值81.64亿元，同比增长6.48%；完成工业税收6.43亿元，同比增长81.03%；亩均工业税收22万元/亩，同比增长35.6%；完成固定资产投资49.86亿元，同比增长51%；完成招商引资总额196.7亿元，同比增长333.25%；主导产业营收入209.27亿元，同比增长18.63%。高新技术产业营业收入263.48亿元，占比达79.22%。再次获评全省“五好”园区创建综合评价先进园区，获评湖南省“开放十强”园区，被省工信厅认定为湖南省先进制造业集群。</w:t>
      </w:r>
    </w:p>
    <w:p w:rsidR="00351A37" w:rsidRDefault="00246B10">
      <w:pPr>
        <w:spacing w:line="520" w:lineRule="exact"/>
        <w:ind w:firstLineChars="200" w:firstLine="602"/>
        <w:rPr>
          <w:rFonts w:ascii="仿宋" w:eastAsia="仿宋" w:hAnsi="仿宋" w:cs="仿宋"/>
          <w:sz w:val="30"/>
          <w:szCs w:val="30"/>
        </w:rPr>
      </w:pPr>
      <w:r>
        <w:rPr>
          <w:rFonts w:ascii="仿宋" w:eastAsia="仿宋" w:hAnsi="仿宋" w:cs="仿宋" w:hint="eastAsia"/>
          <w:b/>
          <w:bCs/>
          <w:sz w:val="30"/>
          <w:szCs w:val="30"/>
        </w:rPr>
        <w:t>1. 强化主导产业。</w:t>
      </w:r>
      <w:r>
        <w:rPr>
          <w:rFonts w:ascii="仿宋" w:eastAsia="仿宋" w:hAnsi="仿宋" w:cs="仿宋" w:hint="eastAsia"/>
          <w:sz w:val="30"/>
          <w:szCs w:val="30"/>
        </w:rPr>
        <w:t>2023年，长春经开区坚持“一主一特”产业发展思路，坚定不移深入贯彻区委明确的打造中国PCB第三极战略目标。</w:t>
      </w:r>
      <w:r>
        <w:rPr>
          <w:rFonts w:ascii="仿宋" w:eastAsia="仿宋" w:hAnsi="仿宋" w:cs="仿宋" w:hint="eastAsia"/>
          <w:b/>
          <w:sz w:val="30"/>
          <w:szCs w:val="30"/>
        </w:rPr>
        <w:t>一是PCB产业经济指标稳步提升。</w:t>
      </w:r>
      <w:r>
        <w:rPr>
          <w:rFonts w:ascii="仿宋" w:eastAsia="仿宋" w:hAnsi="仿宋" w:cs="仿宋" w:hint="eastAsia"/>
          <w:sz w:val="30"/>
          <w:szCs w:val="30"/>
        </w:rPr>
        <w:t>2023年，长春经开区PCB产业总产值200.8亿元、税收3.51亿元，PCB产业产值占全省电子电路板产业产值的80%以上，占全国电子电路板</w:t>
      </w:r>
      <w:r>
        <w:rPr>
          <w:rFonts w:ascii="仿宋" w:eastAsia="仿宋" w:hAnsi="仿宋" w:cs="仿宋" w:hint="eastAsia"/>
          <w:sz w:val="30"/>
          <w:szCs w:val="30"/>
        </w:rPr>
        <w:lastRenderedPageBreak/>
        <w:t>产业产值的6%，单位面积产业集聚度远高于湖北、江西、四川等地。</w:t>
      </w:r>
      <w:r>
        <w:rPr>
          <w:rFonts w:ascii="仿宋" w:eastAsia="仿宋" w:hAnsi="仿宋" w:cs="仿宋" w:hint="eastAsia"/>
          <w:b/>
          <w:sz w:val="30"/>
          <w:szCs w:val="30"/>
        </w:rPr>
        <w:t>二是PCB产业集群日趋完善。</w:t>
      </w:r>
      <w:r>
        <w:rPr>
          <w:rFonts w:ascii="仿宋" w:eastAsia="仿宋" w:hAnsi="仿宋" w:cs="仿宋" w:hint="eastAsia"/>
          <w:sz w:val="30"/>
          <w:szCs w:val="30"/>
        </w:rPr>
        <w:t>精准盯紧PCB产业链重点环节靶向招商，延链补链，深度挖掘产业链空白，不断健全完备产业链发展。目前PCB产业链已覆盖刚性板、柔性板、金属基板、陶瓷板、HDI板等多维产品，涵盖了模具制造、机械设备、表面处理、循环利用、辅料加工、包装印刷、物流服务等上下游配套，形成了较为完整的产业链。</w:t>
      </w:r>
      <w:r>
        <w:rPr>
          <w:rFonts w:ascii="仿宋" w:eastAsia="仿宋" w:hAnsi="仿宋" w:cs="仿宋" w:hint="eastAsia"/>
          <w:b/>
          <w:sz w:val="30"/>
          <w:szCs w:val="30"/>
        </w:rPr>
        <w:t>三是PCB产业引领作用更为凸显。</w:t>
      </w:r>
      <w:r>
        <w:rPr>
          <w:rFonts w:ascii="仿宋" w:eastAsia="仿宋" w:hAnsi="仿宋" w:cs="仿宋" w:hint="eastAsia"/>
          <w:sz w:val="30"/>
          <w:szCs w:val="30"/>
        </w:rPr>
        <w:t>努力擦亮园区“PCB产业群”金字招牌，充分发挥PCB龙头企业引领作用，促进更多PCB同类型企业入园。截至目前，共有47家PCB产业企业相继先后入园，包括上市企业1家、行业百强企业3家、国家级知识产权优势企业8家、小巨人企业17家（其中，国家级4家）。2023年，共新签约PCB上下游企业13家，新注册湘商回归PCB及配套企业3家。2023年，在园区与相关企业一道努力下，湖南省电子电路行业协会在资阳正式揭牌，进一步筑牢了长春经开区PCB产业引领作用，加速推动园区PCB产业向由“大”变“强”有序发展。</w:t>
      </w:r>
    </w:p>
    <w:p w:rsidR="00351A37" w:rsidRDefault="00246B10">
      <w:pPr>
        <w:spacing w:line="520" w:lineRule="exact"/>
        <w:ind w:firstLineChars="200" w:firstLine="602"/>
        <w:rPr>
          <w:rFonts w:ascii="仿宋" w:eastAsia="仿宋" w:hAnsi="仿宋" w:cs="仿宋"/>
          <w:sz w:val="30"/>
          <w:szCs w:val="30"/>
        </w:rPr>
      </w:pPr>
      <w:r>
        <w:rPr>
          <w:rFonts w:ascii="仿宋" w:eastAsia="仿宋" w:hAnsi="仿宋" w:cs="仿宋" w:hint="eastAsia"/>
          <w:b/>
          <w:bCs/>
          <w:sz w:val="30"/>
          <w:szCs w:val="30"/>
        </w:rPr>
        <w:t>2. 优化营商环境。</w:t>
      </w:r>
      <w:r>
        <w:rPr>
          <w:rFonts w:ascii="仿宋" w:eastAsia="仿宋" w:hAnsi="仿宋" w:cs="仿宋" w:hint="eastAsia"/>
          <w:sz w:val="30"/>
          <w:szCs w:val="30"/>
        </w:rPr>
        <w:t>优质的营商环境，是企业生存发展的沃土，过去一年，长春经开区千方百计加大助企、惠企、稳企力度，助力入园企业轻装快跑，稳步发展。</w:t>
      </w:r>
      <w:r>
        <w:rPr>
          <w:rFonts w:ascii="仿宋" w:eastAsia="仿宋" w:hAnsi="仿宋" w:cs="仿宋" w:hint="eastAsia"/>
          <w:b/>
          <w:sz w:val="30"/>
          <w:szCs w:val="30"/>
        </w:rPr>
        <w:t>一是全面释放政策红利。</w:t>
      </w:r>
      <w:r>
        <w:rPr>
          <w:rFonts w:ascii="仿宋" w:eastAsia="仿宋" w:hAnsi="仿宋" w:cs="仿宋" w:hint="eastAsia"/>
          <w:sz w:val="30"/>
          <w:szCs w:val="30"/>
        </w:rPr>
        <w:t>积极“放水养鱼”、涵养税源兑现惠企助企奖补政策，全年累计兑现企业优惠政策奖补万元，争取上级专项资金，累计退税1.99亿元，多措并举减小企业生产成本，减缓资金压力。</w:t>
      </w:r>
      <w:r>
        <w:rPr>
          <w:rFonts w:ascii="仿宋" w:eastAsia="仿宋" w:hAnsi="仿宋" w:cs="仿宋" w:hint="eastAsia"/>
          <w:b/>
          <w:sz w:val="30"/>
          <w:szCs w:val="30"/>
        </w:rPr>
        <w:t>二是全面完善基础实施。</w:t>
      </w:r>
      <w:r>
        <w:rPr>
          <w:rFonts w:ascii="仿宋" w:eastAsia="仿宋" w:hAnsi="仿宋" w:cs="仿宋" w:hint="eastAsia"/>
          <w:sz w:val="30"/>
          <w:szCs w:val="30"/>
        </w:rPr>
        <w:t>高标准建成利源路、龙井路，进一步打造高效交通网络；新建6栋标准化厂房着力保障民之源项目和新材料产业园厂房需求；高效推动电子产业园污水处理厂、租赁用房等项目建设，着力降低企业运行成本；新建智慧停车充电桩，新增两条公</w:t>
      </w:r>
      <w:r>
        <w:rPr>
          <w:rFonts w:ascii="仿宋" w:eastAsia="仿宋" w:hAnsi="仿宋" w:cs="仿宋" w:hint="eastAsia"/>
          <w:sz w:val="30"/>
          <w:szCs w:val="30"/>
        </w:rPr>
        <w:lastRenderedPageBreak/>
        <w:t>交线路，完成文昌中学项目土地平整等前期工作，全力构建产城融合协同发展。</w:t>
      </w:r>
      <w:r>
        <w:rPr>
          <w:rFonts w:ascii="仿宋" w:eastAsia="仿宋" w:hAnsi="仿宋" w:cs="仿宋" w:hint="eastAsia"/>
          <w:b/>
          <w:sz w:val="30"/>
          <w:szCs w:val="30"/>
        </w:rPr>
        <w:t>三是全面加强土地保障。</w:t>
      </w:r>
      <w:r>
        <w:rPr>
          <w:rFonts w:ascii="仿宋" w:eastAsia="仿宋" w:hAnsi="仿宋" w:cs="仿宋" w:hint="eastAsia"/>
          <w:sz w:val="30"/>
          <w:szCs w:val="30"/>
        </w:rPr>
        <w:t>加大土地报批和征地拆迁力度，努力实现由项目等地到净地招商转变。2023年共批回2个批次约170亩项目用地，完成336亩用地审批手续和850亩报批资料组织。全年共签订房屋拆迁补偿协议191栋214户，实现征地约987亩，实施征拆项目42个，完成31个项目清零。</w:t>
      </w:r>
    </w:p>
    <w:p w:rsidR="00351A37" w:rsidRDefault="00246B10">
      <w:pPr>
        <w:widowControl/>
        <w:spacing w:line="520" w:lineRule="exact"/>
        <w:ind w:firstLineChars="200" w:firstLine="602"/>
        <w:rPr>
          <w:rFonts w:ascii="仿宋" w:eastAsia="仿宋" w:hAnsi="仿宋" w:cs="仿宋"/>
          <w:sz w:val="30"/>
          <w:szCs w:val="30"/>
        </w:rPr>
      </w:pPr>
      <w:r>
        <w:rPr>
          <w:rFonts w:ascii="仿宋" w:eastAsia="仿宋" w:hAnsi="仿宋" w:cs="仿宋" w:hint="eastAsia"/>
          <w:b/>
          <w:bCs/>
          <w:sz w:val="30"/>
          <w:szCs w:val="30"/>
        </w:rPr>
        <w:t>3. 着力产业项目。</w:t>
      </w:r>
      <w:r>
        <w:rPr>
          <w:rFonts w:ascii="仿宋" w:eastAsia="仿宋" w:hAnsi="仿宋" w:cs="仿宋" w:hint="eastAsia"/>
          <w:sz w:val="30"/>
          <w:szCs w:val="30"/>
        </w:rPr>
        <w:t>产业项目是经济发展的生命线，长春经开区始终坚持“项目为王”思路，牢牢扭住项目的“牛鼻子”，加快推进项目动工建设，加强推动项目竣工投产，着实做好项目谋划储备。2023年，共引进新项目17个，预计总投资额达193亿元，全面达产后可实现年产值228.3亿元，年创税额实现3.7亿元。其中，奥士康三期、鲲鸿食品、青海洁神等3个项目均已顺利投产，缺牙齿、正业科技、福源特、易迅达等4个项目已顺利开工，华侨科技、丰丽新材料等7个项目已完成前期行政审批各项手续，另有昊阳天宇等10个在谈项目也已达成了初步共识。目前，园区共有在建项目13个，其中，群展电子、莱通光学等9个项目已完成主体建设。共有筹建项目13个，其中，华侨科技、云萃环保等8个项目将启动建设。</w:t>
      </w:r>
      <w:r>
        <w:rPr>
          <w:rFonts w:ascii="仿宋" w:eastAsia="仿宋" w:hAnsi="仿宋" w:cs="仿宋" w:hint="eastAsia"/>
          <w:color w:val="000000"/>
          <w:sz w:val="30"/>
          <w:szCs w:val="30"/>
        </w:rPr>
        <w:t>统筹社会事务，不断提升基层治理成效。</w:t>
      </w:r>
      <w:r>
        <w:rPr>
          <w:rFonts w:ascii="仿宋" w:eastAsia="仿宋" w:hAnsi="仿宋" w:cs="仿宋" w:hint="eastAsia"/>
          <w:sz w:val="30"/>
          <w:szCs w:val="30"/>
        </w:rPr>
        <w:t>平安园区建设持续向好。在省市巡视巡察期间共办结信访事项81件，6名重点信访对象已成功化解2例、稳控2例、打击2例。征地拆迁、项目建设、村民建房等群体性矛盾纠纷得到有力化解。落实食品安全“两个责任”，对园区食品企业实现包保率、督导率、问题整改率均100%。全力做好殡葬改革，“零点行动”以来，火化率100%，入葬公墓114例，全力整治幸福渠高速匝道西侧墓地。坚持常态化做好农作物秸秆禁烧宣传和巡查工作，全年处置杂草、垃圾火点20余处，批评教育10余</w:t>
      </w:r>
      <w:r>
        <w:rPr>
          <w:rFonts w:ascii="仿宋" w:eastAsia="仿宋" w:hAnsi="仿宋" w:cs="仿宋" w:hint="eastAsia"/>
          <w:sz w:val="30"/>
          <w:szCs w:val="30"/>
        </w:rPr>
        <w:lastRenderedPageBreak/>
        <w:t>人。持续巩固提升脱贫攻坚成果质量，全面推进长春经开区乡村振兴，共纳入防返贫监测对象14户24人。积极申报并顺利通过征地农民社保政府补贴申报资料532人。为困难群众、特困对象、残疾人等发放临时救助和各项补贴资金57万元；完成169户共295人低保扩围增效工作；新增低保家庭户11户38人，特困户8户8人；完成369名残疾人动态更新调查工作。全力抓好人民武装、查违控违、粮食生产、农林水牧、卫健、文旅广体、教育、退役军人服务等工作，园区社会大局稳定。强化主体责任，全面夯实党建工作基础。坚持落实“一岗双责”工作责任制，班子成员按工作分工抓好分管领域的党建工作，形成领导班子集体抓、书记带头抓、班子成员分工抓、党建部门一起抓的党建工作责任体系。2023年高标准打造2个“红色之家”并全面投入使用，新建两新党组织3个，整顿软弱涣散两新党组织1个，成功培育三木电气党支部、缺牙齿食品党支部2家市级标杆党组织。</w:t>
      </w:r>
    </w:p>
    <w:p w:rsidR="00351A37" w:rsidRDefault="00DC6662">
      <w:pPr>
        <w:widowControl/>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 xml:space="preserve"> </w:t>
      </w:r>
      <w:r w:rsidR="00246B10">
        <w:rPr>
          <w:rFonts w:ascii="仿宋" w:eastAsia="仿宋" w:hAnsi="仿宋" w:cs="仿宋" w:hint="eastAsia"/>
          <w:b/>
          <w:bCs/>
          <w:sz w:val="30"/>
          <w:szCs w:val="30"/>
        </w:rPr>
        <w:t>（二）预算绩效目标完成情况</w:t>
      </w:r>
    </w:p>
    <w:p w:rsidR="00351A37" w:rsidRDefault="00246B10">
      <w:pPr>
        <w:widowControl/>
        <w:shd w:val="clear" w:color="auto" w:fill="FFFFFF"/>
        <w:spacing w:line="52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一是全面做好园区建设规划，充分发挥财政调节作用，积极争取各项优惠政策，并积极带动社会资金的投入，引导和支持企业进行产业转型提升和发展生产，以培养财政收入新的增长点。二是加强财政支出管理，促进经济全面发展，严格实行“收支两条线”政策，严肃财经纪律、规范财政支出行为和细化部门预算编制。三是进一步完善各种经费使用办法，压缩行政管理开支和各种非生产性开支，严格控制部分增支因素。四是合理利用财力，保障重点项目及重点费用和社会公益事业的正常开支。五是落实好中央各项惠农政策，促进农业生产、农民增收和各项社会事业的发展，认真落实好中央各项惠农政策，进一步增加对农业的投入和各项涉农补贴资金，不断稳定发展农业生产，促进农民增收。</w:t>
      </w:r>
      <w:r>
        <w:rPr>
          <w:rFonts w:ascii="仿宋" w:eastAsia="仿宋" w:hAnsi="仿宋" w:cs="仿宋" w:hint="eastAsia"/>
          <w:kern w:val="0"/>
          <w:sz w:val="30"/>
          <w:szCs w:val="30"/>
        </w:rPr>
        <w:lastRenderedPageBreak/>
        <w:t>六是继续实行国库集中支付制度，严格资金支出范围和审批程序，严格执行公用经费定额标准，使财政总预算真实反映了财政资金的实际支出数,进一步加强了对财政资金来源和去向的管理。</w:t>
      </w:r>
      <w:r w:rsidR="00527BF5">
        <w:rPr>
          <w:rFonts w:ascii="仿宋" w:eastAsia="仿宋" w:hAnsi="仿宋" w:cs="仿宋" w:hint="eastAsia"/>
          <w:kern w:val="0"/>
          <w:sz w:val="30"/>
          <w:szCs w:val="30"/>
        </w:rPr>
        <w:t>七是</w:t>
      </w:r>
      <w:r>
        <w:rPr>
          <w:rFonts w:ascii="仿宋" w:eastAsia="仿宋" w:hAnsi="仿宋" w:cs="仿宋" w:hint="eastAsia"/>
          <w:kern w:val="0"/>
          <w:sz w:val="30"/>
          <w:szCs w:val="30"/>
        </w:rPr>
        <w:t>切实抓好债务管理工作，严格控制新增债务。</w:t>
      </w:r>
      <w:r w:rsidR="00527BF5">
        <w:rPr>
          <w:rFonts w:ascii="仿宋" w:eastAsia="仿宋" w:hAnsi="仿宋" w:cs="仿宋" w:hint="eastAsia"/>
          <w:kern w:val="0"/>
          <w:sz w:val="30"/>
          <w:szCs w:val="30"/>
        </w:rPr>
        <w:t>八是</w:t>
      </w:r>
      <w:r>
        <w:rPr>
          <w:rFonts w:ascii="仿宋" w:eastAsia="仿宋" w:hAnsi="仿宋" w:cs="仿宋" w:hint="eastAsia"/>
          <w:kern w:val="0"/>
          <w:sz w:val="30"/>
          <w:szCs w:val="30"/>
        </w:rPr>
        <w:t>加强完善村级财务管理的“村账镇代管”制度，全力推进“互联网+监督”制度，推动了资金使用的公开度、透明度。</w:t>
      </w:r>
      <w:r w:rsidR="00527BF5">
        <w:rPr>
          <w:rFonts w:ascii="仿宋" w:eastAsia="仿宋" w:hAnsi="仿宋" w:cs="仿宋" w:hint="eastAsia"/>
          <w:kern w:val="0"/>
          <w:sz w:val="30"/>
          <w:szCs w:val="30"/>
        </w:rPr>
        <w:t>九是</w:t>
      </w:r>
      <w:r>
        <w:rPr>
          <w:rFonts w:ascii="仿宋" w:eastAsia="仿宋" w:hAnsi="仿宋" w:cs="仿宋" w:hint="eastAsia"/>
          <w:kern w:val="0"/>
          <w:sz w:val="30"/>
          <w:szCs w:val="30"/>
        </w:rPr>
        <w:t>加强财政队伍建设，完善财政管理机制，推进财务人员依法行政，依法理财。</w:t>
      </w:r>
    </w:p>
    <w:p w:rsidR="00351A37" w:rsidRDefault="00246B10">
      <w:pPr>
        <w:widowControl/>
        <w:shd w:val="clear" w:color="auto" w:fill="FFFFFF"/>
        <w:spacing w:line="520" w:lineRule="exact"/>
        <w:ind w:firstLineChars="200" w:firstLine="602"/>
        <w:jc w:val="left"/>
        <w:rPr>
          <w:rFonts w:ascii="仿宋" w:eastAsia="仿宋" w:hAnsi="仿宋" w:cs="仿宋"/>
          <w:b/>
          <w:bCs/>
          <w:kern w:val="0"/>
          <w:sz w:val="30"/>
          <w:szCs w:val="30"/>
        </w:rPr>
      </w:pPr>
      <w:r>
        <w:rPr>
          <w:rFonts w:ascii="仿宋" w:eastAsia="仿宋" w:hAnsi="仿宋" w:cs="仿宋" w:hint="eastAsia"/>
          <w:b/>
          <w:bCs/>
          <w:kern w:val="0"/>
          <w:sz w:val="30"/>
          <w:szCs w:val="30"/>
        </w:rPr>
        <w:t>四、总体评价和自评得分情况</w:t>
      </w:r>
    </w:p>
    <w:p w:rsidR="00351A37" w:rsidRDefault="00246B10">
      <w:pPr>
        <w:widowControl/>
        <w:shd w:val="clear" w:color="auto" w:fill="FFFFFF"/>
        <w:spacing w:line="52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本次自评根据益阳市资阳区财政局的相关要求，</w:t>
      </w:r>
      <w:r>
        <w:rPr>
          <w:rFonts w:ascii="仿宋" w:eastAsia="仿宋" w:hAnsi="仿宋" w:cs="仿宋" w:hint="eastAsia"/>
          <w:sz w:val="30"/>
          <w:szCs w:val="30"/>
        </w:rPr>
        <w:t>单位</w:t>
      </w:r>
      <w:r>
        <w:rPr>
          <w:rFonts w:ascii="仿宋" w:eastAsia="仿宋" w:hAnsi="仿宋" w:cs="仿宋" w:hint="eastAsia"/>
          <w:kern w:val="0"/>
          <w:sz w:val="30"/>
          <w:szCs w:val="30"/>
        </w:rPr>
        <w:t>制定了部门整体支出绩效评价的工作方案、评价指标，成立了绩效评价工作领导小组、绩效评价工作组，于202</w:t>
      </w:r>
      <w:r w:rsidR="00527BF5">
        <w:rPr>
          <w:rFonts w:ascii="仿宋" w:eastAsia="仿宋" w:hAnsi="仿宋" w:cs="仿宋" w:hint="eastAsia"/>
          <w:kern w:val="0"/>
          <w:sz w:val="30"/>
          <w:szCs w:val="30"/>
        </w:rPr>
        <w:t>4</w:t>
      </w:r>
      <w:r>
        <w:rPr>
          <w:rFonts w:ascii="仿宋" w:eastAsia="仿宋" w:hAnsi="仿宋" w:cs="仿宋" w:hint="eastAsia"/>
          <w:kern w:val="0"/>
          <w:sz w:val="30"/>
          <w:szCs w:val="30"/>
        </w:rPr>
        <w:t>年5月完成自评工作。绩效自评具体如下：</w:t>
      </w:r>
    </w:p>
    <w:p w:rsidR="00351A37" w:rsidRDefault="00246B10">
      <w:pPr>
        <w:pStyle w:val="a7"/>
        <w:spacing w:line="520" w:lineRule="exact"/>
        <w:ind w:firstLineChars="200" w:firstLine="600"/>
        <w:jc w:val="both"/>
        <w:rPr>
          <w:rFonts w:ascii="仿宋" w:eastAsia="仿宋" w:hAnsi="仿宋" w:cs="仿宋"/>
          <w:sz w:val="30"/>
          <w:szCs w:val="30"/>
        </w:rPr>
      </w:pPr>
      <w:r>
        <w:rPr>
          <w:rFonts w:ascii="仿宋" w:eastAsia="仿宋" w:hAnsi="仿宋" w:cs="仿宋" w:hint="eastAsia"/>
          <w:color w:val="333333"/>
          <w:sz w:val="30"/>
          <w:szCs w:val="30"/>
        </w:rPr>
        <w:t> </w:t>
      </w:r>
      <w:r>
        <w:rPr>
          <w:rFonts w:ascii="仿宋" w:eastAsia="仿宋" w:hAnsi="仿宋" w:cs="仿宋" w:hint="eastAsia"/>
          <w:sz w:val="30"/>
          <w:szCs w:val="30"/>
        </w:rPr>
        <w:t>2023年度本单位“三公经费”总预算数为0万元，实际支出数为0万元（公务用车维护费0万元），支出等于预算，因此，2023年度本单位“三公经费”预算符合相关规定。2023年度年初工作计划及重点工作目标管理符合区委、区政府总体经济和社会发展规划及职责，体现当年重点工作，资金投入相匹配，财政资金预算完成率＝（预算完成数/预算数）×100%＝100%。建立了各项财务管理制度，相关管理制度合法、合规、完整，相关管理制度得到有效执行，支出大部分符合国家财经法规和财务管理制度规定以及有关专项资金管理办法的规定，资金的拨付有完整的审批过程和手续，支出一定程度上符合部门预算批复的用途，资金使用无截留、挤占、挪用、虚列支出等情况。</w:t>
      </w:r>
    </w:p>
    <w:p w:rsidR="00351A37" w:rsidRDefault="00246B10">
      <w:pPr>
        <w:widowControl/>
        <w:spacing w:line="52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2023年</w:t>
      </w:r>
      <w:r>
        <w:rPr>
          <w:rFonts w:ascii="仿宋" w:eastAsia="仿宋" w:hAnsi="仿宋" w:cs="仿宋" w:hint="eastAsia"/>
          <w:sz w:val="30"/>
          <w:szCs w:val="30"/>
        </w:rPr>
        <w:t>湖南益阳长春经济开发区管理委员会</w:t>
      </w:r>
      <w:r>
        <w:rPr>
          <w:rFonts w:ascii="仿宋" w:eastAsia="仿宋" w:hAnsi="仿宋" w:cs="仿宋" w:hint="eastAsia"/>
          <w:kern w:val="0"/>
          <w:sz w:val="30"/>
          <w:szCs w:val="30"/>
        </w:rPr>
        <w:t>在市委、市政府及区委、区政府的正确领导下，在市区两级各部门帮助下，园</w:t>
      </w:r>
      <w:r>
        <w:rPr>
          <w:rFonts w:ascii="仿宋" w:eastAsia="仿宋" w:hAnsi="仿宋" w:cs="仿宋" w:hint="eastAsia"/>
          <w:kern w:val="0"/>
          <w:sz w:val="30"/>
          <w:szCs w:val="30"/>
        </w:rPr>
        <w:lastRenderedPageBreak/>
        <w:t>区上下紧紧围绕年初制定的目标，紧扣区委区政府安排部署的各项重点工作，发挥优势，攻坚克难，团结一心，攻坚拼搏，较好的完成了年初制定的各项工作目标。经综合评价，本单位预算执行有效，管理规范，较好的完成了各项年度工作目标，取得了较好的经济效益和社会效益。根据区政府绩效考核文件精神，绩效目标在本年基本完成。</w:t>
      </w:r>
    </w:p>
    <w:p w:rsidR="00351A37" w:rsidRDefault="00246B10">
      <w:pPr>
        <w:pStyle w:val="a7"/>
        <w:shd w:val="clear" w:color="auto" w:fill="FFFFFF"/>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根据以上预算绩效情况，我单位2023年预算绩效自评为优秀。</w:t>
      </w:r>
    </w:p>
    <w:p w:rsidR="00351A37" w:rsidRDefault="00246B10">
      <w:pPr>
        <w:pStyle w:val="a7"/>
        <w:shd w:val="clear" w:color="auto" w:fill="FFFFFF"/>
        <w:spacing w:line="52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五.存在的问题及原因分析</w:t>
      </w:r>
    </w:p>
    <w:p w:rsidR="00351A37" w:rsidRDefault="00246B10">
      <w:pPr>
        <w:pStyle w:val="a7"/>
        <w:spacing w:line="520" w:lineRule="exact"/>
        <w:ind w:firstLineChars="200" w:firstLine="600"/>
        <w:jc w:val="both"/>
        <w:rPr>
          <w:rFonts w:ascii="仿宋" w:eastAsia="仿宋" w:hAnsi="仿宋" w:cs="仿宋"/>
          <w:sz w:val="30"/>
          <w:szCs w:val="30"/>
        </w:rPr>
      </w:pPr>
      <w:r>
        <w:rPr>
          <w:rFonts w:ascii="仿宋" w:eastAsia="仿宋" w:hAnsi="仿宋" w:cs="仿宋" w:hint="eastAsia"/>
          <w:sz w:val="30"/>
          <w:szCs w:val="30"/>
        </w:rPr>
        <w:t>通过这次自评我们清醒的认识到，财政运行还存在着一些不容忽视的问题，财政预算配置不科学，差额及自收自支人员经费缺口较大，财政收入规模单一，收入结构不合理，园区社会事业发展所需财政支出压力大，收支矛盾还比较突出，财政管理还不很规范，财经纪律还有待进一步加强，专项资金管理制度和厉行节约制度需进一步完善等。</w:t>
      </w:r>
    </w:p>
    <w:p w:rsidR="00351A37" w:rsidRDefault="00246B10">
      <w:pPr>
        <w:widowControl/>
        <w:shd w:val="clear" w:color="auto" w:fill="FFFFFF"/>
        <w:spacing w:line="520" w:lineRule="exact"/>
        <w:ind w:firstLineChars="200" w:firstLine="602"/>
        <w:jc w:val="left"/>
        <w:rPr>
          <w:rFonts w:ascii="仿宋" w:eastAsia="仿宋" w:hAnsi="仿宋" w:cs="仿宋"/>
          <w:kern w:val="0"/>
          <w:sz w:val="30"/>
          <w:szCs w:val="30"/>
        </w:rPr>
      </w:pPr>
      <w:r>
        <w:rPr>
          <w:rFonts w:ascii="仿宋" w:eastAsia="仿宋" w:hAnsi="仿宋" w:cs="仿宋" w:hint="eastAsia"/>
          <w:b/>
          <w:bCs/>
          <w:kern w:val="0"/>
          <w:sz w:val="30"/>
          <w:szCs w:val="30"/>
        </w:rPr>
        <w:t>六.下一步改进措施</w:t>
      </w:r>
    </w:p>
    <w:p w:rsidR="00351A37" w:rsidRDefault="00246B10">
      <w:pPr>
        <w:widowControl/>
        <w:shd w:val="clear" w:color="auto" w:fill="FFFFFF"/>
        <w:spacing w:line="575" w:lineRule="exact"/>
        <w:ind w:firstLineChars="196" w:firstLine="627"/>
        <w:jc w:val="left"/>
        <w:rPr>
          <w:rFonts w:ascii="仿宋" w:eastAsia="仿宋" w:hAnsi="仿宋" w:cs="仿宋"/>
          <w:sz w:val="32"/>
          <w:szCs w:val="32"/>
        </w:rPr>
      </w:pPr>
      <w:r>
        <w:rPr>
          <w:rFonts w:ascii="仿宋" w:eastAsia="仿宋" w:hAnsi="仿宋" w:cs="仿宋" w:hint="eastAsia"/>
          <w:sz w:val="32"/>
          <w:szCs w:val="32"/>
        </w:rPr>
        <w:t>进一步加强内部机构的预算管理意识，</w:t>
      </w:r>
      <w:r>
        <w:rPr>
          <w:rFonts w:ascii="仿宋" w:eastAsia="仿宋" w:hAnsi="仿宋" w:cs="仿宋" w:hint="eastAsia"/>
          <w:kern w:val="0"/>
          <w:sz w:val="32"/>
          <w:szCs w:val="32"/>
        </w:rPr>
        <w:t>加强政策学习，提高思想认识。组织相关人员认真学习《预算法》等相关法规、制度，提高单位领导对全面预算管理的重视程度，增强财务人员的预算意识，坚持先有预算、后有支出，没有预算不得支出。</w:t>
      </w:r>
      <w:r>
        <w:rPr>
          <w:rFonts w:ascii="仿宋" w:eastAsia="仿宋" w:hAnsi="仿宋" w:cs="仿宋" w:hint="eastAsia"/>
          <w:sz w:val="32"/>
          <w:szCs w:val="32"/>
        </w:rPr>
        <w:t>严格按照预算编制的相关制度和要求科学合理编制进行预算编制，进一步提高预算编制的严谨性和可控性，推进预算编制科学化、准确化。预算编制前根据年度内单位可预见的工作任务，确定单位年度预算目标，细化预算指标，全面编制预算项目，优先保障固定性的、相对刚性的费用支</w:t>
      </w:r>
      <w:r>
        <w:rPr>
          <w:rFonts w:ascii="仿宋" w:eastAsia="仿宋" w:hAnsi="仿宋" w:cs="仿宋" w:hint="eastAsia"/>
          <w:sz w:val="32"/>
          <w:szCs w:val="32"/>
        </w:rPr>
        <w:lastRenderedPageBreak/>
        <w:t>出项目，尽量压缩变动性的、有控制空间的费用项目，年度预算编制后，根据实际情况，定期做好预算执行分析，掌握预算执行进度，及时找出预算实际执行情况与预算目标之间存在的差距，纠正偏差，为下一次科学、准确地编制部门预算积累经验。积极推进财政预算、财政决算公开，不断提高理财透明度。在费用报账支付时，按照预算规定的费用项目和用途进行资金使用审核、列报支付、财务核算，杜绝超支现象的发生。</w:t>
      </w:r>
    </w:p>
    <w:p w:rsidR="00351A37" w:rsidRDefault="00351A37">
      <w:pPr>
        <w:spacing w:line="520" w:lineRule="exact"/>
        <w:jc w:val="right"/>
        <w:rPr>
          <w:rFonts w:ascii="仿宋" w:eastAsia="仿宋" w:hAnsi="仿宋" w:cs="仿宋"/>
          <w:sz w:val="30"/>
          <w:szCs w:val="30"/>
        </w:rPr>
      </w:pPr>
    </w:p>
    <w:p w:rsidR="001768AC" w:rsidRDefault="001768AC">
      <w:pPr>
        <w:spacing w:line="520" w:lineRule="exact"/>
        <w:jc w:val="right"/>
        <w:rPr>
          <w:rFonts w:ascii="仿宋" w:eastAsia="仿宋" w:hAnsi="仿宋" w:cs="仿宋"/>
          <w:sz w:val="30"/>
          <w:szCs w:val="30"/>
        </w:rPr>
      </w:pPr>
    </w:p>
    <w:p w:rsidR="00351A37" w:rsidRDefault="00246B10">
      <w:pPr>
        <w:spacing w:line="520" w:lineRule="exact"/>
        <w:jc w:val="right"/>
        <w:rPr>
          <w:rFonts w:ascii="仿宋" w:eastAsia="仿宋" w:hAnsi="仿宋" w:cs="仿宋"/>
          <w:sz w:val="32"/>
          <w:szCs w:val="32"/>
        </w:rPr>
      </w:pPr>
      <w:r>
        <w:rPr>
          <w:rFonts w:ascii="仿宋" w:eastAsia="仿宋" w:hAnsi="仿宋" w:cs="仿宋" w:hint="eastAsia"/>
          <w:sz w:val="30"/>
          <w:szCs w:val="30"/>
        </w:rPr>
        <w:t>202</w:t>
      </w:r>
      <w:r w:rsidR="00527BF5">
        <w:rPr>
          <w:rFonts w:ascii="仿宋" w:eastAsia="仿宋" w:hAnsi="仿宋" w:cs="仿宋" w:hint="eastAsia"/>
          <w:sz w:val="30"/>
          <w:szCs w:val="30"/>
        </w:rPr>
        <w:t>4</w:t>
      </w:r>
      <w:r>
        <w:rPr>
          <w:rFonts w:ascii="仿宋" w:eastAsia="仿宋" w:hAnsi="仿宋" w:cs="仿宋" w:hint="eastAsia"/>
          <w:sz w:val="30"/>
          <w:szCs w:val="30"/>
        </w:rPr>
        <w:t>年5月</w:t>
      </w:r>
    </w:p>
    <w:p w:rsidR="00351A37" w:rsidRDefault="00246B10">
      <w:pPr>
        <w:spacing w:line="520" w:lineRule="exact"/>
        <w:rPr>
          <w:rFonts w:ascii="仿宋" w:eastAsia="仿宋" w:hAnsi="仿宋" w:cs="仿宋"/>
          <w:sz w:val="30"/>
          <w:szCs w:val="30"/>
        </w:rPr>
      </w:pPr>
      <w:r>
        <w:rPr>
          <w:rFonts w:ascii="仿宋" w:eastAsia="仿宋" w:hAnsi="仿宋" w:cs="仿宋" w:hint="eastAsia"/>
          <w:sz w:val="30"/>
          <w:szCs w:val="30"/>
        </w:rPr>
        <w:t xml:space="preserve">                                       </w:t>
      </w:r>
    </w:p>
    <w:sectPr w:rsidR="00351A37">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161" w:rsidRDefault="00886161">
      <w:r>
        <w:separator/>
      </w:r>
    </w:p>
  </w:endnote>
  <w:endnote w:type="continuationSeparator" w:id="0">
    <w:p w:rsidR="00886161" w:rsidRDefault="0088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A37" w:rsidRDefault="00351A37">
    <w:pPr>
      <w:pStyle w:val="a3"/>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161" w:rsidRDefault="00886161">
      <w:r>
        <w:separator/>
      </w:r>
    </w:p>
  </w:footnote>
  <w:footnote w:type="continuationSeparator" w:id="0">
    <w:p w:rsidR="00886161" w:rsidRDefault="00886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A37" w:rsidRDefault="00351A37">
    <w:pPr>
      <w:pStyle w:val="a5"/>
      <w:pBdr>
        <w:bottom w:val="none" w:sz="0" w:space="0" w:color="auto"/>
      </w:pBd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AC36EA"/>
    <w:multiLevelType w:val="singleLevel"/>
    <w:tmpl w:val="7AAC36E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FmNDcwNjY2MmVkMTZhMTYyODc0YjUxMTE5NzcwYmMifQ=="/>
  </w:docVars>
  <w:rsids>
    <w:rsidRoot w:val="00AE3E6C"/>
    <w:rsid w:val="00042BD7"/>
    <w:rsid w:val="00051CA7"/>
    <w:rsid w:val="0009757F"/>
    <w:rsid w:val="0011360B"/>
    <w:rsid w:val="00120875"/>
    <w:rsid w:val="001559B2"/>
    <w:rsid w:val="00157D5E"/>
    <w:rsid w:val="001609E0"/>
    <w:rsid w:val="001768AC"/>
    <w:rsid w:val="001C013E"/>
    <w:rsid w:val="001D139C"/>
    <w:rsid w:val="00246B10"/>
    <w:rsid w:val="0028530D"/>
    <w:rsid w:val="00311991"/>
    <w:rsid w:val="00350970"/>
    <w:rsid w:val="00351A37"/>
    <w:rsid w:val="00383159"/>
    <w:rsid w:val="00490873"/>
    <w:rsid w:val="004A0818"/>
    <w:rsid w:val="00527BF5"/>
    <w:rsid w:val="005C18F3"/>
    <w:rsid w:val="005E5CE2"/>
    <w:rsid w:val="00666DDB"/>
    <w:rsid w:val="00717AB3"/>
    <w:rsid w:val="00784B32"/>
    <w:rsid w:val="007F3465"/>
    <w:rsid w:val="008031BD"/>
    <w:rsid w:val="00807F8C"/>
    <w:rsid w:val="00837985"/>
    <w:rsid w:val="00886161"/>
    <w:rsid w:val="008A7D03"/>
    <w:rsid w:val="008D4F27"/>
    <w:rsid w:val="008E2A83"/>
    <w:rsid w:val="00915B66"/>
    <w:rsid w:val="00943EE7"/>
    <w:rsid w:val="00AA1E52"/>
    <w:rsid w:val="00AE3E6C"/>
    <w:rsid w:val="00BC783D"/>
    <w:rsid w:val="00C60C7D"/>
    <w:rsid w:val="00C7224B"/>
    <w:rsid w:val="00C81636"/>
    <w:rsid w:val="00CF1E16"/>
    <w:rsid w:val="00DC6662"/>
    <w:rsid w:val="00DD520D"/>
    <w:rsid w:val="00DD6910"/>
    <w:rsid w:val="00E24583"/>
    <w:rsid w:val="00E55B4B"/>
    <w:rsid w:val="00E86CAF"/>
    <w:rsid w:val="00EC65F8"/>
    <w:rsid w:val="00ED3FB3"/>
    <w:rsid w:val="00F93115"/>
    <w:rsid w:val="00F97688"/>
    <w:rsid w:val="01D57BBF"/>
    <w:rsid w:val="022E0A85"/>
    <w:rsid w:val="03393DEC"/>
    <w:rsid w:val="036449AC"/>
    <w:rsid w:val="0425046D"/>
    <w:rsid w:val="05087233"/>
    <w:rsid w:val="054B04BF"/>
    <w:rsid w:val="086D28BB"/>
    <w:rsid w:val="0B961470"/>
    <w:rsid w:val="0CFD125B"/>
    <w:rsid w:val="0EAF0F08"/>
    <w:rsid w:val="0EF133E5"/>
    <w:rsid w:val="0FF16E57"/>
    <w:rsid w:val="10C3162F"/>
    <w:rsid w:val="113242E6"/>
    <w:rsid w:val="14681A9C"/>
    <w:rsid w:val="156A7591"/>
    <w:rsid w:val="158B1575"/>
    <w:rsid w:val="18F248B6"/>
    <w:rsid w:val="1A3C2267"/>
    <w:rsid w:val="1A6D4075"/>
    <w:rsid w:val="1D1B1C47"/>
    <w:rsid w:val="1D33076D"/>
    <w:rsid w:val="1E596365"/>
    <w:rsid w:val="206614C5"/>
    <w:rsid w:val="228457A7"/>
    <w:rsid w:val="245F5C42"/>
    <w:rsid w:val="24FF41EB"/>
    <w:rsid w:val="292464E4"/>
    <w:rsid w:val="2AD46F12"/>
    <w:rsid w:val="2AE674AF"/>
    <w:rsid w:val="2B57267B"/>
    <w:rsid w:val="2C6A50FE"/>
    <w:rsid w:val="2C7A73F2"/>
    <w:rsid w:val="2D117E22"/>
    <w:rsid w:val="2D485CDC"/>
    <w:rsid w:val="2D5375DD"/>
    <w:rsid w:val="2F6704D8"/>
    <w:rsid w:val="32EF6CE0"/>
    <w:rsid w:val="32FD2138"/>
    <w:rsid w:val="339764DA"/>
    <w:rsid w:val="34924D73"/>
    <w:rsid w:val="3588128E"/>
    <w:rsid w:val="371E3FD3"/>
    <w:rsid w:val="378125BD"/>
    <w:rsid w:val="37A36F31"/>
    <w:rsid w:val="38055F17"/>
    <w:rsid w:val="380C4F77"/>
    <w:rsid w:val="38126ADB"/>
    <w:rsid w:val="38411E3A"/>
    <w:rsid w:val="3A130DA5"/>
    <w:rsid w:val="3D1B437E"/>
    <w:rsid w:val="3E5C201F"/>
    <w:rsid w:val="3EFB73A7"/>
    <w:rsid w:val="408056E0"/>
    <w:rsid w:val="423D594E"/>
    <w:rsid w:val="42B74220"/>
    <w:rsid w:val="42CB6BCE"/>
    <w:rsid w:val="43CF0940"/>
    <w:rsid w:val="44801068"/>
    <w:rsid w:val="45146A73"/>
    <w:rsid w:val="467149E7"/>
    <w:rsid w:val="467907E0"/>
    <w:rsid w:val="46ED07E5"/>
    <w:rsid w:val="476C728B"/>
    <w:rsid w:val="48D4403E"/>
    <w:rsid w:val="4AE43EEF"/>
    <w:rsid w:val="4E3B5681"/>
    <w:rsid w:val="4F393A84"/>
    <w:rsid w:val="50C92E9C"/>
    <w:rsid w:val="519D5F32"/>
    <w:rsid w:val="52615BA5"/>
    <w:rsid w:val="5314510C"/>
    <w:rsid w:val="53A233EA"/>
    <w:rsid w:val="542D39CF"/>
    <w:rsid w:val="5A1415C0"/>
    <w:rsid w:val="5ACD64CF"/>
    <w:rsid w:val="5DAF5E92"/>
    <w:rsid w:val="5EF3680D"/>
    <w:rsid w:val="63530674"/>
    <w:rsid w:val="63912197"/>
    <w:rsid w:val="65311D81"/>
    <w:rsid w:val="66B83981"/>
    <w:rsid w:val="67321B9B"/>
    <w:rsid w:val="6755375D"/>
    <w:rsid w:val="67D5211A"/>
    <w:rsid w:val="698851E1"/>
    <w:rsid w:val="6C871CB0"/>
    <w:rsid w:val="6CAE01F5"/>
    <w:rsid w:val="6CDA330C"/>
    <w:rsid w:val="70B53A9E"/>
    <w:rsid w:val="70F81BCF"/>
    <w:rsid w:val="718C0118"/>
    <w:rsid w:val="723116A3"/>
    <w:rsid w:val="739F76DA"/>
    <w:rsid w:val="73CF010F"/>
    <w:rsid w:val="74D603E1"/>
    <w:rsid w:val="752E6073"/>
    <w:rsid w:val="76133B34"/>
    <w:rsid w:val="767E2A01"/>
    <w:rsid w:val="76B575F1"/>
    <w:rsid w:val="78F67F06"/>
    <w:rsid w:val="795E42D6"/>
    <w:rsid w:val="7AB202F0"/>
    <w:rsid w:val="7B2B2DB1"/>
    <w:rsid w:val="7C1D63E4"/>
    <w:rsid w:val="7D774AE2"/>
    <w:rsid w:val="7EDC12D5"/>
    <w:rsid w:val="7F626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6224D0"/>
  <w15:docId w15:val="{44838DE5-791C-4F96-90D9-76AE2363C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uiPriority w:val="99"/>
    <w:qFormat/>
    <w:pPr>
      <w:spacing w:before="100" w:beforeAutospacing="1" w:after="120" w:line="480" w:lineRule="auto"/>
    </w:pPr>
    <w:rPr>
      <w:sz w:val="30"/>
      <w:szCs w:val="30"/>
    </w:rPr>
  </w:style>
  <w:style w:type="paragraph" w:styleId="a7">
    <w:name w:val="Normal (Web)"/>
    <w:basedOn w:val="a"/>
    <w:uiPriority w:val="99"/>
    <w:qFormat/>
    <w:pPr>
      <w:widowControl/>
      <w:jc w:val="left"/>
    </w:pPr>
    <w:rPr>
      <w:rFonts w:ascii="宋体" w:hAnsi="宋体" w:cs="宋体"/>
      <w:kern w:val="0"/>
      <w:sz w:val="24"/>
      <w:szCs w:val="24"/>
    </w:rPr>
  </w:style>
  <w:style w:type="paragraph" w:styleId="a8">
    <w:name w:val="Title"/>
    <w:basedOn w:val="a"/>
    <w:next w:val="a"/>
    <w:link w:val="a9"/>
    <w:uiPriority w:val="99"/>
    <w:qFormat/>
    <w:pPr>
      <w:spacing w:before="240" w:after="60"/>
      <w:jc w:val="center"/>
      <w:outlineLvl w:val="0"/>
    </w:pPr>
    <w:rPr>
      <w:rFonts w:ascii="Cambria" w:hAnsi="Cambria" w:cs="Cambria"/>
      <w:b/>
      <w:bCs/>
      <w:sz w:val="32"/>
      <w:szCs w:val="32"/>
    </w:rPr>
  </w:style>
  <w:style w:type="character" w:styleId="aa">
    <w:name w:val="Strong"/>
    <w:qFormat/>
    <w:locked/>
    <w:rPr>
      <w:sz w:val="24"/>
      <w:szCs w:val="24"/>
    </w:rPr>
  </w:style>
  <w:style w:type="character" w:styleId="ab">
    <w:name w:val="FollowedHyperlink"/>
    <w:uiPriority w:val="99"/>
    <w:semiHidden/>
    <w:unhideWhenUsed/>
    <w:qFormat/>
    <w:rPr>
      <w:color w:val="333333"/>
      <w:u w:val="none"/>
    </w:rPr>
  </w:style>
  <w:style w:type="character" w:styleId="ac">
    <w:name w:val="Emphasis"/>
    <w:qFormat/>
    <w:locked/>
    <w:rPr>
      <w:sz w:val="24"/>
      <w:szCs w:val="24"/>
    </w:rPr>
  </w:style>
  <w:style w:type="character" w:styleId="ad">
    <w:name w:val="Hyperlink"/>
    <w:uiPriority w:val="99"/>
    <w:semiHidden/>
    <w:unhideWhenUsed/>
    <w:qFormat/>
    <w:rPr>
      <w:color w:val="333333"/>
      <w:u w:val="none"/>
    </w:rPr>
  </w:style>
  <w:style w:type="character" w:customStyle="1" w:styleId="a9">
    <w:name w:val="标题 字符"/>
    <w:link w:val="a8"/>
    <w:uiPriority w:val="99"/>
    <w:qFormat/>
    <w:locked/>
    <w:rPr>
      <w:rFonts w:ascii="Cambria" w:eastAsia="宋体" w:hAnsi="Cambria" w:cs="Cambria"/>
      <w:b/>
      <w:bCs/>
      <w:sz w:val="32"/>
      <w:szCs w:val="32"/>
    </w:rPr>
  </w:style>
  <w:style w:type="character" w:customStyle="1" w:styleId="a6">
    <w:name w:val="页眉 字符"/>
    <w:link w:val="a5"/>
    <w:uiPriority w:val="99"/>
    <w:semiHidden/>
    <w:qFormat/>
    <w:locked/>
    <w:rPr>
      <w:sz w:val="18"/>
      <w:szCs w:val="18"/>
    </w:rPr>
  </w:style>
  <w:style w:type="character" w:customStyle="1" w:styleId="a4">
    <w:name w:val="页脚 字符"/>
    <w:link w:val="a3"/>
    <w:uiPriority w:val="99"/>
    <w:semiHidden/>
    <w:qFormat/>
    <w:locked/>
    <w:rPr>
      <w:sz w:val="18"/>
      <w:szCs w:val="18"/>
    </w:rPr>
  </w:style>
  <w:style w:type="character" w:customStyle="1" w:styleId="wx-space">
    <w:name w:val="wx-space"/>
    <w:basedOn w:val="a0"/>
    <w:qFormat/>
  </w:style>
  <w:style w:type="character" w:customStyle="1" w:styleId="wx-space1">
    <w:name w:val="wx-space1"/>
    <w:basedOn w:val="a0"/>
    <w:qFormat/>
  </w:style>
  <w:style w:type="character" w:customStyle="1" w:styleId="hover25">
    <w:name w:val="hover25"/>
    <w:qFormat/>
    <w:rPr>
      <w:color w:val="000000"/>
      <w:shd w:val="clear" w:color="auto" w:fill="FFFFFF"/>
    </w:rPr>
  </w:style>
  <w:style w:type="character" w:customStyle="1" w:styleId="bsharetext">
    <w:name w:val="bsharetext"/>
    <w:basedOn w:val="a0"/>
    <w:qFormat/>
  </w:style>
  <w:style w:type="character" w:customStyle="1" w:styleId="before4">
    <w:name w:val="before4"/>
    <w:qFormat/>
    <w:rPr>
      <w:bdr w:val="single" w:sz="36" w:space="0" w:color="0466C7"/>
    </w:rPr>
  </w:style>
  <w:style w:type="character" w:customStyle="1" w:styleId="hover24">
    <w:name w:val="hover24"/>
    <w:qFormat/>
    <w:rPr>
      <w:color w:val="000000"/>
      <w:shd w:val="clear" w:color="auto" w:fill="FFFFFF"/>
    </w:rPr>
  </w:style>
  <w:style w:type="paragraph" w:styleId="ae">
    <w:name w:val="Balloon Text"/>
    <w:basedOn w:val="a"/>
    <w:link w:val="af"/>
    <w:uiPriority w:val="99"/>
    <w:semiHidden/>
    <w:unhideWhenUsed/>
    <w:rsid w:val="00DC6662"/>
    <w:rPr>
      <w:sz w:val="18"/>
      <w:szCs w:val="18"/>
    </w:rPr>
  </w:style>
  <w:style w:type="character" w:customStyle="1" w:styleId="af">
    <w:name w:val="批注框文本 字符"/>
    <w:link w:val="ae"/>
    <w:uiPriority w:val="99"/>
    <w:semiHidden/>
    <w:rsid w:val="00DC6662"/>
    <w:rPr>
      <w:rFonts w:ascii="Calibri"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1036</Words>
  <Characters>5909</Characters>
  <Application>Microsoft Office Word</Application>
  <DocSecurity>0</DocSecurity>
  <Lines>49</Lines>
  <Paragraphs>13</Paragraphs>
  <ScaleCrop>false</ScaleCrop>
  <Company>微软中国</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22</cp:revision>
  <cp:lastPrinted>2024-05-27T07:46:00Z</cp:lastPrinted>
  <dcterms:created xsi:type="dcterms:W3CDTF">2018-09-29T04:34:00Z</dcterms:created>
  <dcterms:modified xsi:type="dcterms:W3CDTF">2024-05-27T07:46:00Z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E97EFB10006E4E188966181AFAD7518D</vt:lpwstr>
  </property>
</Properties>
</file>