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2023</w:t>
      </w:r>
      <w:r>
        <w:rPr>
          <w:rFonts w:hint="eastAsia" w:ascii="方正小标宋简体" w:hAnsi="方正小标宋简体" w:eastAsia="方正小标宋简体" w:cs="方正小标宋简体"/>
          <w:sz w:val="48"/>
          <w:szCs w:val="48"/>
        </w:rPr>
        <w:t>年度</w:t>
      </w:r>
      <w:r>
        <w:rPr>
          <w:rFonts w:hint="eastAsia" w:ascii="方正小标宋简体" w:hAnsi="方正小标宋简体" w:eastAsia="方正小标宋简体" w:cs="方正小标宋简体"/>
          <w:sz w:val="48"/>
          <w:szCs w:val="48"/>
          <w:lang w:val="en-US" w:eastAsia="zh-CN"/>
        </w:rPr>
        <w:t>张家塞乡</w:t>
      </w:r>
      <w:r>
        <w:rPr>
          <w:rFonts w:hint="eastAsia" w:ascii="方正小标宋简体" w:hAnsi="方正小标宋简体" w:eastAsia="方正小标宋简体" w:cs="方正小标宋简体"/>
          <w:sz w:val="48"/>
          <w:szCs w:val="48"/>
        </w:rPr>
        <w:t>整体支出</w:t>
      </w: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both"/>
        <w:rPr>
          <w:rFonts w:hint="eastAsia" w:ascii="仿宋" w:hAnsi="仿宋" w:eastAsia="仿宋" w:cs="仿宋"/>
          <w:sz w:val="44"/>
          <w:szCs w:val="44"/>
          <w:lang w:eastAsia="zh-CN"/>
        </w:rPr>
      </w:pPr>
    </w:p>
    <w:p>
      <w:pPr>
        <w:pStyle w:val="2"/>
        <w:rPr>
          <w:rFonts w:hint="eastAsia"/>
          <w:lang w:eastAsia="zh-CN"/>
        </w:rPr>
      </w:pPr>
    </w:p>
    <w:p>
      <w:pPr>
        <w:ind w:firstLine="872" w:firstLineChars="200"/>
        <w:jc w:val="center"/>
        <w:rPr>
          <w:rFonts w:hint="eastAsia" w:ascii="仿宋" w:hAnsi="仿宋" w:eastAsia="仿宋" w:cs="仿宋"/>
          <w:sz w:val="44"/>
          <w:szCs w:val="44"/>
        </w:rPr>
      </w:pPr>
    </w:p>
    <w:p>
      <w:pPr>
        <w:ind w:firstLine="712" w:firstLineChars="200"/>
        <w:jc w:val="both"/>
        <w:rPr>
          <w:rFonts w:hint="eastAsia" w:ascii="仿宋" w:hAnsi="仿宋" w:eastAsia="仿宋" w:cs="仿宋"/>
          <w:sz w:val="36"/>
          <w:szCs w:val="36"/>
          <w:lang w:eastAsia="zh-CN"/>
        </w:rPr>
      </w:pPr>
    </w:p>
    <w:p>
      <w:pPr>
        <w:ind w:firstLine="712" w:firstLineChars="200"/>
        <w:jc w:val="both"/>
        <w:rPr>
          <w:rFonts w:hint="eastAsia" w:ascii="仿宋" w:hAnsi="仿宋" w:eastAsia="仿宋" w:cs="仿宋"/>
          <w:sz w:val="36"/>
          <w:szCs w:val="36"/>
          <w:lang w:eastAsia="zh-CN"/>
        </w:rPr>
      </w:pPr>
    </w:p>
    <w:p>
      <w:pPr>
        <w:ind w:firstLine="712" w:firstLineChars="200"/>
        <w:jc w:val="both"/>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lang w:val="en-US" w:eastAsia="zh-CN"/>
        </w:rPr>
        <w:t xml:space="preserve">    张家塞乡人民政府   </w:t>
      </w:r>
    </w:p>
    <w:p>
      <w:pPr>
        <w:ind w:firstLine="3204" w:firstLineChars="900"/>
        <w:jc w:val="both"/>
        <w:rPr>
          <w:rFonts w:hint="eastAsia" w:ascii="仿宋" w:hAnsi="仿宋" w:eastAsia="仿宋" w:cs="仿宋"/>
          <w:sz w:val="36"/>
          <w:szCs w:val="36"/>
          <w:u w:val="none"/>
          <w:lang w:val="en-US" w:eastAsia="zh-CN"/>
        </w:rPr>
      </w:pPr>
    </w:p>
    <w:p>
      <w:pPr>
        <w:jc w:val="center"/>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2024年 5 月 22 日</w:t>
      </w:r>
    </w:p>
    <w:p>
      <w:pPr>
        <w:jc w:val="center"/>
        <w:rPr>
          <w:rFonts w:hint="eastAsia" w:ascii="仿宋" w:hAnsi="仿宋" w:eastAsia="仿宋" w:cs="仿宋"/>
          <w:sz w:val="32"/>
          <w:szCs w:val="32"/>
        </w:rPr>
      </w:pP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2"/>
        <w:ind w:left="0" w:leftChars="0" w:firstLine="0" w:firstLineChars="0"/>
        <w:rPr>
          <w:rFonts w:hint="eastAsia"/>
          <w:lang w:val="en-US" w:eastAsia="zh-CN"/>
        </w:rPr>
      </w:pPr>
    </w:p>
    <w:p>
      <w:pPr>
        <w:keepNext w:val="0"/>
        <w:keepLines w:val="0"/>
        <w:pageBreakBefore w:val="0"/>
        <w:kinsoku/>
        <w:wordWrap/>
        <w:overflowPunct/>
        <w:topLinePunct w:val="0"/>
        <w:autoSpaceDE/>
        <w:bidi w:val="0"/>
        <w:adjustRightInd/>
        <w:snapToGrid/>
        <w:spacing w:line="600" w:lineRule="exact"/>
        <w:jc w:val="center"/>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b/>
          <w:bCs/>
          <w:kern w:val="0"/>
          <w:sz w:val="44"/>
          <w:szCs w:val="44"/>
          <w:lang w:val="en-US" w:eastAsia="zh-CN" w:bidi="ar-SA"/>
        </w:rPr>
        <w:t>2023年度张家塞乡整体支出绩效自评报告</w:t>
      </w:r>
    </w:p>
    <w:p>
      <w:pPr>
        <w:keepNext w:val="0"/>
        <w:keepLines w:val="0"/>
        <w:pageBreakBefore w:val="0"/>
        <w:widowControl/>
        <w:kinsoku/>
        <w:wordWrap/>
        <w:overflowPunct/>
        <w:topLinePunct w:val="0"/>
        <w:autoSpaceDE/>
        <w:autoSpaceDN w:val="0"/>
        <w:bidi w:val="0"/>
        <w:adjustRightInd/>
        <w:snapToGrid/>
        <w:spacing w:line="600" w:lineRule="exact"/>
        <w:ind w:firstLine="640"/>
        <w:rPr>
          <w:rFonts w:hint="eastAsia" w:ascii="仿宋" w:hAnsi="仿宋" w:eastAsia="仿宋" w:cs="仿宋"/>
          <w:lang w:val="en-US" w:eastAsia="zh-CN"/>
        </w:rPr>
      </w:pPr>
    </w:p>
    <w:p>
      <w:pPr>
        <w:keepNext w:val="0"/>
        <w:keepLines w:val="0"/>
        <w:pageBreakBefore w:val="0"/>
        <w:widowControl/>
        <w:kinsoku/>
        <w:wordWrap/>
        <w:overflowPunct/>
        <w:topLinePunct w:val="0"/>
        <w:autoSpaceDE/>
        <w:autoSpaceDN w:val="0"/>
        <w:bidi w:val="0"/>
        <w:adjustRightInd/>
        <w:snapToGrid/>
        <w:spacing w:line="600" w:lineRule="exact"/>
        <w:ind w:firstLine="640"/>
        <w:rPr>
          <w:rFonts w:hint="eastAsia" w:ascii="黑体" w:hAnsi="黑体" w:eastAsia="黑体" w:cs="宋体"/>
          <w:color w:val="000000"/>
          <w:kern w:val="0"/>
          <w:sz w:val="32"/>
          <w:szCs w:val="32"/>
        </w:rPr>
      </w:pPr>
      <w:r>
        <w:rPr>
          <w:rFonts w:hint="eastAsia" w:ascii="仿宋" w:hAnsi="仿宋" w:eastAsia="仿宋" w:cs="仿宋"/>
          <w:lang w:val="en-US" w:eastAsia="zh-CN"/>
        </w:rPr>
        <w:t>为加强财政资金管理，强化支出责任，提高财政资金的使用效益，建立科学、合理的财政支出绩效评价管理体系，根据《益阳市资阳区财政局关于开展2023年度区级预算部门绩效自评和部门评价工作的通知</w:t>
      </w:r>
      <w:r>
        <w:rPr>
          <w:rFonts w:hint="eastAsia" w:ascii="仿宋" w:hAnsi="仿宋" w:cs="仿宋"/>
          <w:lang w:val="en-US" w:eastAsia="zh-CN"/>
        </w:rPr>
        <w:t>》，</w:t>
      </w:r>
      <w:r>
        <w:rPr>
          <w:rFonts w:hint="eastAsia" w:ascii="仿宋" w:hAnsi="仿宋" w:eastAsia="仿宋" w:cs="仿宋"/>
          <w:lang w:val="en-US" w:eastAsia="zh-CN"/>
        </w:rPr>
        <w:t>我单位组织力量对本单位的部门预算整体支出进行了绩效评价，本次评价遵循了“科学规范、公正公开、分类管理、绩效相关”的原则，运用科学、合理的绩效评价方法，对本单位202</w:t>
      </w:r>
      <w:r>
        <w:rPr>
          <w:rFonts w:hint="eastAsia" w:ascii="仿宋" w:hAnsi="仿宋" w:cs="仿宋"/>
          <w:lang w:val="en-US" w:eastAsia="zh-CN"/>
        </w:rPr>
        <w:t>3</w:t>
      </w:r>
      <w:r>
        <w:rPr>
          <w:rFonts w:hint="eastAsia" w:ascii="仿宋" w:hAnsi="仿宋" w:eastAsia="仿宋" w:cs="仿宋"/>
          <w:lang w:val="en-US" w:eastAsia="zh-CN"/>
        </w:rPr>
        <w:t>度预算绩效情况进行客观、公正的评价。现将情况报告如下：</w:t>
      </w:r>
    </w:p>
    <w:p>
      <w:pPr>
        <w:keepNext w:val="0"/>
        <w:keepLines w:val="0"/>
        <w:pageBreakBefore w:val="0"/>
        <w:widowControl/>
        <w:kinsoku/>
        <w:wordWrap/>
        <w:overflowPunct/>
        <w:topLinePunct w:val="0"/>
        <w:autoSpaceDE/>
        <w:autoSpaceDN w:val="0"/>
        <w:bidi w:val="0"/>
        <w:adjustRightInd/>
        <w:snapToGrid/>
        <w:spacing w:line="600" w:lineRule="exact"/>
        <w:ind w:firstLine="64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keepNext w:val="0"/>
        <w:keepLines w:val="0"/>
        <w:pageBreakBefore w:val="0"/>
        <w:kinsoku/>
        <w:wordWrap/>
        <w:overflowPunct/>
        <w:topLinePunct w:val="0"/>
        <w:autoSpaceDE/>
        <w:bidi w:val="0"/>
        <w:adjustRightInd/>
        <w:snapToGrid/>
        <w:spacing w:line="600" w:lineRule="exact"/>
        <w:ind w:firstLine="620"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（一）2023年度重点工作计划</w:t>
      </w:r>
      <w:r>
        <w:rPr>
          <w:rFonts w:hint="eastAsia" w:ascii="仿宋_GB2312" w:hAnsi="仿宋_GB2312" w:cs="仿宋_GB2312"/>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1.增强基础工作，服务全乡经济发展</w:t>
      </w:r>
      <w:r>
        <w:rPr>
          <w:rFonts w:hint="eastAsia" w:ascii="仿宋_GB2312" w:hAnsi="仿宋_GB2312" w:cs="仿宋_GB2312"/>
          <w:b/>
          <w:bCs/>
          <w:kern w:val="0"/>
          <w:sz w:val="32"/>
          <w:szCs w:val="32"/>
          <w:lang w:val="en-US" w:eastAsia="zh-CN" w:bidi="ar-SA"/>
        </w:rPr>
        <w:t>。</w:t>
      </w:r>
      <w:r>
        <w:rPr>
          <w:rFonts w:hint="eastAsia" w:ascii="楷体" w:hAnsi="楷体" w:eastAsia="楷体" w:cs="楷体"/>
          <w:b w:val="0"/>
          <w:bCs w:val="0"/>
          <w:sz w:val="32"/>
          <w:szCs w:val="32"/>
          <w:lang w:val="en-US" w:eastAsia="zh-CN"/>
        </w:rPr>
        <w:t>一是认真执行财务管理制度</w:t>
      </w:r>
      <w:r>
        <w:rPr>
          <w:rFonts w:hint="eastAsia" w:ascii="仿宋_GB2312" w:hAnsi="仿宋_GB2312" w:eastAsia="仿宋_GB2312" w:cs="仿宋_GB2312"/>
          <w:b w:val="0"/>
          <w:bCs w:val="0"/>
          <w:sz w:val="32"/>
          <w:szCs w:val="32"/>
          <w:lang w:val="en-US" w:eastAsia="zh-CN"/>
        </w:rPr>
        <w:t>，确保人员经费支出，确保日常经费支出，确保不负债，确保收支平衡。</w:t>
      </w:r>
      <w:r>
        <w:rPr>
          <w:rFonts w:hint="eastAsia" w:ascii="楷体" w:hAnsi="楷体" w:eastAsia="楷体" w:cs="楷体"/>
          <w:b w:val="0"/>
          <w:bCs w:val="0"/>
          <w:sz w:val="32"/>
          <w:szCs w:val="32"/>
          <w:lang w:val="en-US" w:eastAsia="zh-CN"/>
        </w:rPr>
        <w:t>二是做好年度预决算工作</w:t>
      </w:r>
      <w:r>
        <w:rPr>
          <w:rFonts w:hint="eastAsia" w:ascii="仿宋_GB2312" w:hAnsi="仿宋_GB2312" w:eastAsia="仿宋_GB2312" w:cs="仿宋_GB2312"/>
          <w:b w:val="0"/>
          <w:bCs w:val="0"/>
          <w:sz w:val="32"/>
          <w:szCs w:val="32"/>
          <w:lang w:val="en-US" w:eastAsia="zh-CN"/>
        </w:rPr>
        <w:t>，预算工作本着可观真实的原则，做到符合实际，可操作性强。决算工作本着严肃认真的原则，做到报送及时，数字准确，资料全面。</w:t>
      </w:r>
      <w:r>
        <w:rPr>
          <w:rFonts w:hint="eastAsia" w:ascii="楷体" w:hAnsi="楷体" w:eastAsia="楷体" w:cs="楷体"/>
          <w:b w:val="0"/>
          <w:bCs w:val="0"/>
          <w:sz w:val="32"/>
          <w:szCs w:val="32"/>
          <w:lang w:val="en-US" w:eastAsia="zh-CN"/>
        </w:rPr>
        <w:t>三是加强资金流程监管</w:t>
      </w:r>
      <w:r>
        <w:rPr>
          <w:rFonts w:hint="eastAsia" w:ascii="仿宋_GB2312" w:hAnsi="仿宋_GB2312" w:eastAsia="仿宋_GB2312" w:cs="仿宋_GB2312"/>
          <w:b w:val="0"/>
          <w:bCs w:val="0"/>
          <w:sz w:val="32"/>
          <w:szCs w:val="32"/>
          <w:lang w:val="en-US" w:eastAsia="zh-CN"/>
        </w:rPr>
        <w:t>，建立健全财政资金审核、拨付、使用流程的监督管理，进一步加强和规范财政专项资金监督管理，促进全乡经济又快又好发展。</w:t>
      </w:r>
      <w:r>
        <w:rPr>
          <w:rFonts w:hint="eastAsia" w:ascii="楷体" w:hAnsi="楷体" w:eastAsia="楷体" w:cs="楷体"/>
          <w:b w:val="0"/>
          <w:bCs w:val="0"/>
          <w:sz w:val="32"/>
          <w:szCs w:val="32"/>
          <w:lang w:val="en-US" w:eastAsia="zh-CN"/>
        </w:rPr>
        <w:t>四是完善村账乡管</w:t>
      </w:r>
      <w:r>
        <w:rPr>
          <w:rFonts w:hint="eastAsia" w:ascii="仿宋_GB2312" w:hAnsi="仿宋_GB2312" w:eastAsia="仿宋_GB2312" w:cs="仿宋_GB2312"/>
          <w:b w:val="0"/>
          <w:bCs w:val="0"/>
          <w:sz w:val="32"/>
          <w:szCs w:val="32"/>
          <w:lang w:val="en-US" w:eastAsia="zh-CN"/>
        </w:rPr>
        <w:t>，加强村级资金和账务的管理，使村级财政和账务管理走上良性循环的轨道。以</w:t>
      </w:r>
      <w:r>
        <w:rPr>
          <w:rFonts w:hint="eastAsia" w:ascii="仿宋_GB2312" w:hAnsi="仿宋_GB2312" w:eastAsia="仿宋_GB2312" w:cs="仿宋_GB2312"/>
          <w:sz w:val="32"/>
          <w:szCs w:val="32"/>
          <w:lang w:val="en-US" w:eastAsia="zh-CN"/>
        </w:rPr>
        <w:t>规范日常管理为基础，建立健全财政基础工作，进一步强化依法理财、依法行政、规范运转的工作秩序。</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32"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b/>
          <w:bCs/>
          <w:kern w:val="0"/>
          <w:sz w:val="32"/>
          <w:szCs w:val="32"/>
          <w:lang w:val="en-US" w:eastAsia="zh-CN" w:bidi="ar-SA"/>
        </w:rPr>
        <w:t>2.</w:t>
      </w:r>
      <w:r>
        <w:rPr>
          <w:rFonts w:hint="eastAsia" w:ascii="仿宋_GB2312" w:hAnsi="仿宋_GB2312" w:eastAsia="仿宋_GB2312" w:cs="仿宋_GB2312"/>
          <w:b/>
          <w:bCs/>
          <w:kern w:val="0"/>
          <w:sz w:val="32"/>
          <w:szCs w:val="32"/>
          <w:lang w:val="en-US" w:eastAsia="zh-CN" w:bidi="ar-SA"/>
        </w:rPr>
        <w:t>优化支出结构，合理安排财政支出</w:t>
      </w:r>
      <w:r>
        <w:rPr>
          <w:rFonts w:hint="eastAsia" w:ascii="仿宋_GB2312" w:hAnsi="仿宋_GB2312" w:cs="仿宋_GB2312"/>
          <w:b/>
          <w:bCs/>
          <w:kern w:val="0"/>
          <w:sz w:val="32"/>
          <w:szCs w:val="32"/>
          <w:lang w:val="en-US" w:eastAsia="zh-CN" w:bidi="ar-SA"/>
        </w:rPr>
        <w:t>。</w:t>
      </w:r>
      <w:r>
        <w:rPr>
          <w:rFonts w:hint="eastAsia" w:ascii="仿宋_GB2312" w:hAnsi="仿宋_GB2312" w:eastAsia="仿宋_GB2312" w:cs="仿宋_GB2312"/>
          <w:sz w:val="32"/>
          <w:szCs w:val="32"/>
          <w:lang w:val="en-US" w:eastAsia="zh-CN"/>
        </w:rPr>
        <w:t>在支出安排上，认真贯彻落实中央八项规定，牢固树立“过紧日子”的思想，从严控制一般性开支，切实降低行政运行成本，科学运筹资金，在保工资、保运转的同时，确保各项重点支出和民生政策的落实，进一步加强财政管理，提高财政绩效，努力提高财政资金使用效益，增强财政综合保障能力，</w:t>
      </w:r>
      <w:r>
        <w:rPr>
          <w:rFonts w:hint="eastAsia" w:ascii="仿宋_GB2312" w:hAnsi="仿宋_GB2312" w:eastAsia="仿宋_GB2312" w:cs="仿宋_GB2312"/>
          <w:sz w:val="32"/>
          <w:szCs w:val="32"/>
        </w:rPr>
        <w:t>力求</w:t>
      </w:r>
      <w:r>
        <w:rPr>
          <w:rFonts w:hint="eastAsia" w:ascii="仿宋_GB2312" w:hAnsi="仿宋_GB2312" w:eastAsia="仿宋_GB2312" w:cs="仿宋_GB2312"/>
          <w:sz w:val="32"/>
          <w:szCs w:val="32"/>
          <w:lang w:val="en-US" w:eastAsia="zh-CN"/>
        </w:rPr>
        <w:t>用好</w:t>
      </w:r>
      <w:r>
        <w:rPr>
          <w:rFonts w:hint="eastAsia" w:ascii="仿宋_GB2312" w:hAnsi="仿宋_GB2312" w:eastAsia="仿宋_GB2312" w:cs="仿宋_GB2312"/>
          <w:sz w:val="32"/>
          <w:szCs w:val="32"/>
        </w:rPr>
        <w:t>每一分钱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让</w:t>
      </w:r>
      <w:r>
        <w:rPr>
          <w:rFonts w:hint="eastAsia" w:ascii="仿宋_GB2312" w:hAnsi="仿宋_GB2312" w:eastAsia="仿宋_GB2312" w:cs="仿宋_GB2312"/>
          <w:sz w:val="32"/>
          <w:szCs w:val="32"/>
        </w:rPr>
        <w:t>每一份资源都发挥作用,创造价值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今年我乡“三公经费”等较去年持续下降，为打造节约型政府奠定了良好的基础。</w:t>
      </w:r>
    </w:p>
    <w:p>
      <w:pPr>
        <w:keepNext w:val="0"/>
        <w:keepLines w:val="0"/>
        <w:pageBreakBefore w:val="0"/>
        <w:kinsoku/>
        <w:wordWrap/>
        <w:overflowPunct/>
        <w:topLinePunct w:val="0"/>
        <w:autoSpaceDE/>
        <w:bidi w:val="0"/>
        <w:adjustRightInd/>
        <w:snapToGrid/>
        <w:spacing w:line="600" w:lineRule="exact"/>
        <w:ind w:firstLine="632" w:firstLineChars="200"/>
        <w:rPr>
          <w:rFonts w:hint="eastAsia" w:ascii="仿宋_GB2312" w:hAnsi="仿宋_GB2312" w:eastAsia="仿宋_GB2312" w:cs="仿宋_GB2312"/>
          <w:b/>
          <w:bCs/>
          <w:kern w:val="0"/>
          <w:sz w:val="32"/>
          <w:szCs w:val="32"/>
          <w:lang w:val="en-US" w:eastAsia="zh-CN" w:bidi="ar-SA"/>
        </w:rPr>
      </w:pPr>
      <w:r>
        <w:rPr>
          <w:rFonts w:hint="eastAsia" w:ascii="仿宋_GB2312" w:hAnsi="仿宋_GB2312" w:cs="仿宋_GB2312"/>
          <w:b/>
          <w:bCs/>
          <w:kern w:val="0"/>
          <w:sz w:val="32"/>
          <w:szCs w:val="32"/>
          <w:lang w:val="en-US" w:eastAsia="zh-CN" w:bidi="ar-SA"/>
        </w:rPr>
        <w:t>3.</w:t>
      </w:r>
      <w:r>
        <w:rPr>
          <w:rFonts w:hint="eastAsia" w:ascii="仿宋_GB2312" w:hAnsi="仿宋_GB2312" w:eastAsia="仿宋_GB2312" w:cs="仿宋_GB2312"/>
          <w:b/>
          <w:bCs/>
          <w:kern w:val="0"/>
          <w:sz w:val="32"/>
          <w:szCs w:val="32"/>
          <w:lang w:val="en-US" w:eastAsia="zh-CN" w:bidi="ar-SA"/>
        </w:rPr>
        <w:t>强化资金监管，确保重点项目推进</w:t>
      </w:r>
      <w:r>
        <w:rPr>
          <w:rFonts w:hint="eastAsia" w:ascii="仿宋_GB2312" w:hAnsi="仿宋_GB2312" w:cs="仿宋_GB2312"/>
          <w:b/>
          <w:bCs/>
          <w:kern w:val="0"/>
          <w:sz w:val="32"/>
          <w:szCs w:val="32"/>
          <w:lang w:val="en-US" w:eastAsia="zh-CN" w:bidi="ar-SA"/>
        </w:rPr>
        <w:t>。</w:t>
      </w:r>
      <w:r>
        <w:rPr>
          <w:rFonts w:hint="eastAsia" w:ascii="仿宋_GB2312" w:hAnsi="仿宋_GB2312" w:eastAsia="仿宋_GB2312" w:cs="仿宋_GB2312"/>
          <w:sz w:val="32"/>
          <w:szCs w:val="32"/>
          <w:lang w:val="en-US" w:eastAsia="zh-CN"/>
        </w:rPr>
        <w:t>乡财政所坚持“抓规范管理就是抓资金投入、就是抓资金使用效益、就是抓资金安全”的理财观念，对原有的专项财政资金管理进行全面梳理，对今年的“六个一”建设项目、公益性公墓项目、乡村振兴项目等专项资金严格把控严格管理，专人跟踪办理项目的进度和资金的使用，严格按照工程进度进行拨款，确保了资金的安全使用和项目的顺利实施。</w:t>
      </w:r>
    </w:p>
    <w:p>
      <w:pPr>
        <w:keepNext w:val="0"/>
        <w:keepLines w:val="0"/>
        <w:pageBreakBefore w:val="0"/>
        <w:kinsoku/>
        <w:wordWrap/>
        <w:overflowPunct/>
        <w:topLinePunct w:val="0"/>
        <w:autoSpaceDE/>
        <w:bidi w:val="0"/>
        <w:adjustRightInd/>
        <w:snapToGrid/>
        <w:spacing w:line="600" w:lineRule="exact"/>
        <w:ind w:firstLine="632" w:firstLineChars="200"/>
        <w:rPr>
          <w:rFonts w:hint="eastAsia" w:ascii="仿宋_GB2312" w:hAnsi="仿宋_GB2312" w:eastAsia="仿宋_GB2312" w:cs="仿宋_GB2312"/>
          <w:b/>
          <w:bCs/>
          <w:kern w:val="0"/>
          <w:sz w:val="32"/>
          <w:szCs w:val="32"/>
          <w:lang w:val="en-US" w:eastAsia="zh-CN" w:bidi="ar-SA"/>
        </w:rPr>
      </w:pPr>
      <w:r>
        <w:rPr>
          <w:rFonts w:hint="eastAsia" w:ascii="仿宋_GB2312" w:hAnsi="仿宋_GB2312" w:cs="仿宋_GB2312"/>
          <w:b/>
          <w:bCs/>
          <w:kern w:val="0"/>
          <w:sz w:val="32"/>
          <w:szCs w:val="32"/>
          <w:lang w:val="en-US" w:eastAsia="zh-CN" w:bidi="ar-SA"/>
        </w:rPr>
        <w:t>4.</w:t>
      </w:r>
      <w:r>
        <w:rPr>
          <w:rFonts w:hint="eastAsia" w:ascii="仿宋_GB2312" w:hAnsi="仿宋_GB2312" w:eastAsia="仿宋_GB2312" w:cs="仿宋_GB2312"/>
          <w:b/>
          <w:bCs/>
          <w:kern w:val="0"/>
          <w:sz w:val="32"/>
          <w:szCs w:val="32"/>
          <w:lang w:val="en-US" w:eastAsia="zh-CN" w:bidi="ar-SA"/>
        </w:rPr>
        <w:t>落实惠民政策，促进和谐农村建设</w:t>
      </w:r>
      <w:r>
        <w:rPr>
          <w:rFonts w:hint="eastAsia" w:ascii="仿宋_GB2312" w:hAnsi="仿宋_GB2312" w:cs="仿宋_GB2312"/>
          <w:b/>
          <w:bCs/>
          <w:kern w:val="0"/>
          <w:sz w:val="32"/>
          <w:szCs w:val="32"/>
          <w:lang w:val="en-US" w:eastAsia="zh-CN" w:bidi="ar-SA"/>
        </w:rPr>
        <w:t>。</w:t>
      </w:r>
      <w:r>
        <w:rPr>
          <w:rFonts w:hint="eastAsia" w:ascii="仿宋_GB2312" w:hAnsi="仿宋_GB2312" w:eastAsia="仿宋_GB2312" w:cs="仿宋_GB2312"/>
          <w:sz w:val="32"/>
          <w:szCs w:val="32"/>
          <w:lang w:val="en-US" w:eastAsia="zh-CN"/>
        </w:rPr>
        <w:t>严格执行国家惠农政策，扎实有效做好对农民各项直补工作。在粮食直补发放工作中，我们严格按规范操作，认真核实补贴面积，及时上报数据，直补资金足额通过“一卡通”付到农户，同时保障各村（社区）村干部、便民服务员、辅警和离退休村干部的工资经一卡通按月发放。针对农村五保、低保及民政抚恤工作，及时跟进，从申报到资金发放全程监督，确保将国家的财政惠农政策落实到最需要的农户手中，农村低保、五保、优抚对象等弱势群体生活得到有效保障，让公共财政的阳光普照千家万户。</w:t>
      </w:r>
    </w:p>
    <w:p>
      <w:pPr>
        <w:keepNext w:val="0"/>
        <w:keepLines w:val="0"/>
        <w:pageBreakBefore w:val="0"/>
        <w:kinsoku/>
        <w:wordWrap/>
        <w:overflowPunct/>
        <w:topLinePunct w:val="0"/>
        <w:autoSpaceDE/>
        <w:bidi w:val="0"/>
        <w:adjustRightInd/>
        <w:snapToGrid/>
        <w:spacing w:line="600" w:lineRule="exact"/>
        <w:ind w:firstLine="620" w:firstLineChars="196"/>
        <w:rPr>
          <w:rFonts w:hint="eastAsia" w:ascii="黑体" w:hAnsi="黑体" w:eastAsia="黑体" w:cs="黑体"/>
          <w:b w:val="0"/>
          <w:bCs w:val="0"/>
          <w:color w:val="000000"/>
          <w:kern w:val="0"/>
          <w:sz w:val="32"/>
          <w:szCs w:val="32"/>
        </w:rPr>
      </w:pPr>
      <w:r>
        <w:rPr>
          <w:rFonts w:hint="eastAsia" w:ascii="仿宋_GB2312" w:hAnsi="仿宋_GB2312" w:eastAsia="仿宋_GB2312" w:cs="仿宋_GB2312"/>
          <w:kern w:val="0"/>
          <w:sz w:val="32"/>
          <w:szCs w:val="32"/>
          <w:lang w:val="en-US" w:eastAsia="zh-CN" w:bidi="ar-SA"/>
        </w:rPr>
        <w:t>（二）</w:t>
      </w:r>
      <w:r>
        <w:rPr>
          <w:rFonts w:hint="eastAsia" w:ascii="仿宋_GB2312" w:hAnsi="仿宋_GB2312" w:cs="仿宋_GB2312"/>
          <w:kern w:val="0"/>
          <w:sz w:val="32"/>
          <w:szCs w:val="32"/>
          <w:lang w:val="en-US" w:eastAsia="zh-CN" w:bidi="ar-SA"/>
        </w:rPr>
        <w:t>2023</w:t>
      </w:r>
      <w:r>
        <w:rPr>
          <w:rFonts w:hint="eastAsia" w:ascii="仿宋_GB2312" w:hAnsi="仿宋_GB2312" w:eastAsia="仿宋_GB2312" w:cs="仿宋_GB2312"/>
          <w:kern w:val="0"/>
          <w:sz w:val="32"/>
          <w:szCs w:val="32"/>
          <w:lang w:val="en-US" w:eastAsia="zh-CN" w:bidi="ar-SA"/>
        </w:rPr>
        <w:t>年度部门整体支出预算申请</w:t>
      </w:r>
      <w:r>
        <w:rPr>
          <w:rFonts w:hint="eastAsia" w:ascii="仿宋_GB2312" w:hAnsi="仿宋_GB2312" w:cs="仿宋_GB2312"/>
          <w:kern w:val="0"/>
          <w:sz w:val="32"/>
          <w:szCs w:val="32"/>
          <w:lang w:val="en-US" w:eastAsia="zh-CN" w:bidi="ar-SA"/>
        </w:rPr>
        <w:t>416.86万元，主要用于保障本单位人员工资福利待遇，本单位各部门各项工作开展以及辖区内村社区工作人员待遇，保障村社区各项社会事务工作正常运转。产出指标包括保障工作人员待遇按月足额发放、各部门工作正常运转和村社区各项社会事务工作正常运转，效益指标包括人员待遇保稳定和本单位以及各村社区各项工作正常稳定运转。</w:t>
      </w:r>
    </w:p>
    <w:p>
      <w:pPr>
        <w:keepNext w:val="0"/>
        <w:keepLines w:val="0"/>
        <w:pageBreakBefore w:val="0"/>
        <w:widowControl/>
        <w:kinsoku/>
        <w:wordWrap/>
        <w:overflowPunct/>
        <w:topLinePunct w:val="0"/>
        <w:autoSpaceDE/>
        <w:autoSpaceDN w:val="0"/>
        <w:bidi w:val="0"/>
        <w:adjustRightInd/>
        <w:snapToGrid/>
        <w:spacing w:line="600" w:lineRule="exact"/>
        <w:ind w:firstLine="645"/>
        <w:rPr>
          <w:rFonts w:ascii="黑体" w:hAnsi="黑体" w:eastAsia="黑体" w:cs="黑体"/>
          <w:b w:val="0"/>
          <w:bCs w:val="0"/>
          <w:sz w:val="32"/>
          <w:szCs w:val="32"/>
        </w:rPr>
      </w:pPr>
      <w:r>
        <w:rPr>
          <w:rFonts w:hint="eastAsia" w:ascii="黑体" w:hAnsi="黑体" w:eastAsia="黑体" w:cs="黑体"/>
          <w:b w:val="0"/>
          <w:bCs w:val="0"/>
          <w:color w:val="000000"/>
          <w:kern w:val="0"/>
          <w:sz w:val="32"/>
          <w:szCs w:val="32"/>
        </w:rPr>
        <w:t>二、</w:t>
      </w:r>
      <w:r>
        <w:rPr>
          <w:rFonts w:hint="eastAsia" w:ascii="黑体" w:hAnsi="黑体" w:eastAsia="黑体" w:cs="黑体"/>
          <w:b w:val="0"/>
          <w:bCs w:val="0"/>
          <w:sz w:val="32"/>
          <w:szCs w:val="32"/>
        </w:rPr>
        <w:t>一般公共预算支出情况</w:t>
      </w:r>
    </w:p>
    <w:p>
      <w:pPr>
        <w:keepNext w:val="0"/>
        <w:keepLines w:val="0"/>
        <w:pageBreakBefore w:val="0"/>
        <w:kinsoku/>
        <w:wordWrap/>
        <w:overflowPunct/>
        <w:topLinePunct w:val="0"/>
        <w:autoSpaceDE/>
        <w:bidi w:val="0"/>
        <w:adjustRightInd/>
        <w:snapToGrid/>
        <w:spacing w:line="600" w:lineRule="exact"/>
        <w:ind w:firstLine="620" w:firstLineChars="196"/>
        <w:jc w:val="left"/>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（一）基本支出情况</w:t>
      </w:r>
    </w:p>
    <w:p>
      <w:pPr>
        <w:keepNext w:val="0"/>
        <w:keepLines w:val="0"/>
        <w:pageBreakBefore w:val="0"/>
        <w:kinsoku/>
        <w:wordWrap/>
        <w:overflowPunct/>
        <w:topLinePunct w:val="0"/>
        <w:autoSpaceDE/>
        <w:bidi w:val="0"/>
        <w:adjustRightInd/>
        <w:snapToGrid/>
        <w:spacing w:line="600" w:lineRule="exact"/>
        <w:ind w:firstLine="620" w:firstLineChars="19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年收入预算数</w:t>
      </w:r>
      <w:r>
        <w:rPr>
          <w:rFonts w:hint="eastAsia" w:ascii="仿宋_GB2312" w:hAnsi="仿宋_GB2312" w:cs="仿宋_GB2312"/>
          <w:sz w:val="32"/>
          <w:szCs w:val="32"/>
          <w:lang w:val="en-US" w:eastAsia="zh-CN"/>
        </w:rPr>
        <w:t>1294.33</w:t>
      </w:r>
      <w:r>
        <w:rPr>
          <w:rFonts w:hint="eastAsia" w:ascii="仿宋_GB2312" w:hAnsi="仿宋_GB2312" w:eastAsia="仿宋_GB2312" w:cs="仿宋_GB2312"/>
          <w:sz w:val="32"/>
          <w:szCs w:val="32"/>
          <w:lang w:val="en-US" w:eastAsia="zh-CN"/>
        </w:rPr>
        <w:t>万元，其中，一般公共预算经费拨款</w:t>
      </w:r>
      <w:r>
        <w:rPr>
          <w:rFonts w:hint="eastAsia" w:ascii="仿宋_GB2312" w:hAnsi="仿宋_GB2312" w:cs="仿宋_GB2312"/>
          <w:sz w:val="32"/>
          <w:szCs w:val="32"/>
          <w:lang w:val="en-US" w:eastAsia="zh-CN"/>
        </w:rPr>
        <w:t>1294.33</w:t>
      </w:r>
      <w:r>
        <w:rPr>
          <w:rFonts w:hint="eastAsia" w:ascii="仿宋_GB2312" w:hAnsi="仿宋_GB2312" w:eastAsia="仿宋_GB2312" w:cs="仿宋_GB2312"/>
          <w:sz w:val="32"/>
          <w:szCs w:val="32"/>
          <w:lang w:val="en-US" w:eastAsia="zh-CN"/>
        </w:rPr>
        <w:t>万元。</w:t>
      </w:r>
    </w:p>
    <w:p>
      <w:pPr>
        <w:keepNext w:val="0"/>
        <w:keepLines w:val="0"/>
        <w:pageBreakBefore w:val="0"/>
        <w:kinsoku/>
        <w:wordWrap/>
        <w:overflowPunct/>
        <w:topLinePunct w:val="0"/>
        <w:autoSpaceDE/>
        <w:bidi w:val="0"/>
        <w:adjustRightInd/>
        <w:snapToGrid/>
        <w:spacing w:line="600" w:lineRule="exact"/>
        <w:ind w:firstLine="620" w:firstLineChars="19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2023年支出预算数1294.33万元，其中，一般公共服务支出</w:t>
      </w:r>
      <w:r>
        <w:rPr>
          <w:rFonts w:hint="eastAsia" w:ascii="仿宋_GB2312" w:hAnsi="仿宋_GB2312" w:cs="仿宋_GB2312"/>
          <w:sz w:val="32"/>
          <w:szCs w:val="32"/>
          <w:lang w:val="en-US" w:eastAsia="zh-CN"/>
        </w:rPr>
        <w:t>822.28</w:t>
      </w:r>
      <w:r>
        <w:rPr>
          <w:rFonts w:hint="eastAsia" w:ascii="仿宋_GB2312" w:hAnsi="仿宋_GB2312" w:eastAsia="仿宋_GB2312" w:cs="仿宋_GB2312"/>
          <w:sz w:val="32"/>
          <w:szCs w:val="32"/>
          <w:lang w:val="en-US" w:eastAsia="zh-CN"/>
        </w:rPr>
        <w:t>万元，文化体育与传媒支出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.5万元，社会保障和就业支出</w:t>
      </w:r>
      <w:r>
        <w:rPr>
          <w:rFonts w:hint="eastAsia" w:ascii="仿宋_GB2312" w:hAnsi="仿宋_GB2312" w:cs="仿宋_GB2312"/>
          <w:sz w:val="32"/>
          <w:szCs w:val="32"/>
          <w:lang w:val="en-US" w:eastAsia="zh-CN"/>
        </w:rPr>
        <w:t>205.11</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卫生健康</w:t>
      </w:r>
      <w:r>
        <w:rPr>
          <w:rFonts w:hint="eastAsia" w:ascii="仿宋_GB2312" w:hAnsi="仿宋_GB2312" w:eastAsia="仿宋_GB2312" w:cs="仿宋_GB2312"/>
          <w:sz w:val="32"/>
          <w:szCs w:val="32"/>
          <w:lang w:val="en-US" w:eastAsia="zh-CN"/>
        </w:rPr>
        <w:t>支出</w:t>
      </w:r>
      <w:r>
        <w:rPr>
          <w:rFonts w:hint="eastAsia" w:ascii="仿宋_GB2312" w:hAnsi="仿宋_GB2312" w:cs="仿宋_GB2312"/>
          <w:sz w:val="32"/>
          <w:szCs w:val="32"/>
          <w:lang w:val="en-US" w:eastAsia="zh-CN"/>
        </w:rPr>
        <w:t>119.26</w:t>
      </w:r>
      <w:r>
        <w:rPr>
          <w:rFonts w:hint="eastAsia" w:ascii="仿宋_GB2312" w:hAnsi="仿宋_GB2312" w:eastAsia="仿宋_GB2312" w:cs="仿宋_GB2312"/>
          <w:sz w:val="32"/>
          <w:szCs w:val="32"/>
          <w:lang w:val="en-US" w:eastAsia="zh-CN"/>
        </w:rPr>
        <w:t>万元，城乡社区支出</w:t>
      </w:r>
      <w:r>
        <w:rPr>
          <w:rFonts w:hint="eastAsia" w:ascii="仿宋_GB2312" w:hAnsi="仿宋_GB2312" w:cs="仿宋_GB2312"/>
          <w:sz w:val="32"/>
          <w:szCs w:val="32"/>
          <w:lang w:val="en-US" w:eastAsia="zh-CN"/>
        </w:rPr>
        <w:t>77.5</w:t>
      </w:r>
      <w:r>
        <w:rPr>
          <w:rFonts w:hint="eastAsia" w:ascii="仿宋_GB2312" w:hAnsi="仿宋_GB2312" w:eastAsia="仿宋_GB2312" w:cs="仿宋_GB2312"/>
          <w:sz w:val="32"/>
          <w:szCs w:val="32"/>
          <w:lang w:val="en-US" w:eastAsia="zh-CN"/>
        </w:rPr>
        <w:t>万元，农林水支出</w:t>
      </w:r>
      <w:r>
        <w:rPr>
          <w:rFonts w:hint="eastAsia" w:ascii="仿宋_GB2312" w:hAnsi="仿宋_GB2312" w:cs="仿宋_GB2312"/>
          <w:sz w:val="32"/>
          <w:szCs w:val="32"/>
          <w:lang w:val="en-US" w:eastAsia="zh-CN"/>
        </w:rPr>
        <w:t>1041.98</w:t>
      </w:r>
      <w:r>
        <w:rPr>
          <w:rFonts w:hint="eastAsia" w:ascii="仿宋_GB2312" w:hAnsi="仿宋_GB2312" w:eastAsia="仿宋_GB2312" w:cs="仿宋_GB2312"/>
          <w:sz w:val="32"/>
          <w:szCs w:val="32"/>
          <w:lang w:val="en-US" w:eastAsia="zh-CN"/>
        </w:rPr>
        <w:t>万元，住房保障支出</w:t>
      </w:r>
      <w:r>
        <w:rPr>
          <w:rFonts w:hint="eastAsia" w:ascii="仿宋_GB2312" w:hAnsi="仿宋_GB2312" w:cs="仿宋_GB2312"/>
          <w:sz w:val="32"/>
          <w:szCs w:val="32"/>
          <w:lang w:val="en-US" w:eastAsia="zh-CN"/>
        </w:rPr>
        <w:t>80.59</w:t>
      </w:r>
      <w:r>
        <w:rPr>
          <w:rFonts w:hint="eastAsia" w:ascii="仿宋_GB2312" w:hAnsi="仿宋_GB2312" w:eastAsia="仿宋_GB2312" w:cs="仿宋_GB2312"/>
          <w:sz w:val="32"/>
          <w:szCs w:val="32"/>
          <w:lang w:val="en-US" w:eastAsia="zh-CN"/>
        </w:rPr>
        <w:t>万元。</w:t>
      </w:r>
    </w:p>
    <w:p>
      <w:pPr>
        <w:numPr>
          <w:ilvl w:val="0"/>
          <w:numId w:val="0"/>
        </w:numPr>
        <w:ind w:firstLine="632" w:firstLineChars="200"/>
        <w:rPr>
          <w:rFonts w:hint="eastAsia" w:ascii="仿宋_GB2312" w:hAnsi="仿宋_GB2312" w:eastAsia="仿宋_GB2312" w:cs="仿宋_GB2312"/>
          <w:sz w:val="32"/>
          <w:szCs w:val="32"/>
          <w:lang w:val="en-US" w:eastAsia="zh-CN"/>
        </w:rPr>
      </w:pPr>
      <w:r>
        <w:rPr>
          <w:rFonts w:hint="eastAsia" w:ascii="仿宋" w:hAnsi="仿宋" w:eastAsia="仿宋" w:cs="仿宋"/>
          <w:lang w:val="en-US" w:eastAsia="zh-CN"/>
        </w:rPr>
        <w:t>202</w:t>
      </w:r>
      <w:r>
        <w:rPr>
          <w:rFonts w:hint="eastAsia" w:ascii="仿宋" w:hAnsi="仿宋" w:cs="仿宋"/>
          <w:lang w:val="en-US" w:eastAsia="zh-CN"/>
        </w:rPr>
        <w:t>3</w:t>
      </w:r>
      <w:r>
        <w:rPr>
          <w:rFonts w:hint="eastAsia" w:ascii="仿宋" w:hAnsi="仿宋" w:eastAsia="仿宋" w:cs="仿宋"/>
          <w:lang w:val="en-US" w:eastAsia="zh-CN"/>
        </w:rPr>
        <w:t>年“三公”经费预算数为</w:t>
      </w:r>
      <w:r>
        <w:rPr>
          <w:rFonts w:hint="eastAsia" w:ascii="仿宋" w:hAnsi="仿宋" w:cs="仿宋"/>
          <w:lang w:val="en-US" w:eastAsia="zh-CN"/>
        </w:rPr>
        <w:t>2.8</w:t>
      </w:r>
      <w:r>
        <w:rPr>
          <w:rFonts w:hint="eastAsia" w:ascii="仿宋" w:hAnsi="仿宋" w:eastAsia="仿宋" w:cs="仿宋"/>
          <w:lang w:val="en-US" w:eastAsia="zh-CN"/>
        </w:rPr>
        <w:t>万元，“三公”经费实际开支</w:t>
      </w:r>
      <w:r>
        <w:rPr>
          <w:rFonts w:hint="eastAsia" w:ascii="仿宋" w:hAnsi="仿宋" w:cs="仿宋"/>
          <w:lang w:val="en-US" w:eastAsia="zh-CN"/>
        </w:rPr>
        <w:t>2.37</w:t>
      </w:r>
      <w:r>
        <w:rPr>
          <w:rFonts w:hint="eastAsia" w:ascii="仿宋" w:hAnsi="仿宋" w:eastAsia="仿宋" w:cs="仿宋"/>
          <w:lang w:val="en-US" w:eastAsia="zh-CN"/>
        </w:rPr>
        <w:t>万元。</w:t>
      </w:r>
    </w:p>
    <w:p>
      <w:pPr>
        <w:keepNext w:val="0"/>
        <w:keepLines w:val="0"/>
        <w:pageBreakBefore w:val="0"/>
        <w:kinsoku/>
        <w:wordWrap/>
        <w:overflowPunct/>
        <w:topLinePunct w:val="0"/>
        <w:autoSpaceDE/>
        <w:bidi w:val="0"/>
        <w:adjustRightInd/>
        <w:snapToGrid/>
        <w:spacing w:line="600" w:lineRule="exact"/>
        <w:ind w:firstLine="620" w:firstLineChars="196"/>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（二）</w:t>
      </w:r>
      <w:r>
        <w:rPr>
          <w:rFonts w:hint="eastAsia" w:ascii="仿宋_GB2312" w:hAnsi="仿宋_GB2312" w:cs="仿宋_GB2312"/>
          <w:b w:val="0"/>
          <w:bCs w:val="0"/>
          <w:kern w:val="0"/>
          <w:sz w:val="32"/>
          <w:szCs w:val="32"/>
          <w:lang w:val="en-US" w:eastAsia="zh-CN" w:bidi="ar-SA"/>
        </w:rPr>
        <w:t>2023年本级</w:t>
      </w:r>
      <w:r>
        <w:rPr>
          <w:rFonts w:hint="eastAsia" w:ascii="仿宋_GB2312" w:hAnsi="仿宋_GB2312" w:eastAsia="仿宋_GB2312" w:cs="仿宋_GB2312"/>
          <w:b w:val="0"/>
          <w:bCs w:val="0"/>
          <w:kern w:val="0"/>
          <w:sz w:val="32"/>
          <w:szCs w:val="32"/>
          <w:lang w:val="en-US" w:eastAsia="zh-CN" w:bidi="ar-SA"/>
        </w:rPr>
        <w:t>项目支出情况</w:t>
      </w:r>
    </w:p>
    <w:p>
      <w:pPr>
        <w:keepNext w:val="0"/>
        <w:keepLines w:val="0"/>
        <w:pageBreakBefore w:val="0"/>
        <w:kinsoku/>
        <w:wordWrap/>
        <w:overflowPunct/>
        <w:topLinePunct w:val="0"/>
        <w:autoSpaceDE/>
        <w:bidi w:val="0"/>
        <w:adjustRightInd/>
        <w:snapToGrid/>
        <w:spacing w:line="600" w:lineRule="exact"/>
        <w:ind w:firstLine="632"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乡镇运转经费支出29.16万元，全部用于保障乡镇正常运转；乡镇财政体制支出62.71万元，用于保障乡镇财政正常运转；村管费、正常离任村干部生活补贴提标扩面支出274万元，用于保障辖区内各村社区人员工资待遇按时足额发放，村社区各项社会事务正常运转。</w:t>
      </w:r>
    </w:p>
    <w:p>
      <w:pPr>
        <w:keepNext w:val="0"/>
        <w:keepLines w:val="0"/>
        <w:pageBreakBefore w:val="0"/>
        <w:widowControl/>
        <w:kinsoku/>
        <w:wordWrap/>
        <w:overflowPunct/>
        <w:topLinePunct w:val="0"/>
        <w:autoSpaceDE/>
        <w:autoSpaceDN w:val="0"/>
        <w:bidi w:val="0"/>
        <w:adjustRightInd/>
        <w:snapToGrid/>
        <w:spacing w:line="600" w:lineRule="exact"/>
        <w:ind w:firstLine="632"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三、部门整体支出绩效情况</w:t>
      </w:r>
    </w:p>
    <w:p>
      <w:pPr>
        <w:keepNext w:val="0"/>
        <w:keepLines w:val="0"/>
        <w:pageBreakBefore w:val="0"/>
        <w:kinsoku/>
        <w:wordWrap/>
        <w:overflowPunct/>
        <w:topLinePunct w:val="0"/>
        <w:autoSpaceDE/>
        <w:bidi w:val="0"/>
        <w:adjustRightInd/>
        <w:snapToGrid/>
        <w:spacing w:line="600" w:lineRule="exact"/>
        <w:ind w:firstLine="620"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年，根据年初计划的重点工作，本单位通过对财政资金的使用，取得了如下绩效：</w:t>
      </w:r>
    </w:p>
    <w:p>
      <w:pPr>
        <w:keepNext w:val="0"/>
        <w:keepLines w:val="0"/>
        <w:pageBreakBefore w:val="0"/>
        <w:kinsoku/>
        <w:wordWrap/>
        <w:overflowPunct/>
        <w:topLinePunct w:val="0"/>
        <w:autoSpaceDE/>
        <w:bidi w:val="0"/>
        <w:adjustRightInd/>
        <w:snapToGrid/>
        <w:spacing w:line="600" w:lineRule="exact"/>
        <w:ind w:firstLine="620" w:firstLineChars="196"/>
        <w:rPr>
          <w:rFonts w:hint="eastAsia" w:ascii="仿宋_GB2312" w:hAnsi="仿宋_GB2312" w:eastAsia="仿宋_GB2312" w:cs="仿宋_GB2312"/>
          <w:kern w:val="0"/>
          <w:sz w:val="32"/>
          <w:szCs w:val="32"/>
          <w:lang w:val="en-US" w:eastAsia="zh-CN" w:bidi="ar-SA"/>
        </w:rPr>
      </w:pPr>
      <w:r>
        <w:rPr>
          <w:rFonts w:hint="eastAsia"/>
          <w:b/>
          <w:bCs/>
          <w:lang w:val="en-US" w:eastAsia="zh-CN"/>
        </w:rPr>
        <w:t>一是全面做好城镇建设规划</w:t>
      </w:r>
      <w:r>
        <w:rPr>
          <w:rFonts w:hint="eastAsia"/>
          <w:lang w:val="en-US" w:eastAsia="zh-CN"/>
        </w:rPr>
        <w:t>，充分运用财政调剂作用，积极争取各项优惠政策，并积极带动社会资金的投入，引导和支持企业进行产业转型提升、科技创新、开拓市场和发展生产，以培养财政收入新的增长点。</w:t>
      </w:r>
      <w:r>
        <w:rPr>
          <w:rFonts w:hint="eastAsia"/>
          <w:b/>
          <w:bCs/>
          <w:lang w:val="en-US" w:eastAsia="zh-CN"/>
        </w:rPr>
        <w:t>二是加强财政支出管理</w:t>
      </w:r>
      <w:r>
        <w:rPr>
          <w:rFonts w:hint="eastAsia"/>
          <w:lang w:val="en-US" w:eastAsia="zh-CN"/>
        </w:rPr>
        <w:t>，促进经济全面发展，严格实行“收支两条线”政策，严肃财经纪律、规范财政支出行为和细化部门预算编制。</w:t>
      </w:r>
      <w:r>
        <w:rPr>
          <w:rFonts w:hint="eastAsia"/>
          <w:b/>
          <w:bCs/>
          <w:lang w:val="en-US" w:eastAsia="zh-CN"/>
        </w:rPr>
        <w:t>三是进一步完善各种经费使用办法</w:t>
      </w:r>
      <w:r>
        <w:rPr>
          <w:rFonts w:hint="eastAsia"/>
          <w:lang w:val="en-US" w:eastAsia="zh-CN"/>
        </w:rPr>
        <w:t>，压缩行政管理开支和各种非生产性开支，严格控制部分增支因素。</w:t>
      </w:r>
      <w:r>
        <w:rPr>
          <w:rFonts w:hint="eastAsia"/>
          <w:b/>
          <w:bCs/>
          <w:lang w:val="en-US" w:eastAsia="zh-CN"/>
        </w:rPr>
        <w:t>四是合理利用财力</w:t>
      </w:r>
      <w:r>
        <w:rPr>
          <w:rFonts w:hint="eastAsia"/>
          <w:lang w:val="en-US" w:eastAsia="zh-CN"/>
        </w:rPr>
        <w:t>，保障重点项目及重点费用和社会公益事业的正常开支。</w:t>
      </w:r>
      <w:r>
        <w:rPr>
          <w:rFonts w:hint="eastAsia"/>
          <w:b/>
          <w:bCs/>
          <w:lang w:val="en-US" w:eastAsia="zh-CN"/>
        </w:rPr>
        <w:t>五是落实好中央各项惠农政策</w:t>
      </w:r>
      <w:r>
        <w:rPr>
          <w:rFonts w:hint="eastAsia"/>
          <w:lang w:val="en-US" w:eastAsia="zh-CN"/>
        </w:rPr>
        <w:t>，促进农业生产、农民增收和各项社会事业的发展，认真落实好中央各项惠农政策，进一步增加对农业的投入和各项涉农补贴资金，不断稳定发展农业生产，促进农民增收。</w:t>
      </w:r>
      <w:r>
        <w:rPr>
          <w:rFonts w:hint="eastAsia"/>
          <w:b/>
          <w:bCs/>
          <w:lang w:val="en-US" w:eastAsia="zh-CN"/>
        </w:rPr>
        <w:t>六是继续推行城乡居民新型合作医疗制度和新农保制度</w:t>
      </w:r>
      <w:r>
        <w:rPr>
          <w:rFonts w:hint="eastAsia"/>
          <w:lang w:val="en-US" w:eastAsia="zh-CN"/>
        </w:rPr>
        <w:t>。切实解决了广大农民看病难、看病贵的热点问题。</w:t>
      </w:r>
      <w:r>
        <w:rPr>
          <w:rFonts w:hint="eastAsia"/>
          <w:b/>
          <w:bCs/>
          <w:lang w:val="en-US" w:eastAsia="zh-CN"/>
        </w:rPr>
        <w:t>七是继续实行国库集中支付制度，严格资金支出范围和审批程序</w:t>
      </w:r>
      <w:r>
        <w:rPr>
          <w:rFonts w:hint="eastAsia"/>
          <w:lang w:val="en-US" w:eastAsia="zh-CN"/>
        </w:rPr>
        <w:t>，严格执行公用经费定额标准。</w:t>
      </w:r>
      <w:r>
        <w:rPr>
          <w:rFonts w:hint="eastAsia"/>
          <w:b/>
          <w:bCs/>
          <w:lang w:val="en-US" w:eastAsia="zh-CN"/>
        </w:rPr>
        <w:t>八是切实抓好债务管理工作，锁定债务基数</w:t>
      </w:r>
      <w:r>
        <w:rPr>
          <w:rFonts w:hint="eastAsia"/>
          <w:lang w:val="en-US" w:eastAsia="zh-CN"/>
        </w:rPr>
        <w:t>，严格控制新增债务。</w:t>
      </w:r>
      <w:r>
        <w:rPr>
          <w:rFonts w:hint="eastAsia"/>
          <w:b/>
          <w:bCs/>
          <w:lang w:val="en-US" w:eastAsia="zh-CN"/>
        </w:rPr>
        <w:t>九是加强村级财务管理</w:t>
      </w:r>
      <w:r>
        <w:rPr>
          <w:rFonts w:hint="eastAsia"/>
          <w:lang w:val="en-US" w:eastAsia="zh-CN"/>
        </w:rPr>
        <w:t>，完善“村账镇代管”制度。</w:t>
      </w:r>
      <w:r>
        <w:rPr>
          <w:rFonts w:hint="eastAsia"/>
          <w:b/>
          <w:bCs/>
          <w:lang w:val="en-US" w:eastAsia="zh-CN"/>
        </w:rPr>
        <w:t>十是加强财政队伍建设</w:t>
      </w:r>
      <w:r>
        <w:rPr>
          <w:rFonts w:hint="eastAsia"/>
          <w:lang w:val="en-US" w:eastAsia="zh-CN"/>
        </w:rPr>
        <w:t>，完善财政管理机制，推进财务人员依法行政，依法理财。</w:t>
      </w:r>
    </w:p>
    <w:p>
      <w:pPr>
        <w:keepNext w:val="0"/>
        <w:keepLines w:val="0"/>
        <w:pageBreakBefore w:val="0"/>
        <w:widowControl/>
        <w:kinsoku/>
        <w:wordWrap/>
        <w:overflowPunct/>
        <w:topLinePunct w:val="0"/>
        <w:autoSpaceDE/>
        <w:autoSpaceDN w:val="0"/>
        <w:bidi w:val="0"/>
        <w:adjustRightInd/>
        <w:snapToGrid/>
        <w:spacing w:line="600" w:lineRule="exact"/>
        <w:rPr>
          <w:rFonts w:ascii="黑体" w:hAnsi="黑体" w:eastAsia="黑体" w:cs="宋体"/>
          <w:color w:val="000000"/>
          <w:kern w:val="0"/>
          <w:sz w:val="32"/>
          <w:szCs w:val="32"/>
        </w:rPr>
      </w:pPr>
      <w:r>
        <w:rPr>
          <w:rFonts w:ascii="??_GB2312" w:hAnsi="仿宋" w:eastAsia="Times New Roman" w:cs="宋体"/>
          <w:color w:val="000000"/>
          <w:kern w:val="0"/>
          <w:sz w:val="32"/>
          <w:szCs w:val="32"/>
        </w:rPr>
        <w:t xml:space="preserve">    </w:t>
      </w:r>
      <w:r>
        <w:rPr>
          <w:rFonts w:hint="eastAsia" w:ascii="??_GB2312" w:hAnsi="仿宋" w:cs="宋体"/>
          <w:color w:val="000000"/>
          <w:kern w:val="0"/>
          <w:sz w:val="32"/>
          <w:szCs w:val="32"/>
        </w:rPr>
        <w:t xml:space="preserve"> </w:t>
      </w:r>
      <w:r>
        <w:rPr>
          <w:rFonts w:hint="eastAsia" w:ascii="黑体" w:hAnsi="黑体" w:eastAsia="黑体" w:cs="宋体"/>
          <w:color w:val="000000"/>
          <w:kern w:val="0"/>
          <w:sz w:val="32"/>
          <w:szCs w:val="32"/>
        </w:rPr>
        <w:t>四、总体评价和自评得分情况</w:t>
      </w:r>
    </w:p>
    <w:p>
      <w:pPr>
        <w:numPr>
          <w:ilvl w:val="0"/>
          <w:numId w:val="0"/>
        </w:numPr>
        <w:ind w:firstLine="632" w:firstLineChars="200"/>
        <w:rPr>
          <w:rFonts w:hint="eastAsia" w:ascii="仿宋" w:hAnsi="仿宋" w:eastAsia="仿宋" w:cs="仿宋"/>
          <w:lang w:val="en-US" w:eastAsia="zh-CN"/>
        </w:rPr>
      </w:pPr>
      <w:r>
        <w:rPr>
          <w:rFonts w:hint="eastAsia" w:ascii="仿宋" w:hAnsi="仿宋" w:eastAsia="仿宋" w:cs="仿宋"/>
          <w:lang w:val="en-US" w:eastAsia="zh-CN"/>
        </w:rPr>
        <w:t>根据以上预算绩效情况，我单位2023年度预算绩效自评为优秀。</w:t>
      </w:r>
    </w:p>
    <w:p>
      <w:pPr>
        <w:pStyle w:val="12"/>
        <w:keepNext w:val="0"/>
        <w:keepLines w:val="0"/>
        <w:pageBreakBefore w:val="0"/>
        <w:widowControl/>
        <w:kinsoku/>
        <w:wordWrap/>
        <w:overflowPunct/>
        <w:topLinePunct w:val="0"/>
        <w:autoSpaceDE/>
        <w:bidi w:val="0"/>
        <w:adjustRightInd/>
        <w:snapToGrid/>
        <w:spacing w:line="600" w:lineRule="exact"/>
        <w:ind w:firstLine="640"/>
        <w:jc w:val="left"/>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numPr>
          <w:ilvl w:val="0"/>
          <w:numId w:val="0"/>
        </w:numPr>
        <w:ind w:firstLine="632"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存在专项资金管理制度和厉行节约制度不健全的情况。支出大部分符合国家财经法规和财务管理制度规定以及有关专项资金管理办法的规定，资金的拨付有完整的审批过程和手续，支出一定程度上符合部门预算批复的用途，资金使用无截留、挤占、挪用、虚列支出等情况。</w:t>
      </w:r>
    </w:p>
    <w:p>
      <w:pPr>
        <w:numPr>
          <w:ilvl w:val="0"/>
          <w:numId w:val="0"/>
        </w:numPr>
        <w:ind w:firstLine="632"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2.财政运行还存在着一些不容忽视的问题，财政收入规模单一，收入结构不合理，社会事业发展所需财政支出压力大，收支矛盾还比较突出，财政管理还不很规范，财经纪律还有待进一步加强。</w:t>
      </w:r>
    </w:p>
    <w:p>
      <w:pPr>
        <w:keepNext w:val="0"/>
        <w:keepLines w:val="0"/>
        <w:pageBreakBefore w:val="0"/>
        <w:widowControl/>
        <w:kinsoku/>
        <w:wordWrap/>
        <w:overflowPunct/>
        <w:topLinePunct w:val="0"/>
        <w:autoSpaceDE/>
        <w:bidi w:val="0"/>
        <w:adjustRightInd/>
        <w:snapToGrid/>
        <w:spacing w:line="600" w:lineRule="exact"/>
        <w:ind w:firstLine="632" w:firstLineChars="200"/>
        <w:jc w:val="left"/>
        <w:rPr>
          <w:rFonts w:hint="eastAsia" w:eastAsia="黑体"/>
          <w:sz w:val="32"/>
          <w:szCs w:val="32"/>
        </w:rPr>
      </w:pPr>
      <w:r>
        <w:rPr>
          <w:rFonts w:hint="eastAsia" w:eastAsia="黑体"/>
          <w:sz w:val="32"/>
          <w:szCs w:val="32"/>
        </w:rPr>
        <w:t>六、下一步改进措施</w:t>
      </w:r>
    </w:p>
    <w:p>
      <w:pPr>
        <w:keepNext w:val="0"/>
        <w:keepLines w:val="0"/>
        <w:pageBreakBefore w:val="0"/>
        <w:widowControl/>
        <w:kinsoku/>
        <w:wordWrap/>
        <w:overflowPunct/>
        <w:topLinePunct w:val="0"/>
        <w:autoSpaceDE/>
        <w:bidi w:val="0"/>
        <w:adjustRightInd/>
        <w:snapToGrid/>
        <w:spacing w:line="600" w:lineRule="exact"/>
        <w:ind w:firstLine="632"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1.加强政策学习，提高思想认识。组织相关人员认真学习《预算法》等相关法规、制度，提高单位领导对全面预算管理的重视程度，增强财务人员的预算意识，坚持先有预算、后有支出，没有预算不得支出。</w:t>
      </w:r>
    </w:p>
    <w:p>
      <w:pPr>
        <w:keepNext w:val="0"/>
        <w:keepLines w:val="0"/>
        <w:pageBreakBefore w:val="0"/>
        <w:widowControl/>
        <w:kinsoku/>
        <w:wordWrap/>
        <w:overflowPunct/>
        <w:topLinePunct w:val="0"/>
        <w:autoSpaceDE/>
        <w:bidi w:val="0"/>
        <w:adjustRightInd/>
        <w:snapToGrid/>
        <w:spacing w:line="600" w:lineRule="exact"/>
        <w:ind w:firstLine="632"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2.预算编制前根据年度内单位可预见的工作任务，确定单位年度预算目标，细化预算指标，科学合理编制部门预算，推进预算编制科学化、准确化。</w:t>
      </w:r>
    </w:p>
    <w:p>
      <w:pPr>
        <w:keepNext w:val="0"/>
        <w:keepLines w:val="0"/>
        <w:pageBreakBefore w:val="0"/>
        <w:widowControl/>
        <w:kinsoku/>
        <w:wordWrap/>
        <w:overflowPunct/>
        <w:topLinePunct w:val="0"/>
        <w:autoSpaceDE/>
        <w:bidi w:val="0"/>
        <w:adjustRightInd/>
        <w:snapToGrid/>
        <w:spacing w:line="60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lang w:val="en-US" w:eastAsia="zh-CN"/>
        </w:rPr>
        <w:t>3.年度预算编制后，根据实际情况，定期做好预算执行分析，掌握预算执行进度，及时找出预算实际执行情况与预算目标之间存在的差距，纠正偏差，为下一次科学、准确地编制部门预算积累经验。</w:t>
      </w:r>
    </w:p>
    <w:p>
      <w:pPr>
        <w:spacing w:line="600" w:lineRule="exact"/>
        <w:rPr>
          <w:rFonts w:hint="eastAsia"/>
          <w:lang w:val="en-US" w:eastAsia="zh-CN"/>
        </w:rPr>
      </w:pPr>
    </w:p>
    <w:p>
      <w:pPr>
        <w:spacing w:line="600" w:lineRule="exact"/>
        <w:rPr>
          <w:rFonts w:hint="eastAsia" w:eastAsia="仿宋_GB2312"/>
          <w:lang w:val="en-US" w:eastAsia="zh-CN"/>
        </w:rPr>
      </w:pPr>
      <w:r>
        <w:rPr>
          <w:rFonts w:hint="eastAsia"/>
          <w:lang w:val="en-US" w:eastAsia="zh-CN"/>
        </w:rPr>
        <w:t>附件：</w:t>
      </w:r>
    </w:p>
    <w:p>
      <w:pPr>
        <w:widowControl/>
        <w:spacing w:line="600" w:lineRule="exact"/>
        <w:ind w:firstLine="632"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部门整体支出绩效评价基础数据表</w:t>
      </w:r>
    </w:p>
    <w:p>
      <w:pPr>
        <w:widowControl/>
        <w:spacing w:line="600" w:lineRule="exact"/>
        <w:ind w:firstLine="632"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rPr>
        <w:t>部门整体支出绩效自评表</w:t>
      </w:r>
    </w:p>
    <w:p>
      <w:pPr>
        <w:widowControl/>
        <w:spacing w:line="600" w:lineRule="exact"/>
        <w:ind w:firstLine="632"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项目支出绩效自评表</w:t>
      </w:r>
    </w:p>
    <w:p>
      <w:pPr>
        <w:spacing w:line="600" w:lineRule="exact"/>
        <w:ind w:firstLine="620"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四、</w:t>
      </w:r>
      <w:r>
        <w:rPr>
          <w:rFonts w:hint="eastAsia" w:ascii="仿宋_GB2312" w:hAnsi="仿宋_GB2312" w:eastAsia="仿宋_GB2312" w:cs="仿宋_GB2312"/>
          <w:kern w:val="0"/>
          <w:sz w:val="32"/>
          <w:szCs w:val="32"/>
          <w:lang w:val="en-US" w:eastAsia="zh-CN" w:bidi="ar-SA"/>
        </w:rPr>
        <w:t>其他必要材料（当年度预算绩效目标申报表、单位年度工作总结、预决算报表、有关表彰奖励复印件等）及与自评报告、基础表、自评表内容相符的相关佐证材料（佐证资料必须列目录，与自评表指标对应）</w:t>
      </w:r>
    </w:p>
    <w:p>
      <w:pPr>
        <w:spacing w:line="600" w:lineRule="exact"/>
      </w:pPr>
    </w:p>
    <w:p>
      <w:pPr>
        <w:spacing w:line="560" w:lineRule="exact"/>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lang w:val="en-US" w:eastAsia="zh-CN"/>
        </w:rPr>
        <w:t>2023年度</w:t>
      </w:r>
      <w:r>
        <w:rPr>
          <w:rFonts w:hint="eastAsia" w:ascii="方正小标宋简体" w:hAnsi="方正小标宋简体" w:eastAsia="方正小标宋简体" w:cs="方正小标宋简体"/>
          <w:kern w:val="0"/>
          <w:sz w:val="36"/>
          <w:szCs w:val="36"/>
        </w:rPr>
        <w:t>部门整体支出绩效评价基础数据表</w:t>
      </w:r>
    </w:p>
    <w:tbl>
      <w:tblPr>
        <w:tblStyle w:val="8"/>
        <w:tblpPr w:leftFromText="180" w:rightFromText="180" w:vertAnchor="text" w:horzAnchor="page" w:tblpX="1268" w:tblpY="105"/>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225"/>
        <w:gridCol w:w="855"/>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财政供养人员情况</w:t>
            </w:r>
            <w:r>
              <w:rPr>
                <w:rFonts w:hint="eastAsia" w:ascii="仿宋" w:hAnsi="仿宋" w:eastAsia="仿宋" w:cs="仿宋"/>
                <w:color w:val="000000"/>
                <w:kern w:val="0"/>
                <w:sz w:val="21"/>
                <w:szCs w:val="21"/>
                <w:lang w:eastAsia="zh-CN"/>
              </w:rPr>
              <w:t>（人）</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编制数</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年实际在职人数</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74</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66</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bidi="ar-SA"/>
              </w:rPr>
              <w:t>89.19%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经费控制情况</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22</w:t>
            </w:r>
            <w:r>
              <w:rPr>
                <w:rFonts w:hint="eastAsia" w:ascii="仿宋" w:hAnsi="仿宋" w:eastAsia="仿宋" w:cs="仿宋"/>
                <w:color w:val="000000"/>
                <w:kern w:val="0"/>
                <w:sz w:val="21"/>
                <w:szCs w:val="21"/>
              </w:rPr>
              <w:t>年决算数</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年预算数</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三公经费</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4.13</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2.8</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1、公务用车购置和维护经费</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4.13</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2.8</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其中：公车购置</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公车运行维护</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4.13</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2.8</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2、出国经费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3、公务接待</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3818.19</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421.45</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3712.67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1、业务工作经费</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3328.91</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3180.92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2、运行维护经费</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78.76</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w:t>
            </w:r>
            <w:r>
              <w:rPr>
                <w:rFonts w:hint="eastAsia" w:ascii="仿宋" w:hAnsi="仿宋" w:eastAsia="仿宋" w:cs="仿宋"/>
                <w:color w:val="000000"/>
                <w:kern w:val="0"/>
                <w:sz w:val="21"/>
                <w:szCs w:val="21"/>
                <w:lang w:eastAsia="zh-CN"/>
              </w:rPr>
              <w:t>、本</w:t>
            </w:r>
            <w:r>
              <w:rPr>
                <w:rFonts w:hint="eastAsia" w:ascii="仿宋" w:hAnsi="仿宋" w:eastAsia="仿宋" w:cs="仿宋"/>
                <w:color w:val="000000"/>
                <w:kern w:val="0"/>
                <w:sz w:val="21"/>
                <w:szCs w:val="21"/>
              </w:rPr>
              <w:t>级专项资金</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410.52</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421.45</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421.45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乡镇运转经费</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29.16</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29.16</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正常离任村干部生活补贴提标扩面资金</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26</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26</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公用经费</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86.36</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51.56</w:t>
            </w:r>
          </w:p>
        </w:tc>
        <w:tc>
          <w:tcPr>
            <w:tcW w:w="1718" w:type="dxa"/>
            <w:gridSpan w:val="2"/>
            <w:noWrap w:val="0"/>
            <w:vAlign w:val="center"/>
          </w:tcPr>
          <w:p>
            <w:pPr>
              <w:widowControl/>
              <w:spacing w:line="240" w:lineRule="exact"/>
              <w:jc w:val="center"/>
              <w:rPr>
                <w:rFonts w:hint="default"/>
                <w:lang w:val="en-US" w:eastAsia="zh-CN"/>
              </w:rPr>
            </w:pPr>
            <w:r>
              <w:rPr>
                <w:rFonts w:hint="eastAsia" w:ascii="仿宋" w:hAnsi="仿宋" w:eastAsia="仿宋" w:cs="仿宋"/>
                <w:color w:val="000000"/>
                <w:kern w:val="0"/>
                <w:sz w:val="21"/>
                <w:szCs w:val="21"/>
                <w:lang w:val="en-US" w:eastAsia="zh-CN"/>
              </w:rPr>
              <w:t>445.47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其中：办公费</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9.8</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18</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水费、电费、差旅费</w:t>
            </w: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3.17</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0.975</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会议费、培训费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政府采购金额</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80</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428.31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部门基本支出预算调整 </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楼堂馆所控制情况</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年完工项目）</w:t>
            </w:r>
          </w:p>
        </w:tc>
        <w:tc>
          <w:tcPr>
            <w:tcW w:w="118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批复规模</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w:t>
            </w:r>
          </w:p>
        </w:tc>
        <w:tc>
          <w:tcPr>
            <w:tcW w:w="84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实际规模（㎡）</w:t>
            </w:r>
          </w:p>
        </w:tc>
        <w:tc>
          <w:tcPr>
            <w:tcW w:w="112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规模控制率</w:t>
            </w:r>
          </w:p>
        </w:tc>
        <w:tc>
          <w:tcPr>
            <w:tcW w:w="122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预算投资（万元）</w:t>
            </w:r>
          </w:p>
        </w:tc>
        <w:tc>
          <w:tcPr>
            <w:tcW w:w="85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实际投资（万元）</w:t>
            </w:r>
          </w:p>
        </w:tc>
        <w:tc>
          <w:tcPr>
            <w:tcW w:w="86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118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4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2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5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6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厉行节约保障措施</w:t>
            </w:r>
          </w:p>
        </w:tc>
        <w:tc>
          <w:tcPr>
            <w:tcW w:w="6110" w:type="dxa"/>
            <w:gridSpan w:val="6"/>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拒绝浪费 按预算执行</w:t>
            </w:r>
          </w:p>
        </w:tc>
      </w:tr>
    </w:tbl>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uto"/>
        <w:jc w:val="both"/>
        <w:textAlignment w:val="auto"/>
        <w:rPr>
          <w:rFonts w:hint="default" w:ascii="仿宋" w:hAnsi="仿宋" w:eastAsia="仿宋" w:cs="仿宋"/>
          <w:kern w:val="0"/>
          <w:sz w:val="22"/>
          <w:lang w:val="en-US" w:eastAsia="zh-CN"/>
        </w:rPr>
      </w:pPr>
      <w:r>
        <w:rPr>
          <w:rFonts w:hint="eastAsia" w:ascii="仿宋" w:hAnsi="仿宋" w:eastAsia="仿宋" w:cs="仿宋"/>
          <w:kern w:val="0"/>
          <w:sz w:val="22"/>
        </w:rPr>
        <w:t>说明：“项目支出”需要填报基本支出以外的所有项目支出情况，“公用经费”填报基本支出中的一般商品和服务支出。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kern w:val="0"/>
          <w:sz w:val="36"/>
          <w:szCs w:val="36"/>
        </w:rPr>
      </w:pPr>
      <w:r>
        <w:rPr>
          <w:rFonts w:hint="eastAsia" w:ascii="仿宋" w:hAnsi="仿宋" w:eastAsia="仿宋" w:cs="仿宋"/>
          <w:kern w:val="0"/>
          <w:sz w:val="22"/>
          <w:lang w:eastAsia="zh-CN"/>
        </w:rPr>
        <w:t>填表人：</w:t>
      </w:r>
      <w:r>
        <w:rPr>
          <w:rFonts w:hint="eastAsia" w:ascii="仿宋" w:hAnsi="仿宋" w:eastAsia="仿宋" w:cs="仿宋"/>
          <w:kern w:val="0"/>
          <w:sz w:val="22"/>
          <w:lang w:val="en-US" w:eastAsia="zh-CN"/>
        </w:rPr>
        <w:t xml:space="preserve">         填表日期：         联系电话：        单位负责人签字：</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rPr>
      </w:pPr>
      <w:r>
        <w:rPr>
          <w:rFonts w:hint="eastAsia" w:ascii="方正小标宋简体" w:hAnsi="方正小标宋简体" w:eastAsia="方正小标宋简体" w:cs="方正小标宋简体"/>
          <w:b/>
          <w:bCs/>
          <w:color w:val="000000"/>
          <w:kern w:val="0"/>
          <w:sz w:val="36"/>
          <w:szCs w:val="36"/>
        </w:rPr>
        <w:t>202</w:t>
      </w:r>
      <w:r>
        <w:rPr>
          <w:rFonts w:hint="eastAsia" w:ascii="方正小标宋简体" w:hAnsi="方正小标宋简体" w:eastAsia="方正小标宋简体" w:cs="方正小标宋简体"/>
          <w:b/>
          <w:bCs/>
          <w:color w:val="000000"/>
          <w:kern w:val="0"/>
          <w:sz w:val="36"/>
          <w:szCs w:val="36"/>
          <w:lang w:val="en-US" w:eastAsia="zh-CN"/>
        </w:rPr>
        <w:t>3</w:t>
      </w:r>
      <w:r>
        <w:rPr>
          <w:rFonts w:hint="eastAsia" w:ascii="方正小标宋简体" w:hAnsi="方正小标宋简体" w:eastAsia="方正小标宋简体" w:cs="方正小标宋简体"/>
          <w:b/>
          <w:bCs/>
          <w:color w:val="000000"/>
          <w:kern w:val="0"/>
          <w:sz w:val="36"/>
          <w:szCs w:val="36"/>
        </w:rPr>
        <w:t>年度部门整体支出绩效自评表</w:t>
      </w:r>
    </w:p>
    <w:tbl>
      <w:tblPr>
        <w:tblStyle w:val="8"/>
        <w:tblW w:w="9993" w:type="dxa"/>
        <w:jc w:val="center"/>
        <w:tblLayout w:type="fixed"/>
        <w:tblCellMar>
          <w:top w:w="0" w:type="dxa"/>
          <w:left w:w="108" w:type="dxa"/>
          <w:bottom w:w="0" w:type="dxa"/>
          <w:right w:w="108" w:type="dxa"/>
        </w:tblCellMar>
      </w:tblPr>
      <w:tblGrid>
        <w:gridCol w:w="1232"/>
        <w:gridCol w:w="928"/>
        <w:gridCol w:w="953"/>
        <w:gridCol w:w="1256"/>
        <w:gridCol w:w="95"/>
        <w:gridCol w:w="1200"/>
        <w:gridCol w:w="1276"/>
        <w:gridCol w:w="812"/>
        <w:gridCol w:w="889"/>
        <w:gridCol w:w="1352"/>
      </w:tblGrid>
      <w:tr>
        <w:tblPrEx>
          <w:tblCellMar>
            <w:top w:w="0" w:type="dxa"/>
            <w:left w:w="108" w:type="dxa"/>
            <w:bottom w:w="0" w:type="dxa"/>
            <w:right w:w="108" w:type="dxa"/>
          </w:tblCellMar>
        </w:tblPrEx>
        <w:trPr>
          <w:trHeight w:val="707" w:hRule="atLeast"/>
          <w:jc w:val="center"/>
        </w:trPr>
        <w:tc>
          <w:tcPr>
            <w:tcW w:w="123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预算部门</w:t>
            </w:r>
            <w:r>
              <w:rPr>
                <w:rFonts w:hint="eastAsia" w:ascii="仿宋" w:hAnsi="仿宋" w:eastAsia="仿宋" w:cs="仿宋"/>
                <w:color w:val="000000"/>
                <w:kern w:val="0"/>
                <w:sz w:val="21"/>
                <w:szCs w:val="21"/>
                <w:lang w:eastAsia="zh-CN"/>
              </w:rPr>
              <w:t>、单位名称</w:t>
            </w:r>
          </w:p>
        </w:tc>
        <w:tc>
          <w:tcPr>
            <w:tcW w:w="8761" w:type="dxa"/>
            <w:gridSpan w:val="9"/>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4"/>
                <w:szCs w:val="24"/>
              </w:rPr>
              <w:t>　</w:t>
            </w:r>
            <w:r>
              <w:rPr>
                <w:rFonts w:hint="eastAsia" w:ascii="仿宋" w:hAnsi="仿宋" w:eastAsia="仿宋" w:cs="仿宋"/>
                <w:color w:val="000000"/>
                <w:kern w:val="0"/>
                <w:sz w:val="24"/>
                <w:szCs w:val="24"/>
                <w:lang w:val="en-US" w:eastAsia="zh-CN"/>
              </w:rPr>
              <w:t>张家塞乡人民政府</w:t>
            </w:r>
          </w:p>
        </w:tc>
      </w:tr>
      <w:tr>
        <w:tblPrEx>
          <w:tblCellMar>
            <w:top w:w="0" w:type="dxa"/>
            <w:left w:w="108" w:type="dxa"/>
            <w:bottom w:w="0" w:type="dxa"/>
            <w:right w:w="108" w:type="dxa"/>
          </w:tblCellMar>
        </w:tblPrEx>
        <w:trPr>
          <w:jc w:val="center"/>
        </w:trPr>
        <w:tc>
          <w:tcPr>
            <w:tcW w:w="123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年度预</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算申请</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188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年初</w:t>
            </w:r>
          </w:p>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预算数</w:t>
            </w:r>
          </w:p>
        </w:tc>
        <w:tc>
          <w:tcPr>
            <w:tcW w:w="129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全年预算数</w:t>
            </w:r>
          </w:p>
        </w:tc>
        <w:tc>
          <w:tcPr>
            <w:tcW w:w="127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全年执行数</w:t>
            </w:r>
          </w:p>
        </w:tc>
        <w:tc>
          <w:tcPr>
            <w:tcW w:w="81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分值</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得分</w:t>
            </w:r>
          </w:p>
        </w:tc>
      </w:tr>
      <w:tr>
        <w:tblPrEx>
          <w:tblCellMar>
            <w:top w:w="0" w:type="dxa"/>
            <w:left w:w="108" w:type="dxa"/>
            <w:bottom w:w="0" w:type="dxa"/>
            <w:right w:w="108" w:type="dxa"/>
          </w:tblCellMar>
        </w:tblPrEx>
        <w:trPr>
          <w:trHeight w:val="375" w:hRule="atLeast"/>
          <w:jc w:val="center"/>
        </w:trPr>
        <w:tc>
          <w:tcPr>
            <w:tcW w:w="1232"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88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color w:val="000000"/>
                <w:kern w:val="0"/>
                <w:sz w:val="21"/>
                <w:szCs w:val="21"/>
              </w:rPr>
              <w:t>年度资金总额</w:t>
            </w: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rPr>
              <w:t>1294.33</w:t>
            </w:r>
          </w:p>
        </w:tc>
        <w:tc>
          <w:tcPr>
            <w:tcW w:w="1295"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rPr>
              <w:t>5237.76</w:t>
            </w:r>
          </w:p>
        </w:tc>
        <w:tc>
          <w:tcPr>
            <w:tcW w:w="1276"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ascii="微软雅黑" w:hAnsi="微软雅黑" w:eastAsia="微软雅黑" w:cs="微软雅黑"/>
                <w:i w:val="0"/>
                <w:iCs w:val="0"/>
                <w:caps w:val="0"/>
                <w:color w:val="000000"/>
                <w:spacing w:val="0"/>
                <w:sz w:val="19"/>
                <w:szCs w:val="19"/>
                <w:shd w:val="clear" w:fill="F5F7FA"/>
              </w:rPr>
              <w:t>5237.76</w:t>
            </w:r>
          </w:p>
        </w:tc>
        <w:tc>
          <w:tcPr>
            <w:tcW w:w="81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lang w:eastAsia="zh-CN"/>
              </w:rPr>
            </w:pPr>
            <w:r>
              <w:rPr>
                <w:rFonts w:hint="eastAsia" w:ascii="仿宋" w:hAnsi="仿宋" w:eastAsia="仿宋" w:cs="仿宋"/>
                <w:sz w:val="21"/>
                <w:szCs w:val="21"/>
              </w:rPr>
              <w:t>10</w:t>
            </w:r>
            <w:r>
              <w:rPr>
                <w:rFonts w:hint="eastAsia" w:ascii="仿宋" w:hAnsi="仿宋" w:eastAsia="仿宋" w:cs="仿宋"/>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10分</w:t>
            </w:r>
          </w:p>
        </w:tc>
      </w:tr>
      <w:tr>
        <w:tblPrEx>
          <w:tblCellMar>
            <w:top w:w="0" w:type="dxa"/>
            <w:left w:w="108" w:type="dxa"/>
            <w:bottom w:w="0" w:type="dxa"/>
            <w:right w:w="108" w:type="dxa"/>
          </w:tblCellMar>
        </w:tblPrEx>
        <w:trPr>
          <w:trHeight w:val="425"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按收入性质分：</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按支出性质分：</w:t>
            </w:r>
          </w:p>
        </w:tc>
      </w:tr>
      <w:tr>
        <w:tblPrEx>
          <w:tblCellMar>
            <w:top w:w="0" w:type="dxa"/>
            <w:left w:w="108" w:type="dxa"/>
            <w:bottom w:w="0" w:type="dxa"/>
            <w:right w:w="108" w:type="dxa"/>
          </w:tblCellMar>
        </w:tblPrEx>
        <w:trPr>
          <w:trHeight w:val="500"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spacing w:line="240" w:lineRule="exact"/>
              <w:jc w:val="left"/>
              <w:rPr>
                <w:rFonts w:hint="eastAsia" w:ascii="仿宋" w:hAnsi="仿宋" w:eastAsia="仿宋" w:cs="仿宋"/>
                <w:sz w:val="21"/>
                <w:szCs w:val="21"/>
              </w:rPr>
            </w:pPr>
            <w:r>
              <w:rPr>
                <w:rFonts w:hint="eastAsia" w:ascii="仿宋" w:hAnsi="仿宋" w:eastAsia="仿宋" w:cs="仿宋"/>
                <w:sz w:val="21"/>
                <w:szCs w:val="21"/>
              </w:rPr>
              <w:t xml:space="preserve">  其中：  一般公共预算：2428.62</w:t>
            </w:r>
          </w:p>
        </w:tc>
        <w:tc>
          <w:tcPr>
            <w:tcW w:w="4329" w:type="dxa"/>
            <w:gridSpan w:val="4"/>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其中：基本支出：1525.07</w:t>
            </w:r>
          </w:p>
        </w:tc>
      </w:tr>
      <w:tr>
        <w:tblPrEx>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spacing w:line="240" w:lineRule="exact"/>
              <w:jc w:val="left"/>
              <w:rPr>
                <w:rFonts w:hint="default" w:ascii="仿宋" w:hAnsi="仿宋" w:eastAsia="仿宋" w:cs="仿宋"/>
                <w:sz w:val="21"/>
                <w:szCs w:val="21"/>
                <w:lang w:val="en-US" w:eastAsia="zh-CN"/>
              </w:rPr>
            </w:pPr>
            <w:r>
              <w:rPr>
                <w:rFonts w:hint="eastAsia" w:ascii="仿宋" w:hAnsi="仿宋" w:eastAsia="仿宋" w:cs="仿宋"/>
                <w:sz w:val="21"/>
                <w:szCs w:val="21"/>
              </w:rPr>
              <w:t>政府性基金拨款：</w:t>
            </w:r>
            <w:r>
              <w:rPr>
                <w:rFonts w:hint="eastAsia" w:ascii="仿宋" w:hAnsi="仿宋" w:eastAsia="仿宋" w:cs="仿宋"/>
                <w:sz w:val="21"/>
                <w:szCs w:val="21"/>
                <w:lang w:val="en-US" w:eastAsia="zh-CN"/>
              </w:rPr>
              <w:t>37</w:t>
            </w:r>
          </w:p>
        </w:tc>
        <w:tc>
          <w:tcPr>
            <w:tcW w:w="4329" w:type="dxa"/>
            <w:gridSpan w:val="4"/>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项目支出：3712.69</w:t>
            </w:r>
          </w:p>
        </w:tc>
      </w:tr>
      <w:tr>
        <w:tblPrEx>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spacing w:line="240" w:lineRule="exact"/>
              <w:jc w:val="left"/>
              <w:rPr>
                <w:rFonts w:hint="eastAsia" w:ascii="仿宋" w:hAnsi="仿宋" w:eastAsia="仿宋" w:cs="仿宋"/>
                <w:sz w:val="21"/>
                <w:szCs w:val="21"/>
              </w:rPr>
            </w:pPr>
            <w:r>
              <w:rPr>
                <w:rFonts w:hint="eastAsia" w:ascii="仿宋" w:hAnsi="仿宋" w:eastAsia="仿宋" w:cs="仿宋"/>
                <w:sz w:val="21"/>
                <w:szCs w:val="21"/>
              </w:rPr>
              <w:t>纳入专户管理的非税收入拨款：</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jc w:val="center"/>
        </w:trPr>
        <w:tc>
          <w:tcPr>
            <w:tcW w:w="1232"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spacing w:line="240" w:lineRule="exact"/>
              <w:jc w:val="left"/>
              <w:rPr>
                <w:rFonts w:hint="eastAsia" w:ascii="仿宋" w:hAnsi="仿宋" w:eastAsia="仿宋" w:cs="仿宋"/>
                <w:sz w:val="21"/>
                <w:szCs w:val="21"/>
              </w:rPr>
            </w:pPr>
            <w:r>
              <w:rPr>
                <w:rFonts w:hint="eastAsia" w:ascii="仿宋" w:hAnsi="仿宋" w:eastAsia="仿宋" w:cs="仿宋"/>
                <w:sz w:val="21"/>
                <w:szCs w:val="21"/>
              </w:rPr>
              <w:t>其他资金：2772.14</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trHeight w:val="452" w:hRule="atLeast"/>
          <w:jc w:val="center"/>
        </w:trPr>
        <w:tc>
          <w:tcPr>
            <w:tcW w:w="1232"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432"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32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CellMar>
            <w:top w:w="0" w:type="dxa"/>
            <w:left w:w="108" w:type="dxa"/>
            <w:bottom w:w="0" w:type="dxa"/>
            <w:right w:w="108" w:type="dxa"/>
          </w:tblCellMar>
        </w:tblPrEx>
        <w:trPr>
          <w:trHeight w:val="995" w:hRule="atLeast"/>
          <w:jc w:val="center"/>
        </w:trPr>
        <w:tc>
          <w:tcPr>
            <w:tcW w:w="1232"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按时按标准发放工作人员工资福利待遇</w:t>
            </w:r>
            <w:r>
              <w:rPr>
                <w:rFonts w:hint="eastAsia" w:ascii="仿宋" w:hAnsi="仿宋" w:eastAsia="仿宋" w:cs="仿宋"/>
                <w:color w:val="000000"/>
                <w:kern w:val="0"/>
                <w:sz w:val="21"/>
                <w:szCs w:val="21"/>
                <w:lang w:eastAsia="zh-CN"/>
              </w:rPr>
              <w:t>；保障各部门各项工作开展；弥补村社区各项社会事务工作的工作经费</w:t>
            </w:r>
          </w:p>
        </w:tc>
        <w:tc>
          <w:tcPr>
            <w:tcW w:w="432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按时按标准发放工作人员工资福利待遇</w:t>
            </w:r>
            <w:r>
              <w:rPr>
                <w:rFonts w:hint="eastAsia" w:ascii="仿宋" w:hAnsi="仿宋" w:eastAsia="仿宋" w:cs="仿宋"/>
                <w:color w:val="000000"/>
                <w:kern w:val="0"/>
                <w:sz w:val="21"/>
                <w:szCs w:val="21"/>
                <w:lang w:eastAsia="zh-CN"/>
              </w:rPr>
              <w:t>；保障各部门各项工作开展；弥补村社区各项社会事务工作的工作经费</w:t>
            </w:r>
          </w:p>
        </w:tc>
      </w:tr>
      <w:tr>
        <w:tblPrEx>
          <w:tblCellMar>
            <w:top w:w="0" w:type="dxa"/>
            <w:left w:w="108" w:type="dxa"/>
            <w:bottom w:w="0" w:type="dxa"/>
            <w:right w:w="108" w:type="dxa"/>
          </w:tblCellMar>
        </w:tblPrEx>
        <w:trPr>
          <w:trHeight w:val="742" w:hRule="atLeast"/>
          <w:jc w:val="center"/>
        </w:trPr>
        <w:tc>
          <w:tcPr>
            <w:tcW w:w="123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spacing w:line="240" w:lineRule="exact"/>
              <w:jc w:val="center"/>
              <w:rPr>
                <w:rFonts w:hint="eastAsia" w:ascii="仿宋" w:hAnsi="仿宋" w:eastAsia="仿宋" w:cs="仿宋"/>
                <w:color w:val="000000"/>
                <w:kern w:val="0"/>
                <w:sz w:val="21"/>
                <w:szCs w:val="21"/>
              </w:rPr>
            </w:pPr>
          </w:p>
        </w:tc>
        <w:tc>
          <w:tcPr>
            <w:tcW w:w="92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95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276" w:type="dxa"/>
            <w:tcBorders>
              <w:top w:val="nil"/>
              <w:left w:val="nil"/>
              <w:bottom w:val="single" w:color="auto" w:sz="4" w:space="0"/>
              <w:right w:val="single" w:color="auto" w:sz="4" w:space="0"/>
            </w:tcBorders>
            <w:noWrap w:val="0"/>
            <w:vAlign w:val="center"/>
          </w:tcPr>
          <w:p>
            <w:pPr>
              <w:widowControl/>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实际完成值</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0"/>
                <w:szCs w:val="20"/>
              </w:rPr>
              <w:t>改进措施</w:t>
            </w:r>
          </w:p>
        </w:tc>
      </w:tr>
      <w:tr>
        <w:tblPrEx>
          <w:tblCellMar>
            <w:top w:w="0" w:type="dxa"/>
            <w:left w:w="108" w:type="dxa"/>
            <w:bottom w:w="0" w:type="dxa"/>
            <w:right w:w="108" w:type="dxa"/>
          </w:tblCellMar>
        </w:tblPrEx>
        <w:trPr>
          <w:trHeight w:val="90"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spacing w:line="240" w:lineRule="exact"/>
              <w:jc w:val="center"/>
              <w:rPr>
                <w:rFonts w:hint="eastAsia" w:ascii="仿宋" w:hAnsi="仿宋" w:eastAsia="仿宋" w:cs="仿宋"/>
                <w:color w:val="000000"/>
                <w:kern w:val="0"/>
                <w:sz w:val="21"/>
                <w:szCs w:val="21"/>
              </w:rPr>
            </w:pP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w:t>
            </w:r>
            <w:r>
              <w:rPr>
                <w:rFonts w:hint="eastAsia" w:ascii="仿宋" w:hAnsi="仿宋" w:eastAsia="仿宋" w:cs="仿宋"/>
                <w:color w:val="000000"/>
                <w:kern w:val="0"/>
                <w:sz w:val="21"/>
                <w:szCs w:val="21"/>
                <w:lang w:val="en-US" w:eastAsia="zh-CN"/>
              </w:rPr>
              <w:t>保障村干部工资全额发放</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691.3</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1064.6</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20</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指标2：保障机关稳定运行</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指标1：管理制度健全性</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指标2：资金使用合规性</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w:t>
            </w:r>
            <w:r>
              <w:rPr>
                <w:rFonts w:hint="eastAsia" w:ascii="仿宋" w:hAnsi="仿宋" w:eastAsia="仿宋" w:cs="仿宋"/>
                <w:color w:val="000000"/>
                <w:kern w:val="0"/>
                <w:sz w:val="21"/>
                <w:szCs w:val="21"/>
                <w:lang w:val="en-US" w:eastAsia="zh-CN"/>
              </w:rPr>
              <w:t>每月按时拨付到位拨付率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90"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指标1：预算控制率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指标2：公用经费控制率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spacing w:line="240" w:lineRule="exact"/>
              <w:jc w:val="left"/>
              <w:rPr>
                <w:rFonts w:hint="eastAsia" w:ascii="仿宋" w:hAnsi="仿宋" w:eastAsia="仿宋" w:cs="仿宋"/>
                <w:color w:val="000000"/>
                <w:kern w:val="0"/>
                <w:sz w:val="21"/>
                <w:szCs w:val="21"/>
              </w:rPr>
            </w:pP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spacing w:line="240" w:lineRule="exact"/>
              <w:jc w:val="center"/>
              <w:rPr>
                <w:rFonts w:hint="eastAsia" w:ascii="仿宋" w:hAnsi="仿宋" w:eastAsia="仿宋" w:cs="仿宋"/>
                <w:color w:val="000000"/>
                <w:kern w:val="0"/>
                <w:sz w:val="21"/>
                <w:szCs w:val="21"/>
              </w:rPr>
            </w:pPr>
          </w:p>
        </w:tc>
        <w:tc>
          <w:tcPr>
            <w:tcW w:w="95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指标1：重点项目完成率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指标2：粮食生产完成率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w:t>
            </w:r>
            <w:r>
              <w:rPr>
                <w:rFonts w:hint="eastAsia" w:ascii="仿宋" w:hAnsi="仿宋" w:eastAsia="仿宋" w:cs="仿宋"/>
                <w:color w:val="000000"/>
                <w:kern w:val="0"/>
                <w:sz w:val="21"/>
                <w:szCs w:val="21"/>
                <w:lang w:val="en-US" w:eastAsia="zh-CN"/>
              </w:rPr>
              <w:t>保障乡村两级正常运转</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指标1：环保投诉增长比率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315"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35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指标1：增加全乡就业人数</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≥1000</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1200</w:t>
            </w:r>
          </w:p>
        </w:tc>
        <w:tc>
          <w:tcPr>
            <w:tcW w:w="8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222"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w:t>
            </w:r>
          </w:p>
        </w:tc>
        <w:tc>
          <w:tcPr>
            <w:tcW w:w="120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2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1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88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p>
        </w:tc>
        <w:tc>
          <w:tcPr>
            <w:tcW w:w="1352"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1574"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35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指标1：</w:t>
            </w:r>
            <w:r>
              <w:rPr>
                <w:rFonts w:hint="eastAsia" w:ascii="仿宋" w:hAnsi="仿宋" w:eastAsia="仿宋" w:cs="仿宋"/>
                <w:color w:val="000000"/>
                <w:kern w:val="0"/>
                <w:sz w:val="21"/>
                <w:szCs w:val="21"/>
                <w:lang w:val="en-US" w:eastAsia="zh-CN"/>
              </w:rPr>
              <w:t>群众对乡村两级服务的满意度</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96%</w:t>
            </w:r>
          </w:p>
        </w:tc>
        <w:tc>
          <w:tcPr>
            <w:tcW w:w="8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3.6</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偏差原因：部分工作还有待加强。改进措施：用心服务，提升满意度</w:t>
            </w:r>
          </w:p>
          <w:p>
            <w:pPr>
              <w:pStyle w:val="2"/>
              <w:rPr>
                <w:rFonts w:hint="default"/>
                <w:lang w:val="en-US" w:eastAsia="zh-CN"/>
              </w:rPr>
            </w:pPr>
          </w:p>
        </w:tc>
      </w:tr>
      <w:tr>
        <w:tblPrEx>
          <w:tblCellMar>
            <w:top w:w="0" w:type="dxa"/>
            <w:left w:w="108" w:type="dxa"/>
            <w:bottom w:w="0" w:type="dxa"/>
            <w:right w:w="108" w:type="dxa"/>
          </w:tblCellMar>
        </w:tblPrEx>
        <w:trPr>
          <w:trHeight w:val="270"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指标2：惠农政策知晓率</w:t>
            </w:r>
          </w:p>
        </w:tc>
        <w:tc>
          <w:tcPr>
            <w:tcW w:w="120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w:t>
            </w:r>
          </w:p>
        </w:tc>
        <w:tc>
          <w:tcPr>
            <w:tcW w:w="88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270"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指标</w:t>
            </w:r>
            <w:r>
              <w:rPr>
                <w:rFonts w:hint="eastAsia" w:ascii="仿宋" w:hAnsi="仿宋" w:eastAsia="仿宋" w:cs="仿宋"/>
                <w:color w:val="000000"/>
                <w:kern w:val="0"/>
                <w:sz w:val="21"/>
                <w:szCs w:val="21"/>
                <w:lang w:val="en-US" w:eastAsia="zh-CN"/>
              </w:rPr>
              <w:t>3：来访群众接待满意率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270" w:hRule="atLeast"/>
          <w:jc w:val="center"/>
        </w:trPr>
        <w:tc>
          <w:tcPr>
            <w:tcW w:w="6940" w:type="dxa"/>
            <w:gridSpan w:val="7"/>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12"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99.6</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ind w:left="0" w:leftChars="0" w:firstLine="0" w:firstLineChars="0"/>
        <w:rPr>
          <w:rFonts w:hint="eastAsia" w:ascii="仿宋" w:hAnsi="仿宋" w:eastAsia="仿宋" w:cs="仿宋"/>
          <w:kern w:val="0"/>
          <w:sz w:val="21"/>
          <w:szCs w:val="21"/>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方正小标宋简体" w:hAnsi="方正小标宋简体" w:eastAsia="方正小标宋简体" w:cs="方正小标宋简体"/>
          <w:color w:val="000000"/>
          <w:kern w:val="0"/>
          <w:sz w:val="40"/>
          <w:szCs w:val="40"/>
        </w:rPr>
        <w:t>202</w:t>
      </w:r>
      <w:r>
        <w:rPr>
          <w:rFonts w:hint="eastAsia" w:ascii="方正小标宋简体" w:hAnsi="方正小标宋简体" w:eastAsia="方正小标宋简体" w:cs="方正小标宋简体"/>
          <w:color w:val="000000"/>
          <w:kern w:val="0"/>
          <w:sz w:val="40"/>
          <w:szCs w:val="40"/>
          <w:lang w:val="en-US" w:eastAsia="zh-CN"/>
        </w:rPr>
        <w:t>3</w:t>
      </w:r>
      <w:r>
        <w:rPr>
          <w:rFonts w:hint="eastAsia" w:ascii="方正小标宋简体" w:hAnsi="方正小标宋简体" w:eastAsia="方正小标宋简体" w:cs="方正小标宋简体"/>
          <w:color w:val="000000"/>
          <w:kern w:val="0"/>
          <w:sz w:val="40"/>
          <w:szCs w:val="40"/>
        </w:rPr>
        <w:t>年度项目支出绩效自评表</w:t>
      </w:r>
    </w:p>
    <w:tbl>
      <w:tblPr>
        <w:tblStyle w:val="8"/>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乡镇财政体制</w:t>
            </w:r>
          </w:p>
        </w:tc>
      </w:tr>
      <w:tr>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益阳市资阳区财政局乡镇事务中心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张家塞乡人民政府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全年</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58.12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58.12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58.12</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58.12</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58.12</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58.12</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18"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18"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保障乡镇财政正常运转</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保障乡镇财政正常运转</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指标1：全部用于乡镇财政</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运转</w:t>
            </w:r>
            <w:r>
              <w:rPr>
                <w:rFonts w:hint="eastAsia" w:ascii="仿宋" w:hAnsi="仿宋" w:eastAsia="仿宋" w:cs="仿宋"/>
                <w:color w:val="000000"/>
                <w:kern w:val="0"/>
                <w:sz w:val="21"/>
                <w:szCs w:val="21"/>
                <w:lang w:val="en-US" w:eastAsia="zh-CN"/>
              </w:rPr>
              <w:t>经费支出</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58.12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58.12</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指标1：乡镇财政运转正常</w:t>
            </w:r>
            <w:r>
              <w:rPr>
                <w:rFonts w:hint="eastAsia" w:ascii="仿宋" w:hAnsi="仿宋" w:eastAsia="仿宋" w:cs="仿宋"/>
                <w:color w:val="000000"/>
                <w:kern w:val="0"/>
                <w:sz w:val="21"/>
                <w:szCs w:val="21"/>
                <w:lang w:val="en-US" w:eastAsia="zh-CN"/>
              </w:rPr>
              <w:t>得分</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10分</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指标1：项目申报时间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年1月-202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年12月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年1月-202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年12月</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指标1：工作满意度</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100</w:t>
            </w: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ind w:left="0" w:leftChars="0" w:firstLine="0" w:firstLineChars="0"/>
        <w:rPr>
          <w:rFonts w:hint="eastAsia" w:ascii="仿宋" w:hAnsi="仿宋" w:eastAsia="仿宋" w:cs="仿宋"/>
          <w:kern w:val="0"/>
          <w:sz w:val="21"/>
          <w:szCs w:val="21"/>
        </w:rPr>
      </w:pPr>
    </w:p>
    <w:p>
      <w:pPr>
        <w:pStyle w:val="2"/>
        <w:ind w:left="0" w:leftChars="0" w:firstLine="0" w:firstLineChars="0"/>
        <w:rPr>
          <w:rFonts w:hint="eastAsia" w:ascii="仿宋" w:hAnsi="仿宋" w:eastAsia="仿宋" w:cs="仿宋"/>
          <w:kern w:val="0"/>
          <w:sz w:val="21"/>
          <w:szCs w:val="21"/>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方正小标宋简体" w:hAnsi="方正小标宋简体" w:eastAsia="方正小标宋简体" w:cs="方正小标宋简体"/>
          <w:color w:val="000000"/>
          <w:kern w:val="0"/>
          <w:sz w:val="40"/>
          <w:szCs w:val="40"/>
        </w:rPr>
        <w:t>202</w:t>
      </w:r>
      <w:r>
        <w:rPr>
          <w:rFonts w:hint="eastAsia" w:ascii="方正小标宋简体" w:hAnsi="方正小标宋简体" w:eastAsia="方正小标宋简体" w:cs="方正小标宋简体"/>
          <w:color w:val="000000"/>
          <w:kern w:val="0"/>
          <w:sz w:val="40"/>
          <w:szCs w:val="40"/>
          <w:lang w:val="en-US" w:eastAsia="zh-CN"/>
        </w:rPr>
        <w:t>3</w:t>
      </w:r>
      <w:r>
        <w:rPr>
          <w:rFonts w:hint="eastAsia" w:ascii="方正小标宋简体" w:hAnsi="方正小标宋简体" w:eastAsia="方正小标宋简体" w:cs="方正小标宋简体"/>
          <w:color w:val="000000"/>
          <w:kern w:val="0"/>
          <w:sz w:val="40"/>
          <w:szCs w:val="40"/>
        </w:rPr>
        <w:t>年度项目支出绩效自评表</w:t>
      </w:r>
    </w:p>
    <w:tbl>
      <w:tblPr>
        <w:tblStyle w:val="8"/>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乡镇运转经费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益阳市资阳区财政局乡镇事务中心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张家塞乡人民政府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29.16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29.16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29.16</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29.16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29.16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29.16</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18"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18"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保障乡镇正常运转</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保障乡镇正常运转</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指标1：全部用于乡镇运转</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29.16</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29.16</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指标1：乡镇正常运转</w:t>
            </w:r>
            <w:r>
              <w:rPr>
                <w:rFonts w:hint="eastAsia" w:ascii="仿宋" w:hAnsi="仿宋" w:eastAsia="仿宋" w:cs="仿宋"/>
                <w:color w:val="000000"/>
                <w:kern w:val="0"/>
                <w:sz w:val="21"/>
                <w:szCs w:val="21"/>
                <w:lang w:val="en-US" w:eastAsia="zh-CN"/>
              </w:rPr>
              <w:t>得分</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指标1：项目申报时间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年1月-202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年12月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年1月-202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年12月</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指标1：</w:t>
            </w:r>
            <w:r>
              <w:rPr>
                <w:rFonts w:hint="eastAsia" w:ascii="仿宋" w:hAnsi="仿宋" w:eastAsia="仿宋" w:cs="仿宋"/>
                <w:color w:val="000000"/>
                <w:kern w:val="0"/>
                <w:sz w:val="21"/>
                <w:szCs w:val="21"/>
                <w:lang w:val="en-US" w:eastAsia="zh-CN"/>
              </w:rPr>
              <w:t>确保民生率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指标1：工作满意度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pStyle w:val="2"/>
        <w:rPr>
          <w:rFonts w:hint="eastAsia" w:ascii="仿宋" w:hAnsi="仿宋" w:eastAsia="仿宋" w:cs="仿宋"/>
          <w:kern w:val="0"/>
          <w:sz w:val="21"/>
          <w:szCs w:val="21"/>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方正小标宋简体" w:hAnsi="方正小标宋简体" w:eastAsia="方正小标宋简体" w:cs="方正小标宋简体"/>
          <w:color w:val="000000"/>
          <w:kern w:val="0"/>
          <w:sz w:val="40"/>
          <w:szCs w:val="40"/>
        </w:rPr>
        <w:t>202</w:t>
      </w:r>
      <w:r>
        <w:rPr>
          <w:rFonts w:hint="eastAsia" w:ascii="方正小标宋简体" w:hAnsi="方正小标宋简体" w:eastAsia="方正小标宋简体" w:cs="方正小标宋简体"/>
          <w:color w:val="000000"/>
          <w:kern w:val="0"/>
          <w:sz w:val="40"/>
          <w:szCs w:val="40"/>
          <w:lang w:val="en-US" w:eastAsia="zh-CN"/>
        </w:rPr>
        <w:t>3</w:t>
      </w:r>
      <w:r>
        <w:rPr>
          <w:rFonts w:hint="eastAsia" w:ascii="方正小标宋简体" w:hAnsi="方正小标宋简体" w:eastAsia="方正小标宋简体" w:cs="方正小标宋简体"/>
          <w:color w:val="000000"/>
          <w:kern w:val="0"/>
          <w:sz w:val="40"/>
          <w:szCs w:val="40"/>
        </w:rPr>
        <w:t>年度项目支出绩效自评表</w:t>
      </w:r>
    </w:p>
    <w:tbl>
      <w:tblPr>
        <w:tblStyle w:val="8"/>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村管费，正常离任村干部生活补贴提标扩面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益阳市资阳区财政局乡镇事务中心</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张家塞乡人民政府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18"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18"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保障乡镇正常运转</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保障乡镇正常运转</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指标1：保障运转的村、社区个数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指标1：指导各村、社区完成各项社会事务工作</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达标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达标</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指标1：项目申报时间</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年1月-202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年12月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年1月-202</w:t>
            </w: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年12月</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指标1：各社区资金经费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274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指标1：</w:t>
            </w:r>
            <w:r>
              <w:rPr>
                <w:rFonts w:hint="eastAsia" w:ascii="仿宋" w:hAnsi="仿宋" w:eastAsia="仿宋" w:cs="仿宋"/>
                <w:color w:val="000000"/>
                <w:kern w:val="0"/>
                <w:sz w:val="21"/>
                <w:szCs w:val="21"/>
                <w:lang w:val="en-US" w:eastAsia="zh-CN"/>
              </w:rPr>
              <w:t>各级任务完成率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指标1：工作满意度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10</w:t>
            </w: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pStyle w:val="2"/>
        <w:ind w:left="0" w:leftChars="0" w:firstLine="0" w:firstLineChars="0"/>
        <w:rPr>
          <w:rFonts w:hint="eastAsia" w:ascii="仿宋" w:hAnsi="仿宋" w:eastAsia="仿宋" w:cs="仿宋"/>
          <w:kern w:val="0"/>
          <w:sz w:val="21"/>
          <w:szCs w:val="21"/>
        </w:rPr>
      </w:pPr>
    </w:p>
    <w:sectPr>
      <w:footerReference r:id="rId3" w:type="default"/>
      <w:footerReference r:id="rId4" w:type="even"/>
      <w:pgSz w:w="11907" w:h="16840"/>
      <w:pgMar w:top="2041" w:right="1531" w:bottom="1871" w:left="1531" w:header="851" w:footer="1304" w:gutter="0"/>
      <w:cols w:space="720" w:num="1"/>
      <w:rtlGutter w:val="0"/>
      <w:docGrid w:type="linesAndChars" w:linePitch="58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righ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3</w:t>
    </w:r>
    <w:r>
      <w:rPr>
        <w:rFonts w:ascii="宋体" w:hAnsi="宋体" w:eastAsia="宋体"/>
        <w:sz w:val="28"/>
      </w:rPr>
      <w:fldChar w:fldCharType="end"/>
    </w:r>
    <w:r>
      <w:rPr>
        <w:rStyle w:val="11"/>
        <w:rFonts w:hint="eastAsia" w:ascii="宋体" w:hAnsi="宋体" w:eastAsia="宋体"/>
        <w:sz w:val="28"/>
      </w:rPr>
      <w:t>—</w:t>
    </w:r>
  </w:p>
  <w:p>
    <w:pPr>
      <w:pStyle w:val="5"/>
      <w:ind w:right="360" w:firstLine="360"/>
      <w:jc w:val="right"/>
      <w:rPr>
        <w:rFonts w:hint="eastAsia"/>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lef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4</w:t>
    </w:r>
    <w:r>
      <w:rPr>
        <w:rFonts w:ascii="宋体" w:hAnsi="宋体" w:eastAsia="宋体"/>
        <w:sz w:val="28"/>
      </w:rPr>
      <w:fldChar w:fldCharType="end"/>
    </w:r>
    <w:r>
      <w:rPr>
        <w:rStyle w:val="11"/>
        <w:rFonts w:hint="eastAsia" w:ascii="宋体" w:hAnsi="宋体" w:eastAsia="宋体"/>
        <w:sz w:val="28"/>
      </w:rPr>
      <w:t>—</w:t>
    </w:r>
  </w:p>
  <w:p>
    <w:pPr>
      <w:pStyle w:val="5"/>
      <w:ind w:left="300" w:right="360" w:firstLine="360"/>
      <w:rPr>
        <w:rFonts w:hint="eastAsia"/>
        <w:sz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4Y2IwMzIwOGRkMDk1NDE1ZTdkNThiYTMwMTk2MWYifQ=="/>
  </w:docVars>
  <w:rsids>
    <w:rsidRoot w:val="599C2549"/>
    <w:rsid w:val="001C048E"/>
    <w:rsid w:val="05676EB1"/>
    <w:rsid w:val="06085010"/>
    <w:rsid w:val="07554285"/>
    <w:rsid w:val="08512C9F"/>
    <w:rsid w:val="08C72F61"/>
    <w:rsid w:val="12A55B88"/>
    <w:rsid w:val="144F3036"/>
    <w:rsid w:val="15A308B2"/>
    <w:rsid w:val="17343EB7"/>
    <w:rsid w:val="19CF6119"/>
    <w:rsid w:val="1CCB2BC8"/>
    <w:rsid w:val="21FE57EE"/>
    <w:rsid w:val="23B71573"/>
    <w:rsid w:val="26FE15FC"/>
    <w:rsid w:val="29EC0622"/>
    <w:rsid w:val="2C2E6CCF"/>
    <w:rsid w:val="2CC413E2"/>
    <w:rsid w:val="32472899"/>
    <w:rsid w:val="352B0250"/>
    <w:rsid w:val="3BC211E2"/>
    <w:rsid w:val="3BC63DBD"/>
    <w:rsid w:val="3C017F5D"/>
    <w:rsid w:val="3EAA0BC7"/>
    <w:rsid w:val="4391606A"/>
    <w:rsid w:val="48DD58AD"/>
    <w:rsid w:val="49E54A1A"/>
    <w:rsid w:val="4A946440"/>
    <w:rsid w:val="4D64659D"/>
    <w:rsid w:val="523F5052"/>
    <w:rsid w:val="578E4269"/>
    <w:rsid w:val="5979517E"/>
    <w:rsid w:val="599C2549"/>
    <w:rsid w:val="5A0F163F"/>
    <w:rsid w:val="647922CD"/>
    <w:rsid w:val="648B3FB8"/>
    <w:rsid w:val="65C20C5B"/>
    <w:rsid w:val="66434B4A"/>
    <w:rsid w:val="6A5A6906"/>
    <w:rsid w:val="6A6D03E7"/>
    <w:rsid w:val="6CF46B9E"/>
    <w:rsid w:val="724404C0"/>
    <w:rsid w:val="74662443"/>
    <w:rsid w:val="78454752"/>
    <w:rsid w:val="79330A4E"/>
    <w:rsid w:val="7D893333"/>
    <w:rsid w:val="7D9B4E14"/>
    <w:rsid w:val="7F39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ind w:firstLine="420"/>
    </w:pPr>
  </w:style>
  <w:style w:type="paragraph" w:customStyle="1" w:styleId="3">
    <w:name w:val="BodyTextIndent"/>
    <w:basedOn w:val="1"/>
    <w:qFormat/>
    <w:uiPriority w:val="0"/>
    <w:pPr>
      <w:spacing w:after="120"/>
      <w:ind w:left="420" w:leftChars="200" w:firstLine="200" w:firstLineChars="200"/>
      <w:textAlignment w:val="baseline"/>
    </w:pPr>
  </w:style>
  <w:style w:type="paragraph" w:styleId="4">
    <w:name w:val="Body Text Indent"/>
    <w:basedOn w:val="1"/>
    <w:qFormat/>
    <w:uiPriority w:val="0"/>
    <w:pPr>
      <w:ind w:firstLine="632" w:firstLine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7">
    <w:name w:val="Body Text First Indent 2"/>
    <w:basedOn w:val="4"/>
    <w:qFormat/>
    <w:uiPriority w:val="0"/>
    <w:pPr>
      <w:spacing w:before="100" w:beforeAutospacing="1" w:after="0"/>
      <w:ind w:left="0"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styleId="12">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16</Pages>
  <Words>0</Words>
  <Characters>0</Characters>
  <Lines>0</Lines>
  <Paragraphs>0</Paragraphs>
  <TotalTime>9</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2024-04-24T03:36:00Z</dcterms:created>
  <dc:creator>Administrator</dc:creator>
  <cp:lastModifiedBy>Administrator</cp:lastModifiedBy>
  <cp:lastPrinted>2024-06-01T01:21:09Z</cp:lastPrinted>
  <dcterms:modified xsi:type="dcterms:W3CDTF">2024-06-01T01:22:03Z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E9EB99BF8B4B422AB28B9F67A960F0B8_13</vt:lpwstr>
  </property>
</Properties>
</file>