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color w:val="000000" w:themeColor="text1"/>
          <w:sz w:val="42"/>
          <w:szCs w:val="44"/>
          <w14:textFill>
            <w14:solidFill>
              <w14:schemeClr w14:val="tx1"/>
            </w14:solidFill>
          </w14:textFill>
        </w:rPr>
      </w:pPr>
      <w:bookmarkStart w:id="0" w:name="_GoBack"/>
      <w:r>
        <w:rPr>
          <w:rFonts w:hint="eastAsia" w:ascii="仿宋" w:hAnsi="仿宋" w:eastAsia="仿宋" w:cs="仿宋"/>
          <w:color w:val="000000" w:themeColor="text1"/>
          <w:sz w:val="42"/>
          <w:szCs w:val="44"/>
          <w14:textFill>
            <w14:solidFill>
              <w14:schemeClr w14:val="tx1"/>
            </w14:solidFill>
          </w14:textFill>
        </w:rPr>
        <w:t>2022年度资阳区教育局整体支出绩效自评报告</w:t>
      </w:r>
    </w:p>
    <w:p>
      <w:pPr>
        <w:spacing w:line="560" w:lineRule="exact"/>
        <w:rPr>
          <w:rFonts w:hint="eastAsia" w:ascii="仿宋" w:hAnsi="仿宋" w:eastAsia="仿宋" w:cs="仿宋"/>
          <w:color w:val="000000" w:themeColor="text1"/>
          <w:sz w:val="36"/>
          <w:szCs w:val="36"/>
          <w14:textFill>
            <w14:solidFill>
              <w14:schemeClr w14:val="tx1"/>
            </w14:solidFill>
          </w14:textFill>
        </w:rPr>
      </w:pP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一、单位基本情况</w:t>
      </w:r>
    </w:p>
    <w:p>
      <w:pPr>
        <w:widowControl/>
        <w:shd w:val="clear" w:color="auto" w:fill="FFFFFF"/>
        <w:spacing w:line="360" w:lineRule="auto"/>
        <w:ind w:firstLine="643" w:firstLineChars="200"/>
        <w:rPr>
          <w:rFonts w:hint="eastAsia" w:ascii="仿宋" w:hAnsi="仿宋" w:eastAsia="仿宋" w:cs="仿宋"/>
          <w:b/>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（一）主要职能</w:t>
      </w:r>
    </w:p>
    <w:p>
      <w:pPr>
        <w:widowControl/>
        <w:shd w:val="clear" w:color="auto" w:fill="FFFFFF"/>
        <w:spacing w:line="360" w:lineRule="auto"/>
        <w:ind w:firstLine="640" w:firstLineChars="200"/>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贯彻执行党和国家的教育方针、政策、法规和制度，拟订全区教育事业发展规划，管理全区的基础教育、职业教育、成人教育、特殊教育以及幼儿教育工作，管理并使用好教育预算内、外资金，实行财务的审计、检查和监督，加强师资队伍建设等事项。</w:t>
      </w:r>
    </w:p>
    <w:p>
      <w:pPr>
        <w:widowControl/>
        <w:numPr>
          <w:ilvl w:val="0"/>
          <w:numId w:val="1"/>
        </w:numPr>
        <w:shd w:val="clear" w:color="auto" w:fill="FFFFFF"/>
        <w:spacing w:line="360" w:lineRule="auto"/>
        <w:ind w:firstLine="643" w:firstLineChars="200"/>
        <w:rPr>
          <w:rFonts w:hint="eastAsia" w:ascii="仿宋" w:hAnsi="仿宋" w:eastAsia="仿宋" w:cs="仿宋"/>
          <w:b/>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部门决算单位构成</w:t>
      </w:r>
    </w:p>
    <w:p>
      <w:pPr>
        <w:widowControl/>
        <w:numPr>
          <w:ilvl w:val="0"/>
          <w:numId w:val="0"/>
        </w:numPr>
        <w:shd w:val="clear" w:color="auto" w:fill="FFFFFF"/>
        <w:spacing w:line="360" w:lineRule="auto"/>
        <w:ind w:firstLine="960" w:firstLineChars="300"/>
        <w:rPr>
          <w:rFonts w:hint="eastAsia" w:ascii="仿宋" w:hAnsi="仿宋" w:eastAsia="仿宋" w:cs="仿宋"/>
          <w:b w:val="0"/>
          <w:bCs/>
          <w:color w:val="000000" w:themeColor="text1"/>
          <w:kern w:val="0"/>
          <w:sz w:val="32"/>
          <w:szCs w:val="32"/>
          <w:shd w:val="clear" w:color="auto" w:fill="FFFFFF"/>
          <w14:textFill>
            <w14:solidFill>
              <w14:schemeClr w14:val="tx1"/>
            </w14:solidFill>
          </w14:textFill>
        </w:rPr>
      </w:pPr>
      <w:r>
        <w:rPr>
          <w:rFonts w:hint="eastAsia" w:ascii="仿宋" w:hAnsi="仿宋" w:eastAsia="仿宋" w:cs="仿宋"/>
          <w:b w:val="0"/>
          <w:bCs/>
          <w:color w:val="000000" w:themeColor="text1"/>
          <w:kern w:val="0"/>
          <w:sz w:val="32"/>
          <w:szCs w:val="32"/>
          <w:shd w:val="clear" w:color="auto" w:fill="FFFFFF"/>
          <w14:textFill>
            <w14:solidFill>
              <w14:schemeClr w14:val="tx1"/>
            </w14:solidFill>
          </w14:textFill>
        </w:rPr>
        <w:t>我区现有学校63所，其中小学45所、初中10所、九年一贯制学校2所、普高4所、职高2所，在校学生共39850 人。现有幼儿园89所，其中公办幼儿园（含公办性质幼儿园）38所，民办幼儿园51所（普惠性民办幼儿园33所），共有在园幼儿10045人,其中公办园在园幼儿5239人，公办园在园幼儿占比为52.16%。全区在编教职工2484人。</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二、一般公共预算支出情况</w:t>
      </w:r>
    </w:p>
    <w:p>
      <w:pPr>
        <w:widowControl/>
        <w:shd w:val="clear" w:color="auto" w:fill="FFFFFF"/>
        <w:spacing w:line="360" w:lineRule="auto"/>
        <w:ind w:firstLine="643" w:firstLineChars="200"/>
        <w:rPr>
          <w:rFonts w:hint="eastAsia" w:ascii="仿宋" w:hAnsi="仿宋" w:eastAsia="仿宋" w:cs="仿宋"/>
          <w:b/>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（一）基本支出情况</w:t>
      </w:r>
    </w:p>
    <w:p>
      <w:pPr>
        <w:widowControl/>
        <w:shd w:val="clear" w:color="auto" w:fill="FFFFFF"/>
        <w:spacing w:line="360" w:lineRule="auto"/>
        <w:ind w:firstLine="640" w:firstLineChars="200"/>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区教育局系统2022年度一般公共预算财政拨款基本支出    53665.89万元,其中工资福利支出41568.55万元，对个人和家庭的补助支出3391.06万元，商品和服务支出8383.99万元。</w:t>
      </w:r>
    </w:p>
    <w:p>
      <w:pPr>
        <w:widowControl/>
        <w:shd w:val="clear" w:color="auto" w:fill="FFFFFF"/>
        <w:spacing w:line="360" w:lineRule="auto"/>
        <w:ind w:firstLine="643" w:firstLineChars="200"/>
        <w:rPr>
          <w:rFonts w:hint="eastAsia" w:ascii="仿宋" w:hAnsi="仿宋" w:eastAsia="仿宋" w:cs="仿宋"/>
          <w:b/>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1.工资福利支出</w:t>
      </w:r>
    </w:p>
    <w:p>
      <w:pPr>
        <w:widowControl/>
        <w:shd w:val="clear" w:color="auto" w:fill="FFFFFF"/>
        <w:spacing w:line="360" w:lineRule="auto"/>
        <w:ind w:firstLine="640" w:firstLineChars="200"/>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 xml:space="preserve">区教育局系统2022年度一般公共预算财政拨款基本支出工资福利支出41568.55万元，其中基本工资15843万元、津贴补贴2780万元、奖金34.07万元、伙食费补助95.94万元、绩效工资11138.71万元、机关事业单位基本养老保险缴费3106.44万元、职业年金缴费2.48万元、职工基本医疗保险缴费1815.05万元、公务员医疗补助缴费254.87万元、其他社会保障缴费26.27万元、住房公积金2062.31万元、其他工资福利支出4217.32万元。 </w:t>
      </w:r>
    </w:p>
    <w:p>
      <w:pPr>
        <w:widowControl/>
        <w:shd w:val="clear" w:color="auto" w:fill="FFFFFF"/>
        <w:spacing w:line="360" w:lineRule="auto"/>
        <w:ind w:firstLine="643" w:firstLineChars="200"/>
        <w:rPr>
          <w:rFonts w:hint="eastAsia" w:ascii="仿宋" w:hAnsi="仿宋" w:eastAsia="仿宋" w:cs="仿宋"/>
          <w:b/>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2.商品服务支出</w:t>
      </w:r>
    </w:p>
    <w:p>
      <w:pPr>
        <w:widowControl/>
        <w:shd w:val="clear" w:color="auto" w:fill="FFFFFF"/>
        <w:spacing w:line="360" w:lineRule="auto"/>
        <w:ind w:firstLine="640" w:firstLineChars="200"/>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区教育局系统2022年度一般公共预算财政拨款基本支出商品服务支出8383.99万元，其中办公费553.26万元、印刷费769.34万元、咨询费53.38万元、手续费2.93万元、水费176.53万元、电费374.58万元、邮电费4.5万元、物业管理费162.88万元、差旅费62.42万元、维修（护）费1046.18万元、租赁费326.26万元、会议费6.96万元、培训费316.83万元、公务接待费0.68万元、专用材料费2046.74万元、劳务费102.98万元、工会经费620.65万元、福利费160.07万元、其他交通费254.39万元、其他商品和服务支出1149.57万元。</w:t>
      </w:r>
    </w:p>
    <w:p>
      <w:pPr>
        <w:widowControl/>
        <w:shd w:val="clear" w:color="auto" w:fill="FFFFFF"/>
        <w:spacing w:line="360" w:lineRule="auto"/>
        <w:ind w:firstLine="643" w:firstLineChars="200"/>
        <w:rPr>
          <w:rFonts w:hint="eastAsia" w:ascii="仿宋" w:hAnsi="仿宋" w:eastAsia="仿宋" w:cs="仿宋"/>
          <w:b/>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3.对个人和家庭和补助支出</w:t>
      </w:r>
    </w:p>
    <w:p>
      <w:pPr>
        <w:widowControl/>
        <w:shd w:val="clear" w:color="auto" w:fill="FFFFFF"/>
        <w:spacing w:line="360" w:lineRule="auto"/>
        <w:ind w:firstLine="640" w:firstLineChars="200"/>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区教育局系统2022年度一般公共预算财政拨款基本支出对个人和家庭和补助支出3391.06万元，退休费85.68万元、抚恤金680.12万元、生活补助844.07万元、医疗费补助237.97万元、助学金829.23万元、奖励金421.22万元、其他对个人和家庭的补助292.77万元。</w:t>
      </w:r>
    </w:p>
    <w:p>
      <w:pPr>
        <w:widowControl/>
        <w:shd w:val="clear" w:color="auto" w:fill="FFFFFF"/>
        <w:spacing w:line="360" w:lineRule="auto"/>
        <w:ind w:firstLine="643" w:firstLineChars="200"/>
        <w:rPr>
          <w:rFonts w:hint="eastAsia" w:ascii="仿宋" w:hAnsi="仿宋" w:eastAsia="仿宋" w:cs="仿宋"/>
          <w:b/>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（二）项目支出情况</w:t>
      </w:r>
    </w:p>
    <w:p>
      <w:pPr>
        <w:widowControl/>
        <w:shd w:val="clear" w:color="auto" w:fill="FFFFFF"/>
        <w:spacing w:line="360" w:lineRule="auto"/>
        <w:ind w:firstLine="640" w:firstLineChars="200"/>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区教育局系统2022年度一般公共预算财政拨款项目支出 2513.69元</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三、政府性基金预算支出情况</w:t>
      </w:r>
    </w:p>
    <w:p>
      <w:pPr>
        <w:widowControl/>
        <w:shd w:val="clear" w:color="auto" w:fill="FFFFFF"/>
        <w:spacing w:line="360" w:lineRule="auto"/>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区教育局系统2022年度</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无</w:t>
      </w:r>
      <w:r>
        <w:rPr>
          <w:rFonts w:hint="eastAsia" w:ascii="仿宋" w:hAnsi="仿宋" w:eastAsia="仿宋" w:cs="仿宋"/>
          <w:color w:val="000000" w:themeColor="text1"/>
          <w:kern w:val="0"/>
          <w:sz w:val="32"/>
          <w:szCs w:val="32"/>
          <w:shd w:val="clear" w:color="auto" w:fill="FFFFFF"/>
          <w14:textFill>
            <w14:solidFill>
              <w14:schemeClr w14:val="tx1"/>
            </w14:solidFill>
          </w14:textFill>
        </w:rPr>
        <w:t xml:space="preserve">政府性基金预算财政拨款项目支出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四、国有资本经营预算支出情况</w:t>
      </w:r>
    </w:p>
    <w:p>
      <w:pPr>
        <w:widowControl/>
        <w:shd w:val="clear" w:color="auto" w:fill="FFFFFF"/>
        <w:spacing w:line="360" w:lineRule="auto"/>
        <w:ind w:firstLine="640" w:firstLineChars="200"/>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本单位本年度无国有资本经营预算支出。</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五、社会保险基金预算支出情况</w:t>
      </w:r>
    </w:p>
    <w:p>
      <w:pPr>
        <w:widowControl/>
        <w:spacing w:line="60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本单位本年度无社会保险基金预算支出。</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六、部门整体支出绩效情况</w:t>
      </w:r>
    </w:p>
    <w:p>
      <w:pPr>
        <w:widowControl/>
        <w:spacing w:line="600" w:lineRule="exact"/>
        <w:ind w:firstLine="645"/>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资阳区教育局严格执行《预算法》，强化支出责任，不断提高资金使用效益，根据绩效评价相关制度规定对2022年度部门整体支出开展绩效评价，认真制定绩效自评工作方案，坚持客观公正和有效性原则，按照设定的指标体系，组织各职能股室对各类项目资金开展预算资金绩效自评。</w:t>
      </w:r>
    </w:p>
    <w:p>
      <w:pPr>
        <w:widowControl/>
        <w:shd w:val="clear" w:color="auto" w:fill="FFFFFF"/>
        <w:spacing w:line="360" w:lineRule="auto"/>
        <w:ind w:firstLine="643" w:firstLineChars="200"/>
        <w:rPr>
          <w:rFonts w:hint="eastAsia" w:ascii="仿宋" w:hAnsi="仿宋" w:eastAsia="仿宋" w:cs="仿宋"/>
          <w:b/>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（一）绩效评价工作情况</w:t>
      </w:r>
    </w:p>
    <w:p>
      <w:pPr>
        <w:widowControl/>
        <w:spacing w:line="60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1.成立领导小组。教育局抽调计财股、人事股、幼教股、基础教育股等部门、项目部门负责人、项目相关学校财务人员组成绩效评价工作领导小组，学习评价指标体系和绩效评价相关要求，明确工作职责和分工。</w:t>
      </w:r>
    </w:p>
    <w:p>
      <w:pPr>
        <w:widowControl/>
        <w:spacing w:line="600" w:lineRule="exact"/>
        <w:ind w:firstLine="645"/>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制定评价方案。由评价小组按照客观、科学、可行的原由则，由评价小组充分研究和讨论后，确定各项目绩效自评的对象和范围、评价目的、评价依据、评价内容、评价方法、评价指标、评价标准、评价实施步骤、人员和时间安排等内容。</w:t>
      </w:r>
    </w:p>
    <w:p>
      <w:pPr>
        <w:widowControl/>
        <w:spacing w:line="600" w:lineRule="exact"/>
        <w:ind w:firstLine="645"/>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3.实施绩效评价</w:t>
      </w:r>
    </w:p>
    <w:p>
      <w:pPr>
        <w:widowControl/>
        <w:shd w:val="clear" w:color="auto" w:fill="FFFFFF"/>
        <w:spacing w:line="360" w:lineRule="auto"/>
        <w:ind w:firstLine="640" w:firstLineChars="200"/>
        <w:rPr>
          <w:rFonts w:hint="eastAsia" w:ascii="仿宋" w:hAnsi="仿宋" w:eastAsia="仿宋" w:cs="仿宋"/>
          <w:b/>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通过实地勘察、询问、发放问卷调查、召开座谈会听取汇报等方式收集相关评价资料，由评价小组对资料进行分类、整理、分析，根据评价方案中制定的评价依据、评价标准进行打分。</w:t>
      </w:r>
    </w:p>
    <w:p>
      <w:pPr>
        <w:widowControl/>
        <w:numPr>
          <w:ilvl w:val="0"/>
          <w:numId w:val="1"/>
        </w:numPr>
        <w:shd w:val="clear" w:color="auto" w:fill="FFFFFF"/>
        <w:spacing w:line="360" w:lineRule="auto"/>
        <w:ind w:left="0" w:leftChars="0" w:firstLine="643" w:firstLineChars="200"/>
        <w:rPr>
          <w:rFonts w:hint="eastAsia" w:ascii="仿宋" w:hAnsi="仿宋" w:eastAsia="仿宋" w:cs="仿宋"/>
          <w:b/>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部门整体支出主要绩效及评价结论</w:t>
      </w:r>
    </w:p>
    <w:p>
      <w:pPr>
        <w:adjustRightInd w:val="0"/>
        <w:snapToGrid w:val="0"/>
        <w:spacing w:line="560" w:lineRule="exact"/>
        <w:ind w:firstLine="42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根据部门整体支出绩效评价指标体系和绩效检查情况，我们对</w:t>
      </w:r>
      <w:r>
        <w:rPr>
          <w:rFonts w:hint="eastAsia" w:ascii="仿宋_GB2312" w:hAnsi="仿宋" w:eastAsia="仿宋_GB2312" w:cs="仿宋"/>
          <w:color w:val="000000" w:themeColor="text1"/>
          <w:sz w:val="32"/>
          <w:szCs w:val="32"/>
          <w:lang w:val="en-US" w:eastAsia="zh-CN"/>
          <w14:textFill>
            <w14:solidFill>
              <w14:schemeClr w14:val="tx1"/>
            </w14:solidFill>
          </w14:textFill>
        </w:rPr>
        <w:t>2022</w:t>
      </w:r>
      <w:r>
        <w:rPr>
          <w:rFonts w:hint="eastAsia" w:ascii="仿宋_GB2312" w:hAnsi="仿宋" w:eastAsia="仿宋_GB2312" w:cs="仿宋"/>
          <w:color w:val="000000" w:themeColor="text1"/>
          <w:sz w:val="32"/>
          <w:szCs w:val="32"/>
          <w14:textFill>
            <w14:solidFill>
              <w14:schemeClr w14:val="tx1"/>
            </w14:solidFill>
          </w14:textFill>
        </w:rPr>
        <w:t>年度整体支出绩效进行了综合评分，</w:t>
      </w:r>
      <w:r>
        <w:rPr>
          <w:rFonts w:hint="eastAsia" w:ascii="仿宋_GB2312" w:hAnsi="仿宋" w:eastAsia="仿宋_GB2312" w:cs="仿宋"/>
          <w:color w:val="000000" w:themeColor="text1"/>
          <w:sz w:val="32"/>
          <w:szCs w:val="32"/>
          <w:lang w:val="en-US" w:eastAsia="zh-CN"/>
          <w14:textFill>
            <w14:solidFill>
              <w14:schemeClr w14:val="tx1"/>
            </w14:solidFill>
          </w14:textFill>
        </w:rPr>
        <w:t>2022</w:t>
      </w:r>
      <w:r>
        <w:rPr>
          <w:rFonts w:hint="eastAsia" w:ascii="仿宋_GB2312" w:hAnsi="仿宋" w:eastAsia="仿宋_GB2312" w:cs="仿宋"/>
          <w:color w:val="000000" w:themeColor="text1"/>
          <w:sz w:val="32"/>
          <w:szCs w:val="32"/>
          <w14:textFill>
            <w14:solidFill>
              <w14:schemeClr w14:val="tx1"/>
            </w14:solidFill>
          </w14:textFill>
        </w:rPr>
        <w:t>年部门整体支出重点绩效评价指标总分值100分，实得</w:t>
      </w:r>
      <w:r>
        <w:rPr>
          <w:rFonts w:hint="eastAsia" w:ascii="仿宋_GB2312" w:hAnsi="仿宋" w:eastAsia="仿宋_GB2312" w:cs="仿宋"/>
          <w:color w:val="000000" w:themeColor="text1"/>
          <w:sz w:val="32"/>
          <w:szCs w:val="32"/>
          <w:lang w:val="en-US" w:eastAsia="zh-CN"/>
          <w14:textFill>
            <w14:solidFill>
              <w14:schemeClr w14:val="tx1"/>
            </w14:solidFill>
          </w14:textFill>
        </w:rPr>
        <w:t xml:space="preserve"> 100</w:t>
      </w:r>
      <w:r>
        <w:rPr>
          <w:rFonts w:hint="eastAsia" w:ascii="仿宋_GB2312" w:hAnsi="仿宋" w:eastAsia="仿宋_GB2312" w:cs="仿宋"/>
          <w:color w:val="000000" w:themeColor="text1"/>
          <w:sz w:val="32"/>
          <w:szCs w:val="32"/>
          <w14:textFill>
            <w14:solidFill>
              <w14:schemeClr w14:val="tx1"/>
            </w14:solidFill>
          </w14:textFill>
        </w:rPr>
        <w:t>分，评价等级“</w:t>
      </w:r>
      <w:r>
        <w:rPr>
          <w:rFonts w:hint="eastAsia" w:ascii="仿宋_GB2312" w:hAnsi="仿宋" w:eastAsia="仿宋_GB2312" w:cs="仿宋"/>
          <w:color w:val="000000" w:themeColor="text1"/>
          <w:sz w:val="32"/>
          <w:szCs w:val="32"/>
          <w:lang w:eastAsia="zh-CN"/>
          <w14:textFill>
            <w14:solidFill>
              <w14:schemeClr w14:val="tx1"/>
            </w14:solidFill>
          </w14:textFill>
        </w:rPr>
        <w:t>优秀</w:t>
      </w:r>
      <w:r>
        <w:rPr>
          <w:rFonts w:hint="eastAsia" w:ascii="仿宋_GB2312" w:hAnsi="仿宋" w:eastAsia="仿宋_GB2312" w:cs="仿宋"/>
          <w:color w:val="000000" w:themeColor="text1"/>
          <w:sz w:val="32"/>
          <w:szCs w:val="32"/>
          <w14:textFill>
            <w14:solidFill>
              <w14:schemeClr w14:val="tx1"/>
            </w14:solidFill>
          </w14:textFill>
        </w:rPr>
        <w:t>”（详见附件：</w:t>
      </w:r>
      <w:r>
        <w:rPr>
          <w:rFonts w:hint="eastAsia" w:ascii="仿宋_GB2312" w:hAnsi="仿宋" w:eastAsia="仿宋_GB2312" w:cs="仿宋"/>
          <w:color w:val="000000" w:themeColor="text1"/>
          <w:sz w:val="32"/>
          <w:szCs w:val="32"/>
          <w:lang w:val="en-US" w:eastAsia="zh-CN"/>
          <w14:textFill>
            <w14:solidFill>
              <w14:schemeClr w14:val="tx1"/>
            </w14:solidFill>
          </w14:textFill>
        </w:rPr>
        <w:t>2022</w:t>
      </w:r>
      <w:r>
        <w:rPr>
          <w:rFonts w:hint="eastAsia" w:ascii="仿宋_GB2312" w:hAnsi="仿宋" w:eastAsia="仿宋_GB2312" w:cs="仿宋"/>
          <w:color w:val="000000" w:themeColor="text1"/>
          <w:sz w:val="32"/>
          <w:szCs w:val="32"/>
          <w14:textFill>
            <w14:solidFill>
              <w14:schemeClr w14:val="tx1"/>
            </w14:solidFill>
          </w14:textFill>
        </w:rPr>
        <w:t>年整体支出绩效评价指标评分表）。整体支出成果及效益情况分析如下：</w:t>
      </w:r>
    </w:p>
    <w:p>
      <w:pPr>
        <w:pStyle w:val="7"/>
        <w:numPr>
          <w:ilvl w:val="0"/>
          <w:numId w:val="0"/>
        </w:numPr>
        <w:ind w:leftChars="200"/>
        <w:rPr>
          <w:rFonts w:hint="default" w:eastAsia="宋体"/>
          <w:color w:val="000000" w:themeColor="text1"/>
          <w:lang w:val="en-US" w:eastAsia="zh-CN"/>
          <w14:textFill>
            <w14:solidFill>
              <w14:schemeClr w14:val="tx1"/>
            </w14:solidFill>
          </w14:textFill>
        </w:rPr>
      </w:pPr>
    </w:p>
    <w:p>
      <w:pPr>
        <w:widowControl/>
        <w:spacing w:line="600" w:lineRule="exact"/>
        <w:ind w:firstLine="645"/>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1.预算资金使用情况。</w:t>
      </w:r>
      <w:r>
        <w:rPr>
          <w:rFonts w:hint="eastAsia" w:ascii="仿宋" w:hAnsi="仿宋" w:eastAsia="仿宋" w:cs="仿宋"/>
          <w:color w:val="000000" w:themeColor="text1"/>
          <w:sz w:val="32"/>
          <w:szCs w:val="32"/>
          <w14:textFill>
            <w14:solidFill>
              <w14:schemeClr w14:val="tx1"/>
            </w14:solidFill>
          </w14:textFill>
        </w:rPr>
        <w:t>区教育局不断加强资金管理，合理分配资金，按照重点倾斜、集中投入的原则，保运转、促发展，对预算支出管理实施动态监控、过程跟踪，依法实施政府采购、集中支付，做到各类预算支出专款专用，分类记账，独立核算，真实反映部门整体收支动态，及时公开资金管理使用情况，接受组织、个人或社会团体监督，圆满完成了2022年度预算执行任务。</w:t>
      </w:r>
    </w:p>
    <w:p>
      <w:pPr>
        <w:widowControl/>
        <w:spacing w:line="600" w:lineRule="exact"/>
        <w:ind w:firstLine="645"/>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绩效评价工作组对区教育系统教育经费投入和使用情况进行整体跟踪、综合评价，要根据资金来源分“财政拨款支出”和“其他资金支出”分类进行明细核算，根据支出类别分“基本支出”的“项目支出”进行明细核算，对“财政拨款支出”分“一般公共预算拨款”和“政府性基金预算拨款”进行明细核算，会计核算不存在支出依据不合规、虚列支出的情况，不存在截留、挤占、挪用项目资金情况，资金使用任务目标明确、到位及时，具有较好的经济和社会效益，群众和社会满意度较高。</w:t>
      </w:r>
    </w:p>
    <w:p>
      <w:pPr>
        <w:widowControl/>
        <w:numPr>
          <w:ilvl w:val="0"/>
          <w:numId w:val="2"/>
        </w:numPr>
        <w:spacing w:line="600" w:lineRule="exact"/>
        <w:ind w:firstLine="645"/>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部门</w:t>
      </w:r>
      <w:r>
        <w:rPr>
          <w:rFonts w:hint="eastAsia" w:ascii="仿宋_GB2312" w:hAnsi="仿宋" w:eastAsia="仿宋_GB2312" w:cs="仿宋"/>
          <w:color w:val="000000" w:themeColor="text1"/>
          <w:sz w:val="32"/>
          <w:szCs w:val="32"/>
          <w:lang w:eastAsia="zh-CN"/>
          <w14:textFill>
            <w14:solidFill>
              <w14:schemeClr w14:val="tx1"/>
            </w14:solidFill>
          </w14:textFill>
        </w:rPr>
        <w:t>履职</w:t>
      </w:r>
      <w:r>
        <w:rPr>
          <w:rFonts w:hint="eastAsia" w:ascii="仿宋_GB2312" w:hAnsi="仿宋" w:eastAsia="仿宋_GB2312" w:cs="仿宋"/>
          <w:color w:val="000000" w:themeColor="text1"/>
          <w:sz w:val="32"/>
          <w:szCs w:val="32"/>
          <w14:textFill>
            <w14:solidFill>
              <w14:schemeClr w14:val="tx1"/>
            </w14:solidFill>
          </w14:textFill>
        </w:rPr>
        <w:t>情况</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教育系统2022年具体完成的工作任务情况。</w:t>
      </w:r>
    </w:p>
    <w:p>
      <w:pPr>
        <w:keepNext w:val="0"/>
        <w:keepLines w:val="0"/>
        <w:pageBreakBefore w:val="0"/>
        <w:numPr>
          <w:ilvl w:val="0"/>
          <w:numId w:val="0"/>
        </w:numPr>
        <w:kinsoku/>
        <w:wordWrap/>
        <w:overflowPunct/>
        <w:topLinePunct w:val="0"/>
        <w:bidi w:val="0"/>
        <w:spacing w:line="360" w:lineRule="auto"/>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（1）稳步提升教育教学质量。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立德树人根本任务，强化学校思政课建设，举办了全区心理健康教育研讨会。举办了中小学生运动会、足球联赛和“五独”比赛，将德智体美劳全面发展情况作为评价学生的重要内容。高考学考总得分从全市第七名跃居到全市第四，改变了我区高考学考一段时间内各项指标在全市长期落后的局面。中考九科文化平均分、总分及格率、总分优秀率均为全市第四名（2021年为全市第五名）。</w:t>
      </w:r>
    </w:p>
    <w:p>
      <w:pPr>
        <w:pStyle w:val="2"/>
        <w:keepNext w:val="0"/>
        <w:keepLines w:val="0"/>
        <w:pageBreakBefore w:val="0"/>
        <w:numPr>
          <w:ilvl w:val="0"/>
          <w:numId w:val="0"/>
        </w:numPr>
        <w:kinsoku/>
        <w:wordWrap/>
        <w:overflowPunct/>
        <w:topLinePunct w:val="0"/>
        <w:autoSpaceDE/>
        <w:autoSpaceDN/>
        <w:bidi w:val="0"/>
        <w:adjustRightInd/>
        <w:spacing w:line="360" w:lineRule="auto"/>
        <w:ind w:firstLine="642"/>
        <w:jc w:val="both"/>
        <w:textAlignment w:val="auto"/>
        <w:rPr>
          <w:rFonts w:hint="eastAsia" w:ascii="仿宋" w:hAnsi="仿宋" w:eastAsia="仿宋" w:cs="仿宋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积极改善办学条件。</w:t>
      </w:r>
      <w:r>
        <w:rPr>
          <w:rFonts w:hint="eastAsia" w:ascii="仿宋" w:hAnsi="仿宋" w:eastAsia="仿宋" w:cs="仿宋_GB2312"/>
          <w:color w:val="000000" w:themeColor="text1"/>
          <w:kern w:val="0"/>
          <w:sz w:val="32"/>
          <w:szCs w:val="32"/>
          <w:lang w:val="en-US" w:eastAsia="zh-CN"/>
          <w14:textFill>
            <w14:solidFill>
              <w14:schemeClr w14:val="tx1"/>
            </w14:solidFill>
          </w14:textFill>
        </w:rPr>
        <w:t>一是城区推进重点改扩建项目，石码头小学改扩建基本完成并投入使用，实验小学完成了2栋教学楼改造，三益小学改扩建已正式启动。二是积极推进寄宿制学校与小规模学校建设。完成过鹿坪中学、划香仑小学、泽群小学等提质建设。三是积极推进“六个一”工程建设任务。完成龚家坪小学、左家仑小学校园提质建设。</w:t>
      </w:r>
      <w:r>
        <w:rPr>
          <w:rFonts w:hint="eastAsia" w:ascii="仿宋" w:hAnsi="仿宋" w:eastAsia="仿宋" w:cs="黑体"/>
          <w:bCs/>
          <w:color w:val="000000" w:themeColor="text1"/>
          <w:sz w:val="32"/>
          <w:szCs w:val="32"/>
          <w:lang w:eastAsia="zh-CN"/>
          <w14:textFill>
            <w14:solidFill>
              <w14:schemeClr w14:val="tx1"/>
            </w14:solidFill>
          </w14:textFill>
        </w:rPr>
        <w:t>已</w:t>
      </w:r>
      <w:r>
        <w:rPr>
          <w:rFonts w:hint="eastAsia" w:ascii="仿宋" w:hAnsi="仿宋" w:eastAsia="仿宋" w:cs="黑体"/>
          <w:bCs/>
          <w:color w:val="000000" w:themeColor="text1"/>
          <w:sz w:val="32"/>
          <w:szCs w:val="32"/>
          <w14:textFill>
            <w14:solidFill>
              <w14:schemeClr w14:val="tx1"/>
            </w14:solidFill>
          </w14:textFill>
        </w:rPr>
        <w:t>完成领仕汇小区、帝景嘉园小区、愿景小区</w:t>
      </w:r>
      <w:r>
        <w:rPr>
          <w:rFonts w:hint="eastAsia" w:ascii="仿宋" w:hAnsi="仿宋" w:eastAsia="仿宋" w:cs="黑体"/>
          <w:bCs/>
          <w:color w:val="000000" w:themeColor="text1"/>
          <w:kern w:val="2"/>
          <w:sz w:val="32"/>
          <w:szCs w:val="32"/>
          <w:lang w:val="en-US" w:eastAsia="zh-CN" w:bidi="ar-SA"/>
          <w14:textFill>
            <w14:solidFill>
              <w14:schemeClr w14:val="tx1"/>
            </w14:solidFill>
          </w14:textFill>
        </w:rPr>
        <w:t>3所</w:t>
      </w:r>
      <w:r>
        <w:rPr>
          <w:rFonts w:hint="eastAsia" w:ascii="仿宋" w:hAnsi="仿宋" w:eastAsia="仿宋" w:cs="黑体"/>
          <w:bCs/>
          <w:color w:val="000000" w:themeColor="text1"/>
          <w:sz w:val="32"/>
          <w:szCs w:val="32"/>
          <w14:textFill>
            <w14:solidFill>
              <w14:schemeClr w14:val="tx1"/>
            </w14:solidFill>
          </w14:textFill>
        </w:rPr>
        <w:t>治理小区配套幼儿园</w:t>
      </w:r>
      <w:r>
        <w:rPr>
          <w:rFonts w:hint="eastAsia" w:ascii="仿宋" w:hAnsi="仿宋" w:eastAsia="仿宋" w:cs="黑体"/>
          <w:bCs/>
          <w:color w:val="000000" w:themeColor="text1"/>
          <w:sz w:val="32"/>
          <w:szCs w:val="32"/>
          <w:lang w:eastAsia="zh-CN"/>
          <w14:textFill>
            <w14:solidFill>
              <w14:schemeClr w14:val="tx1"/>
            </w14:solidFill>
          </w14:textFill>
        </w:rPr>
        <w:t>治理。</w:t>
      </w:r>
      <w:r>
        <w:rPr>
          <w:rFonts w:hint="eastAsia" w:ascii="仿宋" w:hAnsi="仿宋" w:eastAsia="仿宋" w:cs="黑体"/>
          <w:bCs/>
          <w:color w:val="000000" w:themeColor="text1"/>
          <w:sz w:val="32"/>
          <w:szCs w:val="32"/>
          <w14:textFill>
            <w14:solidFill>
              <w14:schemeClr w14:val="tx1"/>
            </w14:solidFill>
          </w14:textFill>
        </w:rPr>
        <w:t>目前领仕汇小区</w:t>
      </w:r>
      <w:r>
        <w:rPr>
          <w:rFonts w:hint="eastAsia" w:ascii="仿宋" w:hAnsi="仿宋" w:eastAsia="仿宋" w:cs="黑体"/>
          <w:bCs/>
          <w:color w:val="000000" w:themeColor="text1"/>
          <w:sz w:val="32"/>
          <w:szCs w:val="32"/>
          <w:lang w:eastAsia="zh-CN"/>
          <w14:textFill>
            <w14:solidFill>
              <w14:schemeClr w14:val="tx1"/>
            </w14:solidFill>
          </w14:textFill>
        </w:rPr>
        <w:t>、</w:t>
      </w:r>
      <w:r>
        <w:rPr>
          <w:rFonts w:hint="eastAsia" w:ascii="仿宋" w:hAnsi="仿宋" w:eastAsia="仿宋" w:cs="黑体"/>
          <w:bCs/>
          <w:color w:val="000000" w:themeColor="text1"/>
          <w:sz w:val="32"/>
          <w:szCs w:val="32"/>
          <w14:textFill>
            <w14:solidFill>
              <w14:schemeClr w14:val="tx1"/>
            </w14:solidFill>
          </w14:textFill>
        </w:rPr>
        <w:t>愿景小区配套幼儿园已</w:t>
      </w:r>
      <w:r>
        <w:rPr>
          <w:rFonts w:hint="eastAsia" w:ascii="仿宋" w:hAnsi="仿宋" w:eastAsia="仿宋" w:cs="黑体"/>
          <w:bCs/>
          <w:color w:val="000000" w:themeColor="text1"/>
          <w:sz w:val="32"/>
          <w:szCs w:val="32"/>
          <w:lang w:eastAsia="zh-CN"/>
          <w14:textFill>
            <w14:solidFill>
              <w14:schemeClr w14:val="tx1"/>
            </w14:solidFill>
          </w14:textFill>
        </w:rPr>
        <w:t>投入使用</w:t>
      </w:r>
      <w:r>
        <w:rPr>
          <w:rFonts w:hint="eastAsia" w:ascii="仿宋" w:hAnsi="仿宋" w:eastAsia="仿宋" w:cs="黑体"/>
          <w:bCs/>
          <w:color w:val="000000" w:themeColor="text1"/>
          <w:sz w:val="32"/>
          <w:szCs w:val="32"/>
          <w14:textFill>
            <w14:solidFill>
              <w14:schemeClr w14:val="tx1"/>
            </w14:solidFill>
          </w14:textFill>
        </w:rPr>
        <w:t>，帝景嘉园小区幼儿园已完成</w:t>
      </w:r>
      <w:r>
        <w:rPr>
          <w:rFonts w:hint="eastAsia" w:ascii="仿宋" w:hAnsi="仿宋" w:eastAsia="仿宋" w:cs="黑体"/>
          <w:bCs/>
          <w:color w:val="000000" w:themeColor="text1"/>
          <w:sz w:val="32"/>
          <w:szCs w:val="32"/>
          <w:lang w:eastAsia="zh-CN"/>
          <w14:textFill>
            <w14:solidFill>
              <w14:schemeClr w14:val="tx1"/>
            </w14:solidFill>
          </w14:textFill>
        </w:rPr>
        <w:t>主体建设，正在进行装修</w:t>
      </w:r>
      <w:r>
        <w:rPr>
          <w:rFonts w:hint="eastAsia" w:ascii="仿宋" w:hAnsi="仿宋" w:eastAsia="仿宋" w:cs="黑体"/>
          <w:bCs/>
          <w:color w:val="000000" w:themeColor="text1"/>
          <w:sz w:val="32"/>
          <w:szCs w:val="32"/>
          <w14:textFill>
            <w14:solidFill>
              <w14:schemeClr w14:val="tx1"/>
            </w14:solidFill>
          </w14:textFill>
        </w:rPr>
        <w:t>。</w:t>
      </w:r>
      <w:r>
        <w:rPr>
          <w:rFonts w:hint="eastAsia" w:ascii="仿宋" w:hAnsi="仿宋" w:eastAsia="仿宋" w:cs="仿宋_GB2312"/>
          <w:color w:val="000000" w:themeColor="text1"/>
          <w:kern w:val="0"/>
          <w:sz w:val="32"/>
          <w:szCs w:val="32"/>
          <w:lang w:val="en-US" w:eastAsia="zh-CN"/>
          <w14:textFill>
            <w14:solidFill>
              <w14:schemeClr w14:val="tx1"/>
            </w14:solidFill>
          </w14:textFill>
        </w:rPr>
        <w:t>稳步推进教育信息化建设，遴选了八个学校作为湖南省教育信息化融合应用实验区项目的第一批实验校。有两个省级名师网络工作室通过验收。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方正仿宋_GBK" w:eastAsia="仿宋_GB2312" w:cs="仿宋_GB2312"/>
          <w:color w:val="000000" w:themeColor="text1"/>
          <w:spacing w:val="0"/>
          <w:w w:val="100"/>
          <w:sz w:val="32"/>
          <w:szCs w:val="32"/>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（3）扎实推进规范民办义务教育发展工作。</w:t>
      </w:r>
      <w:r>
        <w:rPr>
          <w:rFonts w:hint="eastAsia" w:ascii="仿宋" w:hAnsi="仿宋" w:eastAsia="仿宋" w:cs="仿宋_GB2312"/>
          <w:color w:val="000000" w:themeColor="text1"/>
          <w:kern w:val="0"/>
          <w:sz w:val="32"/>
          <w:szCs w:val="32"/>
          <w:lang w:val="en-US" w:eastAsia="zh-CN"/>
          <w14:textFill>
            <w14:solidFill>
              <w14:schemeClr w14:val="tx1"/>
            </w14:solidFill>
          </w14:textFill>
        </w:rPr>
        <w:t>出台了《益阳市资阳区规范民办义务教育发展工作实施方案》，</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3所民办义务教育学校都已依法依规注销，</w:t>
      </w:r>
      <w:r>
        <w:rPr>
          <w:rFonts w:hint="eastAsia" w:ascii="仿宋" w:hAnsi="仿宋" w:eastAsia="仿宋" w:cs="仿宋_GB2312"/>
          <w:color w:val="000000" w:themeColor="text1"/>
          <w:kern w:val="0"/>
          <w:sz w:val="32"/>
          <w:szCs w:val="32"/>
          <w:lang w:val="en-US" w:eastAsia="zh-CN"/>
          <w14:textFill>
            <w14:solidFill>
              <w14:schemeClr w14:val="tx1"/>
            </w14:solidFill>
          </w14:textFill>
        </w:rPr>
        <w:t>平稳顺利将2288个民办学位转为公办，</w:t>
      </w:r>
      <w:r>
        <w:rPr>
          <w:rFonts w:hint="eastAsia" w:ascii="仿宋_GB2312" w:hAnsi="方正仿宋_GBK" w:eastAsia="仿宋_GB2312" w:cs="仿宋_GB2312"/>
          <w:color w:val="000000" w:themeColor="text1"/>
          <w:spacing w:val="0"/>
          <w:w w:val="100"/>
          <w:sz w:val="32"/>
          <w:szCs w:val="32"/>
          <w:lang w:eastAsia="zh-CN"/>
          <w14:textFill>
            <w14:solidFill>
              <w14:schemeClr w14:val="tx1"/>
            </w14:solidFill>
          </w14:textFill>
        </w:rPr>
        <w:t>确保全区公办学位占比高于</w:t>
      </w:r>
      <w:r>
        <w:rPr>
          <w:rFonts w:hint="eastAsia" w:ascii="仿宋_GB2312" w:hAnsi="方正仿宋_GBK" w:eastAsia="仿宋_GB2312" w:cs="仿宋_GB2312"/>
          <w:color w:val="000000" w:themeColor="text1"/>
          <w:spacing w:val="0"/>
          <w:w w:val="100"/>
          <w:sz w:val="32"/>
          <w:szCs w:val="32"/>
          <w:lang w:val="en-US" w:eastAsia="zh-CN"/>
          <w14:textFill>
            <w14:solidFill>
              <w14:schemeClr w14:val="tx1"/>
            </w14:solidFill>
          </w14:textFill>
        </w:rPr>
        <w:t>95%，</w:t>
      </w:r>
      <w:r>
        <w:rPr>
          <w:rFonts w:hint="eastAsia" w:ascii="仿宋" w:hAnsi="仿宋" w:eastAsia="仿宋" w:cs="仿宋_GB2312"/>
          <w:color w:val="000000" w:themeColor="text1"/>
          <w:kern w:val="0"/>
          <w:sz w:val="32"/>
          <w:szCs w:val="32"/>
          <w:lang w:val="en-US" w:eastAsia="zh-CN"/>
          <w14:textFill>
            <w14:solidFill>
              <w14:schemeClr w14:val="tx1"/>
            </w14:solidFill>
          </w14:textFill>
        </w:rPr>
        <w:t>超额完成省定</w:t>
      </w:r>
      <w:r>
        <w:rPr>
          <w:rFonts w:hint="eastAsia" w:ascii="仿宋_GB2312" w:hAnsi="方正仿宋_GBK" w:eastAsia="仿宋_GB2312" w:cs="仿宋_GB2312"/>
          <w:color w:val="000000" w:themeColor="text1"/>
          <w:spacing w:val="0"/>
          <w:w w:val="100"/>
          <w:sz w:val="32"/>
          <w:szCs w:val="32"/>
          <w:lang w:eastAsia="zh-CN"/>
          <w14:textFill>
            <w14:solidFill>
              <w14:schemeClr w14:val="tx1"/>
            </w14:solidFill>
          </w14:textFill>
        </w:rPr>
        <w:t>任务。在民办学校任教的公办在编教师目前已全部回归公办学校。</w:t>
      </w:r>
    </w:p>
    <w:p>
      <w:pPr>
        <w:pStyle w:val="2"/>
        <w:keepNext w:val="0"/>
        <w:keepLines w:val="0"/>
        <w:pageBreakBefore w:val="0"/>
        <w:numPr>
          <w:ilvl w:val="0"/>
          <w:numId w:val="0"/>
        </w:numPr>
        <w:kinsoku/>
        <w:wordWrap/>
        <w:overflowPunct/>
        <w:topLinePunct w:val="0"/>
        <w:autoSpaceDE/>
        <w:autoSpaceDN/>
        <w:bidi w:val="0"/>
        <w:adjustRightInd/>
        <w:spacing w:line="360" w:lineRule="auto"/>
        <w:ind w:firstLine="643" w:firstLineChars="200"/>
        <w:jc w:val="both"/>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（4）全力促进职业教育发展。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为落实《益阳市资阳区支持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PCB产业高质量发展若干政策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》，为全力打造中国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PCB“第三极”培养合格的产业工人，我区已做好一职中改扩建规划，在长春经开区选址新建楚怡校区。目前已选址益沅公路以东，资北干线以北（南丰村）地块，校园面积约100亩，现正进行征地拆迁，着手规划设计。学校拟重点设置PCB专业、新能源发展专业和现代智慧农业发展专业。</w:t>
      </w:r>
    </w:p>
    <w:p>
      <w:pPr>
        <w:pStyle w:val="2"/>
        <w:keepNext w:val="0"/>
        <w:keepLines w:val="0"/>
        <w:pageBreakBefore w:val="0"/>
        <w:numPr>
          <w:ilvl w:val="0"/>
          <w:numId w:val="0"/>
        </w:numPr>
        <w:kinsoku/>
        <w:wordWrap/>
        <w:overflowPunct/>
        <w:topLinePunct w:val="0"/>
        <w:autoSpaceDE/>
        <w:autoSpaceDN/>
        <w:bidi w:val="0"/>
        <w:adjustRightInd/>
        <w:spacing w:line="360" w:lineRule="auto"/>
        <w:ind w:firstLine="642"/>
        <w:jc w:val="both"/>
        <w:textAlignment w:val="auto"/>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（5）全面推动“双减”政策落地。</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将“双高”策略作为推动“双减”的准则，围绕“教育质量”核心目标任务，持续推进高效课堂改革，强化教师信息化2.0全员培训，加强校本教研和课后服务，大力发展学生社团，培养学生艺术体育素养。联合公安、消防、网信办等部门开展了三轮轮全区校外培训机构排查整治，原有的109所校外培训机构</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经整治现已关停注销23所，调减学科类培训机构30所，营利性学科类培训机构全面清零。</w:t>
      </w:r>
    </w:p>
    <w:p>
      <w:pPr>
        <w:pStyle w:val="12"/>
        <w:keepNext w:val="0"/>
        <w:keepLines w:val="0"/>
        <w:pageBreakBefore w:val="0"/>
        <w:kinsoku/>
        <w:wordWrap/>
        <w:overflowPunct/>
        <w:topLinePunct w:val="0"/>
        <w:bidi w:val="0"/>
        <w:spacing w:line="360" w:lineRule="auto"/>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（6）坚决保障校园安全。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强化全区各学校防溺水、防青少年毒品、防交通事故、防火灾、防食物中毒、防传染病、防性侵、防校园欺凌等教育。</w:t>
      </w:r>
      <w:r>
        <w:rPr>
          <w:rFonts w:hint="eastAsia" w:ascii="仿宋" w:hAnsi="仿宋" w:eastAsia="仿宋" w:cs="仿宋"/>
          <w:color w:val="000000" w:themeColor="text1"/>
          <w:sz w:val="32"/>
          <w:szCs w:val="32"/>
          <w:lang w:val="en-US" w:eastAsia="zh-CN"/>
          <w14:textFill>
            <w14:solidFill>
              <w14:schemeClr w14:val="tx1"/>
            </w14:solidFill>
          </w14:textFill>
        </w:rPr>
        <w:t>扎实开展2次校园安全隐患大排查大整治行动，</w:t>
      </w:r>
      <w:r>
        <w:rPr>
          <w:rFonts w:hint="eastAsia" w:ascii="仿宋" w:hAnsi="仿宋" w:eastAsia="仿宋" w:cs="仿宋"/>
          <w:color w:val="000000" w:themeColor="text1"/>
          <w:sz w:val="32"/>
          <w:szCs w:val="32"/>
          <w14:textFill>
            <w14:solidFill>
              <w14:schemeClr w14:val="tx1"/>
            </w14:solidFill>
          </w14:textFill>
        </w:rPr>
        <w:t>共整治校园及周边突出安全隐患17起，一般安全隐患155起</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今年</w:t>
      </w:r>
      <w:r>
        <w:rPr>
          <w:rFonts w:hint="eastAsia" w:ascii="仿宋" w:hAnsi="仿宋" w:eastAsia="仿宋" w:cs="仿宋"/>
          <w:color w:val="000000" w:themeColor="text1"/>
          <w:sz w:val="32"/>
          <w:szCs w:val="32"/>
          <w14:textFill>
            <w14:solidFill>
              <w14:schemeClr w14:val="tx1"/>
            </w14:solidFill>
          </w14:textFill>
        </w:rPr>
        <w:t>共投入2163万元专项维修资金</w:t>
      </w:r>
      <w:r>
        <w:rPr>
          <w:rFonts w:hint="eastAsia" w:ascii="仿宋" w:hAnsi="仿宋" w:eastAsia="仿宋" w:cs="仿宋"/>
          <w:color w:val="000000" w:themeColor="text1"/>
          <w:sz w:val="32"/>
          <w:szCs w:val="32"/>
          <w:lang w:eastAsia="zh-CN"/>
          <w14:textFill>
            <w14:solidFill>
              <w14:schemeClr w14:val="tx1"/>
            </w14:solidFill>
          </w14:textFill>
        </w:rPr>
        <w:t>进行整改，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切实做到隐患整改“五落实”。狠抓校车安全管理，压实校车公司主体责任，</w:t>
      </w:r>
      <w:r>
        <w:rPr>
          <w:rFonts w:hint="eastAsia" w:ascii="仿宋" w:hAnsi="仿宋" w:eastAsia="仿宋"/>
          <w:color w:val="000000" w:themeColor="text1"/>
          <w:sz w:val="32"/>
          <w:szCs w:val="32"/>
          <w:lang w:eastAsia="zh-CN"/>
          <w14:textFill>
            <w14:solidFill>
              <w14:schemeClr w14:val="tx1"/>
            </w14:solidFill>
          </w14:textFill>
        </w:rPr>
        <w:t>首创推行“校车使用许可审批及安全监管‘一件事一次办’”，</w:t>
      </w:r>
      <w:r>
        <w:rPr>
          <w:rFonts w:hint="eastAsia" w:ascii="仿宋" w:hAnsi="仿宋" w:eastAsia="仿宋"/>
          <w:color w:val="000000" w:themeColor="text1"/>
          <w:sz w:val="32"/>
          <w:szCs w:val="32"/>
          <w14:textFill>
            <w14:solidFill>
              <w14:schemeClr w14:val="tx1"/>
            </w14:solidFill>
          </w14:textFill>
        </w:rPr>
        <w:t>及时督促校车公司进行校车违法清零</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查处校车违规问题37起，批评教育等处罚相关责任人员37名。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对所有校车驾驶员进行了涉毒毛发检测。举办了全区心理健康教育研讨会。</w:t>
      </w:r>
    </w:p>
    <w:p>
      <w:pPr>
        <w:pStyle w:val="12"/>
        <w:keepNext w:val="0"/>
        <w:keepLines w:val="0"/>
        <w:pageBreakBefore w:val="0"/>
        <w:kinsoku/>
        <w:wordWrap/>
        <w:overflowPunct/>
        <w:topLinePunct w:val="0"/>
        <w:bidi w:val="0"/>
        <w:spacing w:line="360" w:lineRule="auto"/>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（7）坚持推进乡村振兴工作。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扎实开展乡村振兴联建共建工作。认真落实国家资助政策，发放各类助学金12000人次，共计897万余元。扎实开展了控辍保学、残疾儿童随班就读和送教上门工作。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643"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（8）持续深化教育评价制度改革。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善《资阳区中小学（幼儿园）教育工作绩效考核方案》，将落实党建、师德师风、“双减”、五育并举、五项管理、常规教学管理情况作为评价学校的重要内容。举办了中小学生运动会、足球联赛和“五独”比赛，将德智体美劳全面发展情况作为评价学生的重要内容。稳步推进“区管校聘”改革试点，我区《“区管校聘”放权，教师评价抓实》获评2022</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年湖南省深化新时代教育评价改革省级典型案例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7"/>
        <w:numPr>
          <w:ilvl w:val="0"/>
          <w:numId w:val="0"/>
        </w:numPr>
        <w:rPr>
          <w:rFonts w:hint="default"/>
          <w:color w:val="000000" w:themeColor="text1"/>
          <w:lang w:val="en-US" w:eastAsia="zh-CN"/>
          <w14:textFill>
            <w14:solidFill>
              <w14:schemeClr w14:val="tx1"/>
            </w14:solidFill>
          </w14:textFill>
        </w:rPr>
      </w:pP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七、存在的问题及原因分析</w:t>
      </w:r>
    </w:p>
    <w:p>
      <w:pPr>
        <w:widowControl/>
        <w:spacing w:line="60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1.项目报批程序复杂，实施时间跨度大，项目实施进度缓慢。</w:t>
      </w:r>
    </w:p>
    <w:p>
      <w:pPr>
        <w:widowControl/>
        <w:spacing w:line="60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2.预决算偏离度较大。在编制部门预算时，需进一步加强预算管理，及时调整预算，减小预决算偏离度。</w:t>
      </w:r>
    </w:p>
    <w:p>
      <w:pPr>
        <w:widowControl/>
        <w:spacing w:line="60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3.资金使用效率还有待提高。由于各级部门支付进度不一，部分资金不能及时到位，一定程度上影响了资金的使用效益。</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八、下一步改进措施</w:t>
      </w:r>
    </w:p>
    <w:p>
      <w:pPr>
        <w:widowControl/>
        <w:spacing w:line="60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无</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九、部门整体支出绩效自评结果拟应用和公开情况</w:t>
      </w:r>
    </w:p>
    <w:p>
      <w:pPr>
        <w:widowControl/>
        <w:spacing w:line="60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部门要求，区教育局认真组织开展了2022年度预决算，对预算执行情况进行了部门整体支出绩效评价，根据财政部门要求在政府门户网站进行公开，公开内容包括2022年度资阳区教育局整体支出绩效自评报告和自评表。</w:t>
      </w:r>
    </w:p>
    <w:p>
      <w:pPr>
        <w:widowControl/>
        <w:spacing w:line="600" w:lineRule="exact"/>
        <w:ind w:firstLine="645"/>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十、</w:t>
      </w:r>
      <w:r>
        <w:rPr>
          <w:rFonts w:hint="eastAsia" w:ascii="仿宋" w:hAnsi="仿宋" w:eastAsia="仿宋" w:cs="仿宋"/>
          <w:color w:val="000000" w:themeColor="text1"/>
          <w:sz w:val="32"/>
          <w:szCs w:val="32"/>
          <w14:textFill>
            <w14:solidFill>
              <w14:schemeClr w14:val="tx1"/>
            </w14:solidFill>
          </w14:textFill>
        </w:rPr>
        <w:t>其他需要说明的情况</w:t>
      </w:r>
    </w:p>
    <w:p>
      <w:pPr>
        <w:widowControl/>
        <w:spacing w:line="600" w:lineRule="exact"/>
        <w:ind w:firstLine="645"/>
        <w:jc w:val="left"/>
        <w:rPr>
          <w:rFonts w:hint="eastAsia"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无</w:t>
      </w:r>
    </w:p>
    <w:p>
      <w:pPr>
        <w:rPr>
          <w:rFonts w:hint="eastAsia" w:ascii="仿宋" w:hAnsi="仿宋" w:eastAsia="仿宋" w:cs="仿宋"/>
          <w:color w:val="000000" w:themeColor="text1"/>
          <w14:textFill>
            <w14:solidFill>
              <w14:schemeClr w14:val="tx1"/>
            </w14:solidFill>
          </w14:textFill>
        </w:rPr>
      </w:pPr>
    </w:p>
    <w:bookmarkEnd w:id="0"/>
    <w:sectPr>
      <w:footerReference r:id="rId3" w:type="default"/>
      <w:pgSz w:w="11906" w:h="16838"/>
      <w:pgMar w:top="1985"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10E19"/>
    <w:multiLevelType w:val="singleLevel"/>
    <w:tmpl w:val="C1B10E19"/>
    <w:lvl w:ilvl="0" w:tentative="0">
      <w:start w:val="2"/>
      <w:numFmt w:val="chineseCounting"/>
      <w:suff w:val="nothing"/>
      <w:lvlText w:val="（%1）"/>
      <w:lvlJc w:val="left"/>
      <w:rPr>
        <w:rFonts w:hint="eastAsia"/>
      </w:rPr>
    </w:lvl>
  </w:abstractNum>
  <w:abstractNum w:abstractNumId="1">
    <w:nsid w:val="FC2120CE"/>
    <w:multiLevelType w:val="singleLevel"/>
    <w:tmpl w:val="FC2120CE"/>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QzN2Y1OWZlOGY3OTg5MjdjNDNkMGE0ZDI1NWJlOTkifQ=="/>
  </w:docVars>
  <w:rsids>
    <w:rsidRoot w:val="6A3C7363"/>
    <w:rsid w:val="000F31FC"/>
    <w:rsid w:val="003E24CC"/>
    <w:rsid w:val="0058147E"/>
    <w:rsid w:val="00786ECF"/>
    <w:rsid w:val="00800873"/>
    <w:rsid w:val="00A2763A"/>
    <w:rsid w:val="00B77101"/>
    <w:rsid w:val="00BC11D4"/>
    <w:rsid w:val="00F07467"/>
    <w:rsid w:val="00FF4078"/>
    <w:rsid w:val="157955E3"/>
    <w:rsid w:val="176912F6"/>
    <w:rsid w:val="1DB923F5"/>
    <w:rsid w:val="1DCE5722"/>
    <w:rsid w:val="29305DDE"/>
    <w:rsid w:val="2B4B2228"/>
    <w:rsid w:val="2B855963"/>
    <w:rsid w:val="2D9117BE"/>
    <w:rsid w:val="30BF083E"/>
    <w:rsid w:val="3CAF3D63"/>
    <w:rsid w:val="40EE65D6"/>
    <w:rsid w:val="441C69EE"/>
    <w:rsid w:val="4550160D"/>
    <w:rsid w:val="49DA4501"/>
    <w:rsid w:val="4A5902B0"/>
    <w:rsid w:val="4C5D1413"/>
    <w:rsid w:val="4F23130A"/>
    <w:rsid w:val="502608A0"/>
    <w:rsid w:val="5CBF559E"/>
    <w:rsid w:val="5EFE0293"/>
    <w:rsid w:val="67022DA3"/>
    <w:rsid w:val="6A3C7363"/>
    <w:rsid w:val="6D1757DE"/>
    <w:rsid w:val="6D79687A"/>
    <w:rsid w:val="72350AAB"/>
    <w:rsid w:val="74EC0AA3"/>
    <w:rsid w:val="79425C46"/>
    <w:rsid w:val="7F516A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locked/>
    <w:uiPriority w:val="99"/>
    <w:pPr>
      <w:spacing w:line="600" w:lineRule="exact"/>
      <w:jc w:val="center"/>
    </w:pPr>
    <w:rPr>
      <w:rFonts w:ascii="方正小标宋简体" w:hAnsi="方正黑体_GBK" w:eastAsia="方正小标宋简体" w:cs="方正小标宋简体"/>
      <w:sz w:val="44"/>
      <w:szCs w:val="44"/>
    </w:rPr>
  </w:style>
  <w:style w:type="paragraph" w:styleId="3">
    <w:name w:val="Body Text Indent"/>
    <w:basedOn w:val="1"/>
    <w:qFormat/>
    <w:uiPriority w:val="0"/>
    <w:pPr>
      <w:ind w:firstLine="315"/>
    </w:pPr>
    <w:rPr>
      <w:sz w:val="24"/>
      <w:szCs w:val="20"/>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3"/>
    <w:unhideWhenUsed/>
    <w:qFormat/>
    <w:uiPriority w:val="99"/>
    <w:pPr>
      <w:ind w:firstLine="420"/>
    </w:pPr>
  </w:style>
  <w:style w:type="character" w:customStyle="1" w:styleId="10">
    <w:name w:val="Footer Char"/>
    <w:basedOn w:val="9"/>
    <w:link w:val="4"/>
    <w:semiHidden/>
    <w:qFormat/>
    <w:locked/>
    <w:uiPriority w:val="99"/>
    <w:rPr>
      <w:rFonts w:ascii="Calibri" w:hAnsi="Calibri" w:cs="Times New Roman"/>
      <w:sz w:val="18"/>
      <w:szCs w:val="18"/>
    </w:rPr>
  </w:style>
  <w:style w:type="character" w:customStyle="1" w:styleId="11">
    <w:name w:val="Header Char"/>
    <w:basedOn w:val="9"/>
    <w:link w:val="5"/>
    <w:semiHidden/>
    <w:qFormat/>
    <w:locked/>
    <w:uiPriority w:val="99"/>
    <w:rPr>
      <w:rFonts w:ascii="Calibri" w:hAnsi="Calibri" w:cs="Times New Roman"/>
      <w:sz w:val="18"/>
      <w:szCs w:val="18"/>
    </w:rPr>
  </w:style>
  <w:style w:type="paragraph" w:customStyle="1" w:styleId="12">
    <w:name w:val="[无段落样式]"/>
    <w:unhideWhenUsed/>
    <w:qFormat/>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stheme="minorBidi"/>
      <w:color w:val="000000"/>
      <w:sz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sss</Company>
  <Pages>9</Pages>
  <Words>3772</Words>
  <Characters>4131</Characters>
  <Lines>0</Lines>
  <Paragraphs>0</Paragraphs>
  <TotalTime>1</TotalTime>
  <ScaleCrop>false</ScaleCrop>
  <LinksUpToDate>false</LinksUpToDate>
  <CharactersWithSpaces>4144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2023-04-18T03:17:00Z</dcterms:created>
  <dc:creator>Administrator</dc:creator>
  <cp:lastModifiedBy>冰儿</cp:lastModifiedBy>
  <cp:lastPrinted>2023-04-19T02:21:00Z</cp:lastPrinted>
  <dcterms:modified xsi:type="dcterms:W3CDTF">2023-05-05T01:31:30Z</dcterms:modified>
  <dc:title>2022年度资阳区教育局整体支出绩效自评报告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3F3E65749B7947EDA5F461737C3FE5A0_12</vt:lpwstr>
  </property>
</Properties>
</file>