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0F74">
      <w:pPr>
        <w:pStyle w:val="5"/>
        <w:rPr>
          <w:rFonts w:cs="宋体"/>
          <w:kern w:val="0"/>
          <w:sz w:val="48"/>
          <w:szCs w:val="48"/>
        </w:rPr>
      </w:pPr>
      <w:r>
        <w:rPr>
          <w:rFonts w:hint="eastAsia" w:cs="宋体"/>
          <w:kern w:val="0"/>
          <w:sz w:val="48"/>
          <w:szCs w:val="48"/>
        </w:rPr>
        <w:t>湖南益阳长春经济开发区管理委员会</w:t>
      </w:r>
      <w:r>
        <w:rPr>
          <w:kern w:val="0"/>
          <w:sz w:val="48"/>
          <w:szCs w:val="48"/>
        </w:rPr>
        <w:t>20</w:t>
      </w:r>
      <w:r>
        <w:rPr>
          <w:rFonts w:hint="eastAsia"/>
          <w:kern w:val="0"/>
          <w:sz w:val="48"/>
          <w:szCs w:val="48"/>
        </w:rPr>
        <w:t>22</w:t>
      </w:r>
      <w:r>
        <w:rPr>
          <w:rFonts w:hint="eastAsia" w:cs="宋体"/>
          <w:kern w:val="0"/>
          <w:sz w:val="48"/>
          <w:szCs w:val="48"/>
        </w:rPr>
        <w:t>年度预算绩效评价自评</w:t>
      </w:r>
    </w:p>
    <w:p w14:paraId="075254B5">
      <w:pPr>
        <w:pStyle w:val="5"/>
        <w:rPr>
          <w:rFonts w:cs="Times New Roman"/>
          <w:kern w:val="0"/>
          <w:sz w:val="48"/>
          <w:szCs w:val="48"/>
        </w:rPr>
      </w:pPr>
      <w:r>
        <w:rPr>
          <w:rFonts w:hint="eastAsia" w:cs="宋体"/>
          <w:kern w:val="0"/>
          <w:sz w:val="48"/>
          <w:szCs w:val="48"/>
        </w:rPr>
        <w:t>工 作 报 告</w:t>
      </w:r>
    </w:p>
    <w:p w14:paraId="160B1139">
      <w:pPr>
        <w:widowControl/>
        <w:shd w:val="clear" w:color="auto" w:fill="FFFFFF"/>
        <w:spacing w:after="225"/>
        <w:jc w:val="left"/>
        <w:rPr>
          <w:rFonts w:ascii="Arial" w:hAnsi="Arial" w:cs="Arial"/>
          <w:kern w:val="0"/>
          <w:sz w:val="24"/>
          <w:szCs w:val="24"/>
        </w:rPr>
      </w:pPr>
    </w:p>
    <w:p w14:paraId="7A247689">
      <w:pPr>
        <w:pStyle w:val="4"/>
        <w:spacing w:before="150" w:after="300" w:line="540" w:lineRule="atLeast"/>
        <w:jc w:val="both"/>
        <w:rPr>
          <w:rFonts w:cs="Times New Roman"/>
        </w:rPr>
      </w:pPr>
      <w:r>
        <w:rPr>
          <w:rFonts w:hint="eastAsia" w:ascii="仿宋_GB2312" w:hAnsi="微软雅黑" w:eastAsia="仿宋_GB2312" w:cs="仿宋_GB2312"/>
          <w:sz w:val="32"/>
          <w:szCs w:val="32"/>
        </w:rPr>
        <w:t>　　为加强财政资金管理，强化支出责任，提高财政资金的使用效益，建立科学、合理的财政支出绩效评价管理体系，我单位于2023年1月，组织力量对本单位的部门预算整体支出进行了绩效评价，本次评价遵循了“科学规范、公正公开、分类管理、绩效相关”的原则，运用科学、合理的绩效评价方法，对本单位2022度预算绩效情况进行客观、公正的评价。现将情况报告如下：</w:t>
      </w:r>
    </w:p>
    <w:p w14:paraId="2716D640">
      <w:pPr>
        <w:widowControl/>
        <w:numPr>
          <w:ilvl w:val="0"/>
          <w:numId w:val="1"/>
        </w:numPr>
        <w:shd w:val="clear" w:color="auto" w:fill="FFFFFF"/>
        <w:spacing w:before="100" w:beforeAutospacing="1" w:after="100" w:afterAutospacing="1" w:line="500" w:lineRule="atLeast"/>
        <w:jc w:val="left"/>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基本情况</w:t>
      </w:r>
    </w:p>
    <w:p w14:paraId="0EAF25EC">
      <w:pPr>
        <w:pStyle w:val="4"/>
        <w:spacing w:after="300" w:line="33" w:lineRule="atLeast"/>
        <w:ind w:firstLine="420"/>
        <w:jc w:val="both"/>
        <w:rPr>
          <w:rFonts w:ascii="仿宋_GB2312" w:hAnsi="微软雅黑" w:eastAsia="仿宋_GB2312" w:cs="Times New Roman"/>
          <w:sz w:val="32"/>
          <w:szCs w:val="32"/>
        </w:rPr>
      </w:pPr>
      <w:r>
        <w:rPr>
          <w:rFonts w:hint="eastAsia" w:ascii="仿宋_GB2312" w:hAnsi="微软雅黑" w:eastAsia="仿宋_GB2312" w:cs="仿宋_GB2312"/>
          <w:sz w:val="32"/>
          <w:szCs w:val="32"/>
        </w:rPr>
        <w:t>湖南益阳长春经济开发区管理委员会系处级行政机关，办公地址为资阳区贺家桥北路。湖南益阳长春经济开发区管理委员会设2个办公室、4个局室分别为:党政办公室、产业发展局、经济合作局、规划建设局、社会事务局、征地拆迁安置办公室，湖南益阳长春经济开发区管理委员会统筹各部门、各部门对应相应职能。</w:t>
      </w:r>
    </w:p>
    <w:p w14:paraId="04405680">
      <w:pPr>
        <w:widowControl/>
        <w:numPr>
          <w:ilvl w:val="0"/>
          <w:numId w:val="1"/>
        </w:numPr>
        <w:shd w:val="clear" w:color="auto" w:fill="FFFFFF"/>
        <w:spacing w:before="100" w:beforeAutospacing="1" w:after="100" w:afterAutospacing="1" w:line="500" w:lineRule="atLeast"/>
        <w:jc w:val="left"/>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人员概况</w:t>
      </w:r>
    </w:p>
    <w:p w14:paraId="01DD1C36">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截止2022年底，</w:t>
      </w:r>
      <w:r>
        <w:rPr>
          <w:rFonts w:hint="eastAsia" w:ascii="仿宋_GB2312" w:hAnsi="微软雅黑" w:eastAsia="仿宋_GB2312" w:cs="仿宋_GB2312"/>
          <w:sz w:val="32"/>
          <w:szCs w:val="32"/>
        </w:rPr>
        <w:t>湖南益阳长春经济开发区管理委员会</w:t>
      </w:r>
      <w:r>
        <w:rPr>
          <w:rFonts w:hint="eastAsia" w:ascii="仿宋_GB2312" w:hAnsi="微软雅黑" w:eastAsia="仿宋_GB2312" w:cs="仿宋_GB2312"/>
          <w:kern w:val="0"/>
          <w:sz w:val="32"/>
          <w:szCs w:val="32"/>
        </w:rPr>
        <w:t>共有编制97人，实际人数116人。其中：行政编制11人，财政编制2人，全额事业34人，差额事业编制28人，自收自支30，离退休11人</w:t>
      </w:r>
    </w:p>
    <w:p w14:paraId="4A4F85A1">
      <w:pPr>
        <w:widowControl/>
        <w:shd w:val="clear" w:color="auto" w:fill="FFFFFF"/>
        <w:spacing w:before="100" w:beforeAutospacing="1" w:after="100" w:afterAutospacing="1" w:line="500" w:lineRule="atLeast"/>
        <w:ind w:firstLine="643" w:firstLineChars="200"/>
        <w:jc w:val="left"/>
        <w:rPr>
          <w:rFonts w:ascii="宋体" w:cs="Times New Roman"/>
          <w:kern w:val="0"/>
        </w:rPr>
      </w:pPr>
      <w:r>
        <w:rPr>
          <w:rFonts w:hint="eastAsia" w:ascii="仿宋_GB2312" w:hAnsi="微软雅黑" w:eastAsia="仿宋_GB2312" w:cs="仿宋_GB2312"/>
          <w:b/>
          <w:bCs/>
          <w:kern w:val="0"/>
          <w:sz w:val="32"/>
          <w:szCs w:val="32"/>
        </w:rPr>
        <w:t>三、本单位2022年预算收支情况如下：</w:t>
      </w:r>
    </w:p>
    <w:p w14:paraId="6C50B54C">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（一）收入情况</w:t>
      </w:r>
    </w:p>
    <w:p w14:paraId="2FD2573E">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收入各项目金额共37089.98万元，其中：一般公共预算拨款 3196万元，政府性基金预算财政拨款收入33520万元，纳入专户管理的非税收入拨款0万元，上级补助资金安排0万元，附属单位上缴收入安排0万元，事业单位经营服务收入0万元，其他收入373.98万元，政府性基金拨款0万元，结转结余安排0万元 。</w:t>
      </w:r>
    </w:p>
    <w:p w14:paraId="28CBEAAA">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（二）支出情况</w:t>
      </w:r>
    </w:p>
    <w:p w14:paraId="1E7148F6">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支出各项目金额共37089.98万元，其中：一般公共服务628.45万元，社会保障和就业支出415.04万元，卫生健康支出139.83万元，文化体育与传媒支出72万元，城乡社区支出1629.28万元，农林水支出255.02万元，商业服务业支出35万元，住房保障支出41.38万元，其他支出33873.98万元。</w:t>
      </w:r>
    </w:p>
    <w:p w14:paraId="0E1DB707">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（三）“三公经费”收支情况</w:t>
      </w:r>
    </w:p>
    <w:p w14:paraId="290CF907">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2022年“三公”经费预算数为0万元，其中：公务接待费0万元。公务用车购置费0万元，公务用车运行费0万元，因公出国（境）费0万元。2022年“三公”经费实际开支0万元，其中：公务用车维护费0万元。</w:t>
      </w:r>
    </w:p>
    <w:p w14:paraId="1D94350E">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 四、2022年，根据年初计划的重点工作，本单位通过对财政资金的使用，取得了如下绩效： 一是全面做好本镇建设规划，充分发挥财政调节作用，积极争取各项优惠政策，并积极带动社会资金的投入，引导和支持企业进行产业转型提升和发展生产，以培养财政收入新的增长点。二是加强财政支出管理，促进经济全面发展，严格实行“收支两条线”政策，严肃财经纪律、规范财政支出行为和细化部门预算编制。三是进一步完善各种经费使用办法，压缩行政管理开支和各种非生产性开支，严格控制部分增支因素。四是合理利用财力，保障重点项目及重点费用和社会公益事业的正常开支。五是落实好中央各项惠农政策，促进农业生产、农民增收和各项社会事业的发展，认真落实好中央各项惠农政策，进一步增加对农业的投入和各项涉农补贴资金，不断稳定发展农业生产，促进农民增收。六是继续推行城乡居民新型合作医疗制度和新农保制度，切实解决了广大农民看病难、看病贵的热点问题。七是继续实行国库集中支付制度，严格资金支出范围和审批程序，严格执行公用经费定额标准，使财政总预算真实反映了财政资金的实际支出数,进一步加强了对财政资金来源和去向的管理。八是切实抓好债务管理工作，严格控制新增债务。九是加强完善村级财务管理的“村账镇代管”制度，全力推进“互联网+监督”制度，推动了资金使用的公开度、透明度。十是加强财政队伍建设，完善财政管理机制，推进财务人员依法行政，依法理财。</w:t>
      </w:r>
    </w:p>
    <w:p w14:paraId="7BD625B8">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五、本次自评根据益阳市资阳区财政局的相关要求，</w:t>
      </w:r>
      <w:r>
        <w:rPr>
          <w:rFonts w:hint="eastAsia" w:ascii="仿宋_GB2312" w:hAnsi="微软雅黑" w:eastAsia="仿宋_GB2312" w:cs="仿宋_GB2312"/>
          <w:sz w:val="32"/>
          <w:szCs w:val="32"/>
        </w:rPr>
        <w:t>湖南益阳长春经济开发区管理委员会</w:t>
      </w:r>
      <w:r>
        <w:rPr>
          <w:rFonts w:hint="eastAsia" w:ascii="仿宋_GB2312" w:hAnsi="微软雅黑" w:eastAsia="仿宋_GB2312" w:cs="仿宋_GB2312"/>
          <w:kern w:val="0"/>
          <w:sz w:val="32"/>
          <w:szCs w:val="32"/>
        </w:rPr>
        <w:t>制定了部门整体支出绩效评价的工作方案、评价指标，成立了绩效评价工作领导小组、绩效评价工作组，于2023年1月完成自评工作。绩效自评具体如下：</w:t>
      </w:r>
    </w:p>
    <w:p w14:paraId="28A70BF6">
      <w:pPr>
        <w:pStyle w:val="4"/>
        <w:spacing w:before="150" w:after="300" w:line="540" w:lineRule="atLeast"/>
        <w:jc w:val="both"/>
        <w:rPr>
          <w:rFonts w:ascii="仿宋_GB2312" w:hAnsi="微软雅黑" w:eastAsia="仿宋_GB2312" w:cs="仿宋_GB2312"/>
          <w:sz w:val="32"/>
          <w:szCs w:val="32"/>
        </w:rPr>
      </w:pPr>
      <w:r>
        <w:rPr>
          <w:rFonts w:ascii="微软雅黑" w:hAnsi="微软雅黑" w:eastAsia="微软雅黑" w:cs="微软雅黑"/>
          <w:color w:val="333333"/>
        </w:rPr>
        <w:t> </w:t>
      </w:r>
      <w:r>
        <w:rPr>
          <w:rFonts w:hint="eastAsia" w:ascii="仿宋_GB2312" w:hAnsi="微软雅黑" w:eastAsia="仿宋_GB2312" w:cs="仿宋_GB2312"/>
          <w:sz w:val="32"/>
          <w:szCs w:val="32"/>
        </w:rPr>
        <w:t>2022年度本单位“三公经费”总预算数为0万元，实际支出数为0万元（公务用车维护费0万元），支出等于预算，因此，2022年度本单位“三公经费”预算符合相关规定。2022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14:paraId="1C0DE00D">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2022年</w:t>
      </w:r>
      <w:r>
        <w:rPr>
          <w:rFonts w:hint="eastAsia" w:ascii="仿宋_GB2312" w:hAnsi="微软雅黑" w:eastAsia="仿宋_GB2312" w:cs="仿宋_GB2312"/>
          <w:sz w:val="32"/>
          <w:szCs w:val="32"/>
        </w:rPr>
        <w:t>湖南益阳长春经济开发区管理委员会</w:t>
      </w:r>
      <w:r>
        <w:rPr>
          <w:rFonts w:hint="eastAsia" w:ascii="仿宋_GB2312" w:hAnsi="微软雅黑" w:eastAsia="仿宋_GB2312" w:cs="仿宋_GB2312"/>
          <w:kern w:val="0"/>
          <w:sz w:val="32"/>
          <w:szCs w:val="32"/>
        </w:rPr>
        <w:t>在区委、区政府的正确领导下，在区人大、政协悉心指导以及在区级各部门帮助下，</w:t>
      </w:r>
      <w:r>
        <w:rPr>
          <w:rFonts w:hint="eastAsia" w:ascii="仿宋_GB2312" w:hAnsi="微软雅黑" w:eastAsia="仿宋_GB2312" w:cs="仿宋_GB2312"/>
          <w:kern w:val="0"/>
          <w:sz w:val="32"/>
          <w:szCs w:val="32"/>
          <w:lang w:val="en-US" w:eastAsia="zh-CN"/>
        </w:rPr>
        <w:t>园区</w:t>
      </w:r>
      <w:r>
        <w:rPr>
          <w:rFonts w:hint="eastAsia" w:ascii="仿宋_GB2312" w:hAnsi="微软雅黑" w:eastAsia="仿宋_GB2312" w:cs="仿宋_GB2312"/>
          <w:kern w:val="0"/>
          <w:sz w:val="32"/>
          <w:szCs w:val="32"/>
        </w:rPr>
        <w:t>上下紧紧围绕年初制定的目标，紧扣区委区政府安排部署的各</w:t>
      </w:r>
      <w:bookmarkStart w:id="0" w:name="_GoBack"/>
      <w:bookmarkEnd w:id="0"/>
      <w:r>
        <w:rPr>
          <w:rFonts w:hint="eastAsia" w:ascii="仿宋_GB2312" w:hAnsi="微软雅黑" w:eastAsia="仿宋_GB2312" w:cs="仿宋_GB2312"/>
          <w:kern w:val="0"/>
          <w:sz w:val="32"/>
          <w:szCs w:val="32"/>
        </w:rPr>
        <w:t>项重点工作，发挥优势，攻坚克难，团结一心，攻坚拼搏，较好的完成了年初制定的各项工作目标。</w:t>
      </w:r>
    </w:p>
    <w:p w14:paraId="1154967E">
      <w:pPr>
        <w:widowControl/>
        <w:spacing w:after="300" w:line="500" w:lineRule="atLeast"/>
        <w:jc w:val="left"/>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　　经综合评价，</w:t>
      </w:r>
      <w:r>
        <w:rPr>
          <w:rFonts w:hint="eastAsia" w:ascii="仿宋_GB2312" w:hAnsi="微软雅黑" w:eastAsia="仿宋_GB2312" w:cs="仿宋_GB2312"/>
          <w:sz w:val="32"/>
          <w:szCs w:val="32"/>
        </w:rPr>
        <w:t>湖南益阳长春经济开发区管理委员会</w:t>
      </w:r>
      <w:r>
        <w:rPr>
          <w:rFonts w:hint="eastAsia" w:ascii="仿宋_GB2312" w:hAnsi="微软雅黑" w:eastAsia="仿宋_GB2312" w:cs="仿宋_GB2312"/>
          <w:kern w:val="0"/>
          <w:sz w:val="32"/>
          <w:szCs w:val="32"/>
        </w:rPr>
        <w:t>预算配置科学，执行有效，管理规范，较好的完成了各项年度工作目标，取得了较好的经济效益和社会效益。根据区政府绩效考核文件精神，绩效目标在本年基本完成。</w:t>
      </w:r>
    </w:p>
    <w:p w14:paraId="23023E66">
      <w:pPr>
        <w:widowControl/>
        <w:shd w:val="clear" w:color="auto" w:fill="FFFFFF"/>
        <w:spacing w:before="100" w:beforeAutospacing="1" w:after="100" w:afterAutospacing="1" w:line="500" w:lineRule="atLeast"/>
        <w:ind w:firstLine="640" w:firstLineChars="200"/>
        <w:jc w:val="left"/>
        <w:rPr>
          <w:rFonts w:ascii="仿宋_GB2312" w:hAnsi="微软雅黑" w:eastAsia="仿宋_GB2312" w:cs="仿宋_GB2312"/>
          <w:sz w:val="32"/>
          <w:szCs w:val="32"/>
        </w:rPr>
      </w:pPr>
      <w:r>
        <w:rPr>
          <w:rFonts w:hint="eastAsia" w:ascii="仿宋_GB2312" w:hAnsi="微软雅黑" w:eastAsia="仿宋_GB2312" w:cs="仿宋_GB2312"/>
          <w:kern w:val="0"/>
          <w:sz w:val="32"/>
          <w:szCs w:val="32"/>
        </w:rPr>
        <w:t>通过这次自评我们清醒的认识到，财政运行还存在着一些不容忽视的问题，财政收入规模单一，收入结构不合理，社会事业发展所需财政支出压力大，收支矛盾还比较突出，财政管理还不很规范，财经纪律还有待进一步加强。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w:t>
      </w:r>
      <w:r>
        <w:rPr>
          <w:rFonts w:hint="eastAsia" w:ascii="仿宋_GB2312" w:hAnsi="微软雅黑" w:eastAsia="仿宋_GB2312" w:cs="仿宋_GB2312"/>
          <w:sz w:val="32"/>
          <w:szCs w:val="32"/>
        </w:rPr>
        <w:t>，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14:paraId="33AD42BC">
      <w:pPr>
        <w:pStyle w:val="4"/>
        <w:shd w:val="clear" w:color="auto" w:fill="FFFFFF"/>
        <w:spacing w:line="555" w:lineRule="atLeast"/>
        <w:rPr>
          <w:rFonts w:ascii="仿宋_GB2312" w:hAnsi="微软雅黑" w:eastAsia="仿宋_GB2312" w:cs="仿宋_GB2312"/>
          <w:b/>
          <w:bCs/>
          <w:sz w:val="32"/>
          <w:szCs w:val="32"/>
        </w:rPr>
      </w:pPr>
      <w:r>
        <w:rPr>
          <w:rFonts w:hint="eastAsia" w:ascii="仿宋_GB2312" w:hAnsi="微软雅黑" w:eastAsia="仿宋_GB2312" w:cs="仿宋_GB2312"/>
          <w:b/>
          <w:bCs/>
          <w:sz w:val="32"/>
          <w:szCs w:val="32"/>
        </w:rPr>
        <w:t>五、自评结论</w:t>
      </w:r>
    </w:p>
    <w:p w14:paraId="4559CEAE">
      <w:pPr>
        <w:pStyle w:val="4"/>
        <w:shd w:val="clear" w:color="auto" w:fill="FFFFFF"/>
        <w:spacing w:line="555" w:lineRule="atLeast"/>
        <w:ind w:firstLine="640" w:firstLineChars="200"/>
        <w:rPr>
          <w:rFonts w:ascii="仿宋_GB2312" w:hAnsi="微软雅黑" w:eastAsia="仿宋_GB2312" w:cs="仿宋_GB2312"/>
          <w:sz w:val="32"/>
          <w:szCs w:val="32"/>
        </w:rPr>
      </w:pPr>
      <w:r>
        <w:rPr>
          <w:rFonts w:hint="eastAsia" w:ascii="仿宋_GB2312" w:hAnsi="微软雅黑" w:eastAsia="仿宋_GB2312" w:cs="仿宋_GB2312"/>
          <w:sz w:val="32"/>
          <w:szCs w:val="32"/>
        </w:rPr>
        <w:t>根据以上预算绩效情况，我单位2022年预算绩效自评为优秀。</w:t>
      </w:r>
    </w:p>
    <w:p w14:paraId="135E466E">
      <w:pPr>
        <w:pStyle w:val="4"/>
        <w:shd w:val="clear" w:color="auto" w:fill="FFFFFF"/>
        <w:spacing w:line="555" w:lineRule="atLeast"/>
        <w:rPr>
          <w:rFonts w:ascii="仿宋_GB2312" w:hAnsi="微软雅黑" w:eastAsia="仿宋_GB2312" w:cs="仿宋_GB2312"/>
          <w:sz w:val="32"/>
          <w:szCs w:val="32"/>
        </w:rPr>
      </w:pPr>
    </w:p>
    <w:p w14:paraId="552B17C3">
      <w:pPr>
        <w:ind w:firstLine="420" w:firstLineChars="200"/>
        <w:rPr>
          <w:rFonts w:cs="Times New Roman"/>
        </w:rPr>
      </w:pPr>
    </w:p>
    <w:p w14:paraId="3E5E880A">
      <w:pPr>
        <w:ind w:firstLine="420" w:firstLineChars="200"/>
        <w:rPr>
          <w:rFonts w:cs="Times New Roman"/>
        </w:rPr>
      </w:pPr>
    </w:p>
    <w:p w14:paraId="4216D36C">
      <w:pPr>
        <w:ind w:firstLine="420" w:firstLineChars="200"/>
        <w:rPr>
          <w:rFonts w:cs="Times New Roman"/>
        </w:rPr>
      </w:pPr>
    </w:p>
    <w:p w14:paraId="2AB60EFC">
      <w:pPr>
        <w:ind w:firstLine="420" w:firstLineChars="200"/>
        <w:rPr>
          <w:rFonts w:cs="Times New Roman"/>
          <w:sz w:val="28"/>
          <w:szCs w:val="28"/>
        </w:rPr>
      </w:pPr>
      <w:r>
        <w:rPr>
          <w:rFonts w:hint="eastAsia" w:cs="Times New Roman"/>
        </w:rPr>
        <w:t xml:space="preserve">                                                   </w:t>
      </w:r>
      <w:r>
        <w:rPr>
          <w:rFonts w:hint="eastAsia" w:cs="Times New Roman"/>
          <w:sz w:val="28"/>
          <w:szCs w:val="28"/>
        </w:rPr>
        <w:t xml:space="preserve"> 2023年1月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695A">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7FB19">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E3035"/>
    <w:multiLevelType w:val="singleLevel"/>
    <w:tmpl w:val="051E3035"/>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RhYWIwYjk1OTAwNjYwZjUyNTcxZDU4Yzk3Yzk1YjAifQ=="/>
  </w:docVars>
  <w:rsids>
    <w:rsidRoot w:val="00AE3E6C"/>
    <w:rsid w:val="0009757F"/>
    <w:rsid w:val="0011360B"/>
    <w:rsid w:val="00120875"/>
    <w:rsid w:val="001559B2"/>
    <w:rsid w:val="001C013E"/>
    <w:rsid w:val="0028530D"/>
    <w:rsid w:val="00311991"/>
    <w:rsid w:val="00350970"/>
    <w:rsid w:val="00383159"/>
    <w:rsid w:val="00490873"/>
    <w:rsid w:val="004A0818"/>
    <w:rsid w:val="005C18F3"/>
    <w:rsid w:val="005E5CE2"/>
    <w:rsid w:val="00666DDB"/>
    <w:rsid w:val="00717AB3"/>
    <w:rsid w:val="00784B32"/>
    <w:rsid w:val="00807F8C"/>
    <w:rsid w:val="00837985"/>
    <w:rsid w:val="008A7D03"/>
    <w:rsid w:val="008D4F27"/>
    <w:rsid w:val="008E2A83"/>
    <w:rsid w:val="00915B66"/>
    <w:rsid w:val="00943EE7"/>
    <w:rsid w:val="00AA1E52"/>
    <w:rsid w:val="00AE3E6C"/>
    <w:rsid w:val="00BC783D"/>
    <w:rsid w:val="00C7224B"/>
    <w:rsid w:val="00C81636"/>
    <w:rsid w:val="00CF1E16"/>
    <w:rsid w:val="00DD520D"/>
    <w:rsid w:val="00DD6910"/>
    <w:rsid w:val="00E24583"/>
    <w:rsid w:val="00E55B4B"/>
    <w:rsid w:val="00EC65F8"/>
    <w:rsid w:val="00ED3FB3"/>
    <w:rsid w:val="00F93115"/>
    <w:rsid w:val="018B270E"/>
    <w:rsid w:val="01D57BBF"/>
    <w:rsid w:val="036449AC"/>
    <w:rsid w:val="0425046D"/>
    <w:rsid w:val="05087233"/>
    <w:rsid w:val="054B04BF"/>
    <w:rsid w:val="086D28BB"/>
    <w:rsid w:val="0B961470"/>
    <w:rsid w:val="0CFD125B"/>
    <w:rsid w:val="0EF133E5"/>
    <w:rsid w:val="0FF16E57"/>
    <w:rsid w:val="10C3162F"/>
    <w:rsid w:val="113242E6"/>
    <w:rsid w:val="156A7591"/>
    <w:rsid w:val="158B1575"/>
    <w:rsid w:val="18F248B6"/>
    <w:rsid w:val="1A3C2267"/>
    <w:rsid w:val="1A6D4075"/>
    <w:rsid w:val="1E596365"/>
    <w:rsid w:val="206614C5"/>
    <w:rsid w:val="228457A7"/>
    <w:rsid w:val="245F5C42"/>
    <w:rsid w:val="2AD46F12"/>
    <w:rsid w:val="2AE674AF"/>
    <w:rsid w:val="2C6A50FE"/>
    <w:rsid w:val="2C7A73F2"/>
    <w:rsid w:val="2D117E22"/>
    <w:rsid w:val="2D485CDC"/>
    <w:rsid w:val="2D5375DD"/>
    <w:rsid w:val="2F6704D8"/>
    <w:rsid w:val="32EF6CE0"/>
    <w:rsid w:val="32FD2138"/>
    <w:rsid w:val="339764DA"/>
    <w:rsid w:val="34924D73"/>
    <w:rsid w:val="3588128E"/>
    <w:rsid w:val="371E3FD3"/>
    <w:rsid w:val="378125BD"/>
    <w:rsid w:val="37A36F31"/>
    <w:rsid w:val="38055F17"/>
    <w:rsid w:val="3A130DA5"/>
    <w:rsid w:val="3E5C201F"/>
    <w:rsid w:val="3EFB73A7"/>
    <w:rsid w:val="408056E0"/>
    <w:rsid w:val="423D594E"/>
    <w:rsid w:val="42B74220"/>
    <w:rsid w:val="43CF0940"/>
    <w:rsid w:val="44801068"/>
    <w:rsid w:val="45146A73"/>
    <w:rsid w:val="467149E7"/>
    <w:rsid w:val="467907E0"/>
    <w:rsid w:val="46ED07E5"/>
    <w:rsid w:val="476C728B"/>
    <w:rsid w:val="48D4403E"/>
    <w:rsid w:val="4AE43EEF"/>
    <w:rsid w:val="4E3B5681"/>
    <w:rsid w:val="4F393A84"/>
    <w:rsid w:val="50C92E9C"/>
    <w:rsid w:val="519D5F32"/>
    <w:rsid w:val="52615BA5"/>
    <w:rsid w:val="5314510C"/>
    <w:rsid w:val="53A233EA"/>
    <w:rsid w:val="56241CFB"/>
    <w:rsid w:val="5A1415C0"/>
    <w:rsid w:val="5ACD64CF"/>
    <w:rsid w:val="5DAF5E92"/>
    <w:rsid w:val="5EF3680D"/>
    <w:rsid w:val="63530674"/>
    <w:rsid w:val="63912197"/>
    <w:rsid w:val="65311D81"/>
    <w:rsid w:val="66B83981"/>
    <w:rsid w:val="67321B9B"/>
    <w:rsid w:val="6755375D"/>
    <w:rsid w:val="67D5211A"/>
    <w:rsid w:val="698851E1"/>
    <w:rsid w:val="6C871CB0"/>
    <w:rsid w:val="6CAE01F5"/>
    <w:rsid w:val="6CDA330C"/>
    <w:rsid w:val="70B53A9E"/>
    <w:rsid w:val="718C0118"/>
    <w:rsid w:val="723116A3"/>
    <w:rsid w:val="739F76DA"/>
    <w:rsid w:val="73CF010F"/>
    <w:rsid w:val="74D603E1"/>
    <w:rsid w:val="752E6073"/>
    <w:rsid w:val="78F67F06"/>
    <w:rsid w:val="795E42D6"/>
    <w:rsid w:val="7AB202F0"/>
    <w:rsid w:val="7D774AE2"/>
    <w:rsid w:val="7F626F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cs="宋体"/>
      <w:kern w:val="0"/>
      <w:sz w:val="24"/>
      <w:szCs w:val="24"/>
    </w:rPr>
  </w:style>
  <w:style w:type="paragraph" w:styleId="5">
    <w:name w:val="Title"/>
    <w:basedOn w:val="1"/>
    <w:next w:val="1"/>
    <w:link w:val="12"/>
    <w:qFormat/>
    <w:uiPriority w:val="99"/>
    <w:pPr>
      <w:spacing w:before="240" w:after="60"/>
      <w:jc w:val="center"/>
      <w:outlineLvl w:val="0"/>
    </w:pPr>
    <w:rPr>
      <w:rFonts w:ascii="Cambria" w:hAnsi="Cambria" w:cs="Cambria"/>
      <w:b/>
      <w:bCs/>
      <w:sz w:val="32"/>
      <w:szCs w:val="32"/>
    </w:rPr>
  </w:style>
  <w:style w:type="character" w:styleId="8">
    <w:name w:val="Strong"/>
    <w:basedOn w:val="7"/>
    <w:qFormat/>
    <w:locked/>
    <w:uiPriority w:val="0"/>
    <w:rPr>
      <w:sz w:val="24"/>
      <w:szCs w:val="24"/>
    </w:rPr>
  </w:style>
  <w:style w:type="character" w:styleId="9">
    <w:name w:val="FollowedHyperlink"/>
    <w:basedOn w:val="7"/>
    <w:semiHidden/>
    <w:unhideWhenUsed/>
    <w:qFormat/>
    <w:uiPriority w:val="99"/>
    <w:rPr>
      <w:color w:val="333333"/>
      <w:u w:val="none"/>
    </w:rPr>
  </w:style>
  <w:style w:type="character" w:styleId="10">
    <w:name w:val="Emphasis"/>
    <w:basedOn w:val="7"/>
    <w:qFormat/>
    <w:locked/>
    <w:uiPriority w:val="0"/>
    <w:rPr>
      <w:sz w:val="24"/>
      <w:szCs w:val="24"/>
    </w:rPr>
  </w:style>
  <w:style w:type="character" w:styleId="11">
    <w:name w:val="Hyperlink"/>
    <w:basedOn w:val="7"/>
    <w:semiHidden/>
    <w:unhideWhenUsed/>
    <w:qFormat/>
    <w:uiPriority w:val="99"/>
    <w:rPr>
      <w:color w:val="333333"/>
      <w:u w:val="none"/>
    </w:rPr>
  </w:style>
  <w:style w:type="character" w:customStyle="1" w:styleId="12">
    <w:name w:val="标题 Char"/>
    <w:basedOn w:val="7"/>
    <w:link w:val="5"/>
    <w:qFormat/>
    <w:locked/>
    <w:uiPriority w:val="99"/>
    <w:rPr>
      <w:rFonts w:ascii="Cambria" w:hAnsi="Cambria" w:eastAsia="宋体" w:cs="Cambria"/>
      <w:b/>
      <w:bCs/>
      <w:sz w:val="32"/>
      <w:szCs w:val="32"/>
    </w:rPr>
  </w:style>
  <w:style w:type="character" w:customStyle="1" w:styleId="13">
    <w:name w:val="页眉 Char"/>
    <w:basedOn w:val="7"/>
    <w:link w:val="3"/>
    <w:semiHidden/>
    <w:qFormat/>
    <w:locked/>
    <w:uiPriority w:val="99"/>
    <w:rPr>
      <w:sz w:val="18"/>
      <w:szCs w:val="18"/>
    </w:rPr>
  </w:style>
  <w:style w:type="character" w:customStyle="1" w:styleId="14">
    <w:name w:val="页脚 Char"/>
    <w:basedOn w:val="7"/>
    <w:link w:val="2"/>
    <w:semiHidden/>
    <w:qFormat/>
    <w:locked/>
    <w:uiPriority w:val="99"/>
    <w:rPr>
      <w:sz w:val="18"/>
      <w:szCs w:val="18"/>
    </w:rPr>
  </w:style>
  <w:style w:type="character" w:customStyle="1" w:styleId="15">
    <w:name w:val="wx-space"/>
    <w:basedOn w:val="7"/>
    <w:qFormat/>
    <w:uiPriority w:val="0"/>
  </w:style>
  <w:style w:type="character" w:customStyle="1" w:styleId="16">
    <w:name w:val="wx-space1"/>
    <w:basedOn w:val="7"/>
    <w:qFormat/>
    <w:uiPriority w:val="0"/>
  </w:style>
  <w:style w:type="character" w:customStyle="1" w:styleId="17">
    <w:name w:val="hover25"/>
    <w:basedOn w:val="7"/>
    <w:qFormat/>
    <w:uiPriority w:val="0"/>
    <w:rPr>
      <w:color w:val="000000"/>
      <w:shd w:val="clear" w:color="auto" w:fill="FFFFFF"/>
    </w:rPr>
  </w:style>
  <w:style w:type="character" w:customStyle="1" w:styleId="18">
    <w:name w:val="bsharetext"/>
    <w:basedOn w:val="7"/>
    <w:qFormat/>
    <w:uiPriority w:val="0"/>
  </w:style>
  <w:style w:type="character" w:customStyle="1" w:styleId="19">
    <w:name w:val="before4"/>
    <w:basedOn w:val="7"/>
    <w:qFormat/>
    <w:uiPriority w:val="0"/>
    <w:rPr>
      <w:bdr w:val="single" w:color="0466C7" w:sz="36" w:space="0"/>
    </w:rPr>
  </w:style>
  <w:style w:type="character" w:customStyle="1" w:styleId="20">
    <w:name w:val="hover24"/>
    <w:basedOn w:val="7"/>
    <w:qFormat/>
    <w:uiPriority w:val="0"/>
    <w:rPr>
      <w:color w:val="00000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2429</Words>
  <Characters>2553</Characters>
  <Lines>18</Lines>
  <Paragraphs>5</Paragraphs>
  <TotalTime>69</TotalTime>
  <ScaleCrop>false</ScaleCrop>
  <LinksUpToDate>false</LinksUpToDate>
  <CharactersWithSpaces>2617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2018-09-29T04:34:00Z</dcterms:created>
  <dc:creator>微软用户</dc:creator>
  <cp:lastModifiedBy>W</cp:lastModifiedBy>
  <cp:lastPrinted>2018-10-01T06:41:00Z</cp:lastPrinted>
  <dcterms:modified xsi:type="dcterms:W3CDTF">2024-10-15T09:41:16Z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E97EFB10006E4E188966181AFAD7518D</vt:lpwstr>
  </property>
</Properties>
</file>