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60202">
      <w:pPr>
        <w:pStyle w:val="2"/>
        <w:spacing w:line="600" w:lineRule="exact"/>
        <w:ind w:right="215"/>
        <w:jc w:val="left"/>
        <w:rPr>
          <w:rFonts w:hint="eastAsia" w:ascii="方正小标宋简体" w:eastAsia="方正小标宋简体"/>
          <w:bCs/>
          <w:spacing w:val="-6"/>
          <w:sz w:val="44"/>
          <w:szCs w:val="44"/>
        </w:rPr>
      </w:pPr>
      <w:r>
        <w:rPr>
          <w:rFonts w:ascii="楷体" w:hAnsi="楷体" w:eastAsia="楷体"/>
          <w:w w:val="90"/>
          <w:sz w:val="28"/>
          <w:szCs w:val="28"/>
        </w:rPr>
        <w:t>资阳区第六届人大常委会第十九次会议资料</w:t>
      </w:r>
    </w:p>
    <w:p w14:paraId="452851E7">
      <w:pPr>
        <w:autoSpaceDE w:val="0"/>
        <w:spacing w:line="560" w:lineRule="exact"/>
        <w:jc w:val="center"/>
        <w:rPr>
          <w:rFonts w:hint="eastAsia" w:ascii="方正小标宋简体" w:hAnsi="Times New Roman" w:eastAsia="方正小标宋简体" w:cs="Times New Roman"/>
          <w:bCs/>
          <w:spacing w:val="-6"/>
          <w:sz w:val="44"/>
          <w:szCs w:val="44"/>
        </w:rPr>
      </w:pPr>
    </w:p>
    <w:p w14:paraId="3226F495">
      <w:pPr>
        <w:autoSpaceDE w:val="0"/>
        <w:spacing w:line="560" w:lineRule="exact"/>
        <w:jc w:val="center"/>
        <w:rPr>
          <w:rFonts w:ascii="方正小标宋简体" w:hAnsi="Times New Roman" w:eastAsia="方正小标宋简体" w:cs="Times New Roman"/>
          <w:bCs/>
          <w:spacing w:val="-6"/>
          <w:sz w:val="44"/>
          <w:szCs w:val="44"/>
        </w:rPr>
      </w:pPr>
      <w:r>
        <w:rPr>
          <w:rFonts w:hint="eastAsia" w:ascii="方正小标宋简体" w:hAnsi="Times New Roman" w:eastAsia="方正小标宋简体" w:cs="Times New Roman"/>
          <w:bCs/>
          <w:spacing w:val="-6"/>
          <w:sz w:val="44"/>
          <w:szCs w:val="44"/>
        </w:rPr>
        <w:t>关于益阳市</w:t>
      </w:r>
      <w:bookmarkStart w:id="0" w:name="_Hlk108385229"/>
      <w:r>
        <w:rPr>
          <w:rFonts w:hint="eastAsia" w:ascii="方正小标宋简体" w:hAnsi="Times New Roman" w:eastAsia="方正小标宋简体" w:cs="Times New Roman"/>
          <w:bCs/>
          <w:spacing w:val="-6"/>
          <w:sz w:val="44"/>
          <w:szCs w:val="44"/>
        </w:rPr>
        <w:t>资阳区2023年财政决算（草案）和</w:t>
      </w:r>
    </w:p>
    <w:p w14:paraId="701FCA82">
      <w:pPr>
        <w:autoSpaceDE w:val="0"/>
        <w:spacing w:line="560" w:lineRule="exact"/>
        <w:jc w:val="center"/>
        <w:rPr>
          <w:rFonts w:ascii="楷体_GB2312" w:hAnsi="楷体_GB2312" w:eastAsia="楷体_GB2312" w:cs="楷体_GB2312"/>
          <w:bCs/>
          <w:spacing w:val="-6"/>
          <w:sz w:val="28"/>
          <w:szCs w:val="28"/>
        </w:rPr>
      </w:pPr>
      <w:r>
        <w:rPr>
          <w:rFonts w:hint="eastAsia" w:ascii="方正小标宋简体" w:hAnsi="Times New Roman" w:eastAsia="方正小标宋简体" w:cs="Times New Roman"/>
          <w:bCs/>
          <w:spacing w:val="-6"/>
          <w:sz w:val="44"/>
          <w:szCs w:val="44"/>
        </w:rPr>
        <w:t>2024年上半年财政预算执行情况</w:t>
      </w:r>
      <w:bookmarkEnd w:id="0"/>
      <w:r>
        <w:rPr>
          <w:rFonts w:hint="eastAsia" w:ascii="方正小标宋简体" w:hAnsi="Times New Roman" w:eastAsia="方正小标宋简体" w:cs="Times New Roman"/>
          <w:bCs/>
          <w:spacing w:val="-6"/>
          <w:sz w:val="44"/>
          <w:szCs w:val="44"/>
        </w:rPr>
        <w:t>的报告</w:t>
      </w:r>
    </w:p>
    <w:p w14:paraId="08CDEC24">
      <w:pPr>
        <w:autoSpaceDN w:val="0"/>
        <w:snapToGrid w:val="0"/>
        <w:spacing w:line="560" w:lineRule="exact"/>
        <w:jc w:val="center"/>
        <w:rPr>
          <w:rFonts w:ascii="楷体" w:hAnsi="楷体" w:eastAsia="楷体" w:cs="仿宋"/>
          <w:bCs/>
          <w:color w:val="000000"/>
          <w:spacing w:val="-6"/>
          <w:w w:val="80"/>
          <w:sz w:val="32"/>
          <w:szCs w:val="32"/>
        </w:rPr>
      </w:pPr>
      <w:r>
        <w:rPr>
          <w:rFonts w:hint="eastAsia" w:ascii="楷体" w:hAnsi="楷体" w:eastAsia="楷体" w:cs="仿宋"/>
          <w:bCs/>
          <w:color w:val="000000"/>
          <w:w w:val="80"/>
          <w:sz w:val="32"/>
          <w:szCs w:val="32"/>
        </w:rPr>
        <w:t>—</w:t>
      </w:r>
      <w:r>
        <w:rPr>
          <w:rFonts w:hint="eastAsia" w:ascii="楷体" w:hAnsi="楷体" w:eastAsia="楷体" w:cs="仿宋"/>
          <w:bCs/>
          <w:color w:val="000000"/>
          <w:spacing w:val="-6"/>
          <w:w w:val="80"/>
          <w:sz w:val="32"/>
          <w:szCs w:val="32"/>
        </w:rPr>
        <w:t>2024年8月</w:t>
      </w:r>
      <w:r>
        <w:rPr>
          <w:rFonts w:hint="eastAsia" w:ascii="楷体" w:hAnsi="楷体" w:eastAsia="楷体" w:cs="仿宋"/>
          <w:bCs/>
          <w:color w:val="000000"/>
          <w:spacing w:val="-6"/>
          <w:w w:val="80"/>
          <w:sz w:val="32"/>
          <w:szCs w:val="32"/>
          <w:lang w:val="en-US" w:eastAsia="zh-CN"/>
        </w:rPr>
        <w:t>27</w:t>
      </w:r>
      <w:r>
        <w:rPr>
          <w:rFonts w:hint="eastAsia" w:ascii="楷体" w:hAnsi="楷体" w:eastAsia="楷体" w:cs="仿宋"/>
          <w:bCs/>
          <w:color w:val="000000"/>
          <w:spacing w:val="-6"/>
          <w:w w:val="80"/>
          <w:sz w:val="32"/>
          <w:szCs w:val="32"/>
        </w:rPr>
        <w:t>日在益阳市资阳区第六届人民代表大会常务委员会第十九次会议上</w:t>
      </w:r>
    </w:p>
    <w:p w14:paraId="7A8E3792">
      <w:pPr>
        <w:spacing w:line="560" w:lineRule="exact"/>
        <w:jc w:val="center"/>
        <w:rPr>
          <w:rFonts w:ascii="楷体" w:hAnsi="楷体" w:eastAsia="楷体" w:cs="楷体_GB2312"/>
          <w:sz w:val="32"/>
        </w:rPr>
      </w:pPr>
      <w:r>
        <w:rPr>
          <w:rFonts w:hint="eastAsia" w:ascii="楷体" w:hAnsi="楷体" w:eastAsia="楷体" w:cs="楷体_GB2312"/>
          <w:sz w:val="32"/>
        </w:rPr>
        <w:t>资阳区财政局局长  王声权</w:t>
      </w:r>
    </w:p>
    <w:p w14:paraId="253C8CFF">
      <w:pPr>
        <w:widowControl/>
        <w:spacing w:line="560" w:lineRule="exact"/>
        <w:rPr>
          <w:rFonts w:ascii="仿宋_GB2312" w:hAnsi="Times New Roman" w:eastAsia="仿宋_GB2312" w:cs="Times New Roman"/>
          <w:sz w:val="32"/>
          <w:szCs w:val="32"/>
        </w:rPr>
      </w:pPr>
    </w:p>
    <w:p w14:paraId="6F14FEEF">
      <w:pPr>
        <w:spacing w:line="560" w:lineRule="exact"/>
        <w:rPr>
          <w:rFonts w:ascii="楷体_GB2312" w:hAnsi="Times New Roman" w:eastAsia="楷体_GB2312" w:cs="Times New Roman"/>
          <w:sz w:val="32"/>
          <w:szCs w:val="32"/>
        </w:rPr>
      </w:pPr>
      <w:r>
        <w:rPr>
          <w:rFonts w:hint="eastAsia" w:ascii="仿宋_GB2312" w:hAnsi="Times New Roman" w:eastAsia="仿宋_GB2312" w:cs="Times New Roman"/>
          <w:sz w:val="32"/>
          <w:szCs w:val="32"/>
        </w:rPr>
        <w:t>主任、各位副主任、各位委员：</w:t>
      </w:r>
    </w:p>
    <w:p w14:paraId="38194B1A">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受区人民政府委托，我向本次会议报告全区</w:t>
      </w:r>
      <w:r>
        <w:rPr>
          <w:rFonts w:hint="eastAsia" w:ascii="仿宋_GB2312" w:hAnsi="Times New Roman" w:eastAsia="仿宋_GB2312" w:cs="Times New Roman"/>
          <w:bCs/>
          <w:sz w:val="32"/>
          <w:szCs w:val="32"/>
        </w:rPr>
        <w:t>2023年财政决算（草案）和2024年上半年预算执行情况</w:t>
      </w:r>
      <w:r>
        <w:rPr>
          <w:rFonts w:hint="eastAsia" w:ascii="仿宋_GB2312" w:hAnsi="Times New Roman" w:eastAsia="仿宋_GB2312" w:cs="Times New Roman"/>
          <w:sz w:val="32"/>
          <w:szCs w:val="32"/>
        </w:rPr>
        <w:t>，请予审议。</w:t>
      </w:r>
    </w:p>
    <w:p w14:paraId="55016657">
      <w:pPr>
        <w:spacing w:line="560" w:lineRule="exact"/>
        <w:ind w:firstLine="640" w:firstLineChars="200"/>
        <w:rPr>
          <w:rFonts w:ascii="黑体" w:hAnsi="宋体" w:eastAsia="黑体" w:cs="Times New Roman"/>
          <w:sz w:val="32"/>
          <w:szCs w:val="32"/>
        </w:rPr>
      </w:pPr>
      <w:r>
        <w:rPr>
          <w:rFonts w:hint="eastAsia" w:ascii="黑体" w:hAnsi="宋体" w:eastAsia="黑体" w:cs="Times New Roman"/>
          <w:sz w:val="32"/>
          <w:szCs w:val="32"/>
        </w:rPr>
        <w:t>一、2023年财政决算情况</w:t>
      </w:r>
    </w:p>
    <w:p w14:paraId="55391851">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2023年是全面贯彻落实党的二十大精神的开局之年，也是三年新冠疫情防控转段后经济恢复发展的一年。财政工作坚持以习近平新时代中国特色社会主义思想为指导，按照区委决策部署，坚持稳中求进的工作总基调，严格执行资阳区第六届人大二次会议审查批准的预算，加大宏观调控力度、着力扩大内需、优化支出结构、防范化解风险，资阳经济总体回升向好，高质量发展扎实推进，2023年财政决算情况总体良好。</w:t>
      </w:r>
    </w:p>
    <w:p w14:paraId="4E68621A">
      <w:pPr>
        <w:spacing w:line="56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（一）一般公共财政收支决算情况</w:t>
      </w:r>
    </w:p>
    <w:p w14:paraId="79E4E873">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2023年全区累计完成地方一般公共预算收入（区级）49291万元，为调整预算的101.85%，同口径较上年增加3672万元，增长8.05%；完成上划中央收入45475万元，比上年增加18180万元，增长66.61%；完成上划省级收入7447万元，比上年增加12399万元，增长250.38%。上划中央和省级收入增加的原因是受2022年度我区大规模进行政策性留抵退税影响，同期基数较小。</w:t>
      </w:r>
    </w:p>
    <w:p w14:paraId="5BCE787B">
      <w:pPr>
        <w:spacing w:line="560" w:lineRule="exact"/>
        <w:ind w:left="13" w:leftChars="6"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2023年全区完成一般公共预算支出319006万元，比上年增加27514万元，增长9.44%</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2023年完成本级一般公共预算支出176856万元，为调整预算的93.64%，比上年增加2081万元。</w:t>
      </w:r>
    </w:p>
    <w:p w14:paraId="389768C9">
      <w:pPr>
        <w:spacing w:line="560" w:lineRule="exact"/>
        <w:ind w:left="13" w:leftChars="6" w:firstLine="640" w:firstLineChars="200"/>
        <w:rPr>
          <w:rFonts w:ascii="仿宋_GB2312" w:hAnsi="宋体" w:eastAsia="仿宋_GB2312" w:cs="Times New Roman"/>
          <w:sz w:val="32"/>
          <w:szCs w:val="32"/>
        </w:rPr>
      </w:pPr>
      <w:r>
        <w:rPr>
          <w:rFonts w:hint="eastAsia" w:ascii="仿宋_GB2312" w:hAnsi="Times New Roman" w:eastAsia="仿宋_GB2312" w:cs="Times New Roman"/>
          <w:sz w:val="32"/>
          <w:szCs w:val="32"/>
        </w:rPr>
        <w:t>收支平衡情况，2</w:t>
      </w:r>
      <w:r>
        <w:rPr>
          <w:rFonts w:hint="eastAsia" w:ascii="仿宋_GB2312" w:hAnsi="宋体" w:eastAsia="仿宋_GB2312" w:cs="Times New Roman"/>
          <w:sz w:val="32"/>
          <w:szCs w:val="32"/>
        </w:rPr>
        <w:t>023年全区完成地方一般公共预算收入（区级）49291万元，</w:t>
      </w:r>
      <w:r>
        <w:rPr>
          <w:rFonts w:hint="eastAsia" w:ascii="仿宋_GB2312" w:hAnsi="Times New Roman" w:eastAsia="仿宋_GB2312" w:cs="Times New Roman"/>
          <w:sz w:val="32"/>
          <w:szCs w:val="32"/>
        </w:rPr>
        <w:t>上级补助收入</w:t>
      </w:r>
      <w:r>
        <w:rPr>
          <w:rFonts w:hint="eastAsia" w:ascii="仿宋_GB2312" w:hAnsi="Times New Roman" w:eastAsia="仿宋_GB2312" w:cs="Times New Roman"/>
          <w:kern w:val="0"/>
          <w:sz w:val="32"/>
          <w:szCs w:val="32"/>
        </w:rPr>
        <w:t>243768</w:t>
      </w:r>
      <w:r>
        <w:rPr>
          <w:rFonts w:hint="eastAsia" w:ascii="仿宋_GB2312" w:hAnsi="Times New Roman" w:eastAsia="仿宋_GB2312" w:cs="Times New Roman"/>
          <w:sz w:val="32"/>
          <w:szCs w:val="32"/>
        </w:rPr>
        <w:t>万元，债券转贷收入93875万元，上年结余</w:t>
      </w:r>
      <w:r>
        <w:rPr>
          <w:rFonts w:hint="eastAsia" w:ascii="仿宋_GB2312" w:hAnsi="Times New Roman" w:eastAsia="仿宋_GB2312" w:cs="Times New Roman"/>
          <w:kern w:val="0"/>
          <w:sz w:val="32"/>
          <w:szCs w:val="32"/>
        </w:rPr>
        <w:t>26223</w:t>
      </w:r>
      <w:r>
        <w:rPr>
          <w:rFonts w:hint="eastAsia" w:ascii="仿宋_GB2312" w:hAnsi="Times New Roman" w:eastAsia="仿宋_GB2312" w:cs="Times New Roman"/>
          <w:sz w:val="32"/>
          <w:szCs w:val="32"/>
        </w:rPr>
        <w:t>万元，调入资金2012万元，动用预算稳定调节基金46916万元，收入总计</w:t>
      </w:r>
      <w:r>
        <w:rPr>
          <w:rFonts w:hint="eastAsia" w:ascii="仿宋_GB2312" w:hAnsi="Times New Roman" w:eastAsia="仿宋_GB2312" w:cs="Times New Roman"/>
          <w:kern w:val="0"/>
          <w:sz w:val="32"/>
          <w:szCs w:val="32"/>
        </w:rPr>
        <w:t>462085</w:t>
      </w:r>
      <w:r>
        <w:rPr>
          <w:rFonts w:hint="eastAsia" w:ascii="仿宋_GB2312" w:hAnsi="Times New Roman" w:eastAsia="仿宋_GB2312" w:cs="Times New Roman"/>
          <w:sz w:val="32"/>
          <w:szCs w:val="32"/>
        </w:rPr>
        <w:t>万元。</w:t>
      </w:r>
      <w:r>
        <w:rPr>
          <w:rFonts w:hint="eastAsia" w:ascii="仿宋_GB2312" w:hAnsi="宋体" w:eastAsia="仿宋_GB2312" w:cs="Times New Roman"/>
          <w:sz w:val="32"/>
          <w:szCs w:val="32"/>
        </w:rPr>
        <w:t>2023年全区完成</w:t>
      </w:r>
      <w:r>
        <w:rPr>
          <w:rFonts w:hint="eastAsia" w:ascii="仿宋_GB2312" w:hAnsi="Times New Roman" w:eastAsia="仿宋_GB2312" w:cs="Times New Roman"/>
          <w:sz w:val="32"/>
          <w:szCs w:val="32"/>
        </w:rPr>
        <w:t>一般公共预算支出319006万元，上解上级支出13241万元，债</w:t>
      </w:r>
      <w:r>
        <w:rPr>
          <w:rFonts w:hint="eastAsia" w:ascii="仿宋_GB2312" w:hAnsi="Times New Roman" w:eastAsia="仿宋_GB2312" w:cs="Times New Roman"/>
          <w:sz w:val="32"/>
          <w:szCs w:val="32"/>
          <w:lang w:eastAsia="zh-CN"/>
        </w:rPr>
        <w:t>务</w:t>
      </w:r>
      <w:r>
        <w:rPr>
          <w:rFonts w:hint="eastAsia" w:ascii="仿宋_GB2312" w:hAnsi="Times New Roman" w:eastAsia="仿宋_GB2312" w:cs="Times New Roman"/>
          <w:sz w:val="32"/>
          <w:szCs w:val="32"/>
        </w:rPr>
        <w:t>还本支出78127万元，安排预算稳定调节基金24659万元，结转下年支出</w:t>
      </w:r>
      <w:r>
        <w:rPr>
          <w:rFonts w:hint="eastAsia" w:ascii="仿宋_GB2312" w:hAnsi="Times New Roman" w:eastAsia="仿宋_GB2312" w:cs="Times New Roman"/>
          <w:kern w:val="0"/>
          <w:sz w:val="32"/>
          <w:szCs w:val="32"/>
        </w:rPr>
        <w:t>27052</w:t>
      </w:r>
      <w:r>
        <w:rPr>
          <w:rFonts w:hint="eastAsia" w:ascii="仿宋_GB2312" w:hAnsi="Times New Roman" w:eastAsia="仿宋_GB2312" w:cs="Times New Roman"/>
          <w:sz w:val="32"/>
          <w:szCs w:val="32"/>
        </w:rPr>
        <w:t>万元，支出总计462085万元，当年收支平衡。</w:t>
      </w:r>
    </w:p>
    <w:p w14:paraId="15FE21A9">
      <w:pPr>
        <w:spacing w:line="560" w:lineRule="exact"/>
        <w:ind w:left="13" w:leftChars="6"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预备费使用情况，2023年全区年初预算安排预备费3030万元，实际动支预备费2877万元，使用率95%。预备费分科目支出使用情况如下：一般公共服务支出295万元，公共安全支出31万元，教育支出68万元，科学技术支出60万元，文化旅游体育与传媒支出19万元，社会保障和就业支出266万元，卫生健康支出293万元，节能环保支出5万元，城乡社区支出1388万元，农林水支出345万元，交通运输支出5万元，商业服务业等支出20万元，灾害防治及应急管理支出82万元。</w:t>
      </w:r>
    </w:p>
    <w:p w14:paraId="7172FDFA">
      <w:pPr>
        <w:spacing w:line="560" w:lineRule="exact"/>
        <w:ind w:left="13" w:leftChars="6"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（二）政府性基金收支决算情况</w:t>
      </w:r>
    </w:p>
    <w:p w14:paraId="2CC680D1">
      <w:pPr>
        <w:spacing w:line="560" w:lineRule="exact"/>
        <w:ind w:left="13" w:leftChars="6"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2023年全区完成政府性基金收入（全口径）171196万元，为调整预算的99.74%。其中：国家电影事业发展专项资金收入4万元，国有土地使用权出让收入83323万元，大中型水库移民后期扶持基金收入909万元，彩票公益金收入1287万元，城市基础设施配套费收入1673万元，专项债券收入84000万元。</w:t>
      </w:r>
    </w:p>
    <w:p w14:paraId="5F67F473">
      <w:pPr>
        <w:spacing w:line="560" w:lineRule="exact"/>
        <w:ind w:left="13" w:leftChars="6"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2023年全区完成政府性基金支出145545万元，为调整预算的96.55%。其中：文化旅游体育与传媒支出3万元，社会保障和就业支出865万元，城乡社区支出65064万元（其中：国有土地使用权出让收入安排的支出63657万元，城市基础设施配套费安排的支出1407万元），其他政府性基金相关支出73500万元，彩票公益金安排的支出548万元，债务付息支出5565万元。</w:t>
      </w:r>
    </w:p>
    <w:p w14:paraId="0312C42C">
      <w:pPr>
        <w:spacing w:line="560" w:lineRule="exact"/>
        <w:ind w:left="13" w:leftChars="6"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收支平衡情况，政府性基金收入25854万元，上级补助收入45797万元，债务转贷收入84000万元，上年结余15545万元，收入总计171196万元。政府性基金支出145545万元，上解上级支出65万元，债务还本支出10500万元，结转下年支出15086万元，支出总计171196万元，当年收支平衡。</w:t>
      </w:r>
    </w:p>
    <w:p w14:paraId="01F77AB5">
      <w:pPr>
        <w:spacing w:line="560" w:lineRule="exact"/>
        <w:ind w:left="13" w:leftChars="6" w:firstLine="643" w:firstLineChars="200"/>
        <w:rPr>
          <w:rFonts w:ascii="仿宋_GB2312" w:hAnsi="宋体" w:eastAsia="仿宋_GB2312" w:cs="Times New Roman"/>
          <w:sz w:val="32"/>
          <w:szCs w:val="32"/>
        </w:rPr>
      </w:pPr>
      <w:r>
        <w:rPr>
          <w:rFonts w:hint="eastAsia" w:ascii="楷体_GB2312" w:hAnsi="Times New Roman" w:eastAsia="楷体_GB2312" w:cs="Times New Roman"/>
          <w:b/>
          <w:sz w:val="32"/>
          <w:szCs w:val="32"/>
        </w:rPr>
        <w:t>（三）社会保险基金收支决算情况</w:t>
      </w:r>
    </w:p>
    <w:p w14:paraId="0DEA9CDE">
      <w:pPr>
        <w:spacing w:line="560" w:lineRule="exact"/>
        <w:ind w:left="13" w:leftChars="6"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2023年全区完成社会保险基金收入51817万元，为预算的100.57%。其中：城乡居民基本养老保险基金收入17059万元，机关事业养老保险基金收入34758万元。</w:t>
      </w:r>
    </w:p>
    <w:p w14:paraId="0B594DA0">
      <w:pPr>
        <w:spacing w:line="560" w:lineRule="exact"/>
        <w:ind w:left="13" w:leftChars="6"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2023年全区完成社会保险基金支出47167万元，为预算的104.62%。其中：城乡居民基本养老保险基金支出10810万元，机关事业养老保险基金支出36357万元</w:t>
      </w:r>
      <w:r>
        <w:rPr>
          <w:rFonts w:hint="eastAsia" w:ascii="仿宋_GB2312" w:hAnsi="Times New Roman" w:eastAsia="仿宋_GB2312" w:cs="Times New Roman"/>
          <w:sz w:val="32"/>
          <w:szCs w:val="32"/>
        </w:rPr>
        <w:t>。</w:t>
      </w:r>
    </w:p>
    <w:p w14:paraId="2E9678EE">
      <w:pPr>
        <w:spacing w:line="560" w:lineRule="exact"/>
        <w:ind w:left="13" w:leftChars="6"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收支平衡情况，社会保险基金收入51817万元，上年结余36471万元，收入总计88288万元；社会保险基金支出47167万元；年终滚存结余41121万元。</w:t>
      </w:r>
    </w:p>
    <w:p w14:paraId="2103079C">
      <w:pPr>
        <w:spacing w:line="560" w:lineRule="exact"/>
        <w:ind w:left="13" w:leftChars="6" w:firstLine="643" w:firstLineChars="200"/>
        <w:rPr>
          <w:rFonts w:ascii="仿宋_GB2312" w:hAnsi="宋体" w:eastAsia="仿宋_GB2312" w:cs="Times New Roman"/>
          <w:sz w:val="32"/>
          <w:szCs w:val="32"/>
        </w:rPr>
      </w:pPr>
      <w:r>
        <w:rPr>
          <w:rFonts w:hint="eastAsia" w:ascii="楷体_GB2312" w:hAnsi="Times New Roman" w:eastAsia="楷体_GB2312" w:cs="Times New Roman"/>
          <w:b/>
          <w:sz w:val="32"/>
          <w:szCs w:val="32"/>
        </w:rPr>
        <w:t>（四）国有资本经营收支决算情况</w:t>
      </w:r>
    </w:p>
    <w:p w14:paraId="0EADB93F">
      <w:pPr>
        <w:spacing w:line="560" w:lineRule="exact"/>
        <w:ind w:left="13" w:leftChars="6" w:firstLine="624" w:firstLineChars="195"/>
        <w:rPr>
          <w:rFonts w:ascii="仿宋_GB2312" w:hAnsi="Times New Roman" w:eastAsia="仿宋_GB2312" w:cs="Times New Roman"/>
          <w:sz w:val="32"/>
          <w:szCs w:val="32"/>
        </w:rPr>
      </w:pPr>
      <w:r>
        <w:rPr>
          <w:rFonts w:hint="eastAsia" w:ascii="仿宋_GB2312" w:hAnsi="宋体" w:eastAsia="仿宋_GB2312" w:cs="Times New Roman"/>
          <w:sz w:val="32"/>
          <w:szCs w:val="32"/>
        </w:rPr>
        <w:t>2023</w:t>
      </w:r>
      <w:r>
        <w:rPr>
          <w:rFonts w:hint="eastAsia" w:ascii="仿宋_GB2312" w:hAnsi="Times New Roman" w:eastAsia="仿宋_GB2312" w:cs="Times New Roman"/>
          <w:sz w:val="32"/>
          <w:szCs w:val="32"/>
        </w:rPr>
        <w:t>年国有资本经营上级补助收入5万元，上年结余6万元，国有资本经营支出2万元，年终结余9万元。</w:t>
      </w:r>
    </w:p>
    <w:p w14:paraId="303711EA">
      <w:pPr>
        <w:spacing w:line="56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（五）全区政府债务情况</w:t>
      </w:r>
    </w:p>
    <w:p w14:paraId="486B3F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省核定我区政府债务限额48.70亿元，其中2023年新增政府债务限额8.92亿元（一般债务1.57亿元，专项债务7.35亿元）。至2023年年末，全区地方政府债务余额48.70亿元，控制在债务限额以内。全年债务付息支出合计1.21亿元，其中一般债券付息0.65亿元，专项债券付息0.56亿元。</w:t>
      </w:r>
    </w:p>
    <w:p w14:paraId="18AE3DD9">
      <w:pPr>
        <w:numPr>
          <w:ilvl w:val="0"/>
          <w:numId w:val="1"/>
        </w:numPr>
        <w:spacing w:line="56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“三保”执行情况</w:t>
      </w:r>
    </w:p>
    <w:p w14:paraId="6FA6F4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2023年“三保”执行数为134489万元，其中保民生76464万元，保工资55029万元，保运转2996万元，“三保”预算执行情况良好。</w:t>
      </w:r>
    </w:p>
    <w:p w14:paraId="01ADCF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任、各位副主任、各位委员，面对2023年复杂的形势，财政部门多措并举，较好地保障各项支出落实到位以及全年财政盘子收支平衡，充分优先保障“三保”资金到位，坚持人民至上，坚持教育、农业农村等基本民生重点领域投入只增不减， 落实国家税费优惠政策、“真金白银”落实各项惠企扶持政策、直达兑现为产业增动能，财政各项改革工作走深走实。但我们也清醒地认识到，</w:t>
      </w:r>
      <w:r>
        <w:rPr>
          <w:rFonts w:hint="eastAsia" w:ascii="仿宋_GB2312" w:hAnsi="仿宋_GB2312" w:eastAsia="仿宋_GB2312" w:cs="仿宋_GB2312"/>
          <w:sz w:val="32"/>
          <w:szCs w:val="32"/>
          <w:lang w:eastAsia="zh-CN"/>
        </w:rPr>
        <w:t>现阶段</w:t>
      </w:r>
      <w:r>
        <w:rPr>
          <w:rFonts w:hint="eastAsia" w:ascii="仿宋_GB2312" w:hAnsi="仿宋_GB2312" w:eastAsia="仿宋_GB2312" w:cs="仿宋_GB2312"/>
          <w:sz w:val="32"/>
          <w:szCs w:val="32"/>
        </w:rPr>
        <w:t>仍然</w:t>
      </w:r>
      <w:r>
        <w:rPr>
          <w:rFonts w:hint="eastAsia" w:ascii="仿宋_GB2312" w:hAnsi="仿宋_GB2312" w:eastAsia="仿宋_GB2312" w:cs="仿宋_GB2312"/>
          <w:sz w:val="32"/>
          <w:szCs w:val="32"/>
          <w:lang w:eastAsia="zh-CN"/>
        </w:rPr>
        <w:t>面临财力增长较慢、财政收支趋紧等矛盾和问题</w:t>
      </w:r>
      <w:r>
        <w:rPr>
          <w:rFonts w:hint="eastAsia" w:ascii="仿宋_GB2312" w:hAnsi="仿宋_GB2312" w:eastAsia="仿宋_GB2312" w:cs="仿宋_GB2312"/>
          <w:sz w:val="32"/>
          <w:szCs w:val="32"/>
        </w:rPr>
        <w:t>，但我们将直面问题，认真分析，采取有力措施，在今后的工作中聚力攻坚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突破解决。</w:t>
      </w:r>
    </w:p>
    <w:p w14:paraId="361BF927">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二、2024年上半年预算执行情况 </w:t>
      </w:r>
    </w:p>
    <w:p w14:paraId="09E839FA">
      <w:pPr>
        <w:spacing w:line="560" w:lineRule="exact"/>
        <w:ind w:left="13" w:leftChars="6" w:firstLine="643" w:firstLineChars="200"/>
        <w:rPr>
          <w:rFonts w:ascii="楷体_GB2312" w:hAnsi="楷体_GB2312" w:eastAsia="楷体_GB2312" w:cs="楷体_GB2312"/>
          <w:bCs/>
          <w:sz w:val="32"/>
          <w:szCs w:val="32"/>
        </w:rPr>
      </w:pPr>
      <w:r>
        <w:rPr>
          <w:rFonts w:hint="eastAsia" w:ascii="楷体_GB2312" w:hAnsi="楷体_GB2312" w:eastAsia="楷体_GB2312" w:cs="楷体_GB2312"/>
          <w:b/>
          <w:sz w:val="32"/>
          <w:szCs w:val="32"/>
        </w:rPr>
        <w:t>（一）地方一般公共预算收入情况</w:t>
      </w:r>
    </w:p>
    <w:p w14:paraId="1C91FE50">
      <w:pPr>
        <w:spacing w:line="560" w:lineRule="exact"/>
        <w:ind w:left="13" w:leftChars="6"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6月，全区累计完成地方一般公共预算收入（含上划市级）48732万元，同比增加3415万元，增长7.54%。其中：税收收入完成36461万元，同比增加2558万元，增长7.55%。非税收入完成12271万元，同比增加857万元，增长7.51%。地方一般公共预算收入中税收收入占比74.82%，同比</w:t>
      </w:r>
      <w:r>
        <w:rPr>
          <w:rFonts w:hint="eastAsia" w:ascii="仿宋_GB2312" w:hAnsi="仿宋_GB2312" w:eastAsia="仿宋_GB2312" w:cs="仿宋_GB2312"/>
          <w:bCs/>
          <w:sz w:val="32"/>
          <w:szCs w:val="32"/>
          <w:lang w:eastAsia="zh-CN"/>
        </w:rPr>
        <w:t>提升</w:t>
      </w:r>
      <w:r>
        <w:rPr>
          <w:rFonts w:hint="eastAsia" w:ascii="仿宋_GB2312" w:hAnsi="仿宋_GB2312" w:eastAsia="仿宋_GB2312" w:cs="仿宋_GB2312"/>
          <w:bCs/>
          <w:sz w:val="32"/>
          <w:szCs w:val="32"/>
        </w:rPr>
        <w:t>0.01个百分点。</w:t>
      </w:r>
    </w:p>
    <w:p w14:paraId="6EE98154">
      <w:pPr>
        <w:spacing w:line="560" w:lineRule="exact"/>
        <w:ind w:left="13" w:leftChars="6" w:firstLine="640" w:firstLineChars="200"/>
        <w:rPr>
          <w:rFonts w:ascii="Times New Roman" w:hAnsi="Times New Roman" w:eastAsia="宋体" w:cs="Times New Roman"/>
        </w:rPr>
      </w:pPr>
      <w:r>
        <w:rPr>
          <w:rFonts w:hint="eastAsia" w:ascii="仿宋_GB2312" w:hAnsi="仿宋_GB2312" w:eastAsia="仿宋_GB2312" w:cs="仿宋_GB2312"/>
          <w:bCs/>
          <w:sz w:val="32"/>
          <w:szCs w:val="32"/>
        </w:rPr>
        <w:t>纯区级地方一般公共预算收入27632万元，同比增加3201万元，增长13.10%。其中：税收收入完成15361万元，同比增加2344万元，增长18.01%；非税收入完成12271万元，同比增加857万元，增长7.51%。地方一般公共预算收入中税收收入占比55.59%，同比</w:t>
      </w:r>
      <w:r>
        <w:rPr>
          <w:rFonts w:hint="eastAsia" w:ascii="仿宋_GB2312" w:hAnsi="仿宋_GB2312" w:eastAsia="仿宋_GB2312" w:cs="仿宋_GB2312"/>
          <w:bCs/>
          <w:sz w:val="32"/>
          <w:szCs w:val="32"/>
          <w:lang w:eastAsia="zh-CN"/>
        </w:rPr>
        <w:t>提升</w:t>
      </w:r>
      <w:r>
        <w:rPr>
          <w:rFonts w:hint="eastAsia" w:ascii="仿宋_GB2312" w:hAnsi="仿宋_GB2312" w:eastAsia="仿宋_GB2312" w:cs="仿宋_GB2312"/>
          <w:bCs/>
          <w:sz w:val="32"/>
          <w:szCs w:val="32"/>
        </w:rPr>
        <w:t>2.31个百分点。</w:t>
      </w:r>
    </w:p>
    <w:p w14:paraId="18A8CB59">
      <w:pPr>
        <w:spacing w:line="560" w:lineRule="exact"/>
        <w:ind w:left="13" w:leftChars="6"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（二）一般公共预算支出情况</w:t>
      </w:r>
    </w:p>
    <w:p w14:paraId="6BEBAD7C">
      <w:pPr>
        <w:spacing w:line="560" w:lineRule="exact"/>
        <w:ind w:left="13" w:leftChars="6"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6月，全区累计完成一般公共预算支出159849万元，同比减少8175万元，下降4.87%。其中主要支出项目有：一般公共服务支出11549万元，教育支出23627万元，科学技术支出2518万元，社会保障和就业支出33805万元，卫生健康支出10634万元，节能环保支出2302万元，城乡社区支出27527万元，农林水支出27822万元，交通运输支出1062万元，资源勘探信息等支出389万元，住房保障支出4818万元，灾害防治及应急管理支出1282万元，债务付息支出6319万元。</w:t>
      </w:r>
    </w:p>
    <w:p w14:paraId="575DD382">
      <w:pPr>
        <w:spacing w:line="560" w:lineRule="exact"/>
        <w:ind w:left="13" w:leftChars="6"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（三）上半年财政工作特点</w:t>
      </w:r>
    </w:p>
    <w:p w14:paraId="714E24C3">
      <w:pPr>
        <w:spacing w:line="560" w:lineRule="exact"/>
        <w:ind w:left="13" w:leftChars="6"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今年以来，区财政认真贯彻落实党的二十大精神和习近平总书记对财政工作的重要指示批示，围绕挖潜增收、优化支出结构、提升财政管理水平、严防财政运行风险等重点领域扎实开展工作，确保全区经济健康发展。</w:t>
      </w:r>
    </w:p>
    <w:p w14:paraId="4A93A970">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1.在收入上拓</w:t>
      </w:r>
      <w:r>
        <w:rPr>
          <w:rFonts w:hint="eastAsia" w:ascii="仿宋_GB2312" w:hAnsi="仿宋_GB2312" w:eastAsia="仿宋_GB2312" w:cs="仿宋_GB2312"/>
          <w:b/>
          <w:bCs/>
          <w:sz w:val="32"/>
          <w:szCs w:val="32"/>
          <w:lang w:eastAsia="zh-CN"/>
        </w:rPr>
        <w:t>财源</w:t>
      </w:r>
      <w:r>
        <w:rPr>
          <w:rFonts w:hint="eastAsia" w:ascii="仿宋_GB2312" w:hAnsi="仿宋_GB2312" w:eastAsia="仿宋_GB2312" w:cs="仿宋_GB2312"/>
          <w:b/>
          <w:bCs/>
          <w:sz w:val="32"/>
          <w:szCs w:val="32"/>
        </w:rPr>
        <w:t>，增强统筹保障大局能力</w:t>
      </w:r>
    </w:p>
    <w:p w14:paraId="35BBA381">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资阳区继续纵深推进“三高四新”财源建设工程，积极涵养培植财源，推动产业发展，壮大骨干税源，加强园区建设，积极盘活“三资”，推进税费精诚共治，财税收入保持较快增长。</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深入推进我区主导优势产业发展，着力补链、延链、强链，积极涵养优质财源，年初预算安排4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44万元用于产业扶持，已拨付1706万元</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支持骨干税源企业发展</w:t>
      </w:r>
      <w:r>
        <w:rPr>
          <w:rFonts w:hint="eastAsia" w:ascii="仿宋_GB2312" w:hAnsi="仿宋_GB2312" w:eastAsia="仿宋_GB2312" w:cs="仿宋_GB2312"/>
          <w:sz w:val="32"/>
          <w:szCs w:val="32"/>
          <w:lang w:eastAsia="zh-CN"/>
        </w:rPr>
        <w:t>，截至目前全区纳税200万元以上企业37家，纳税500万元以上企业22家。</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持续盘活国有“三资”，加大清查处置力度，努力增加可用财力。区财政对中小型水库等四类资产进行摸排、评估，四类资产第三方评估价值共计18.12亿元，其中水库特许经营权证已完成办理，盘活价值9.57亿元。进一步加快土地、矿产等资源出让步伐</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砂石行业税收挖潜，培育壮大新财源。</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实现盘活入库金额共3.17亿元，其中，行政事业领域入库2.31亿元，砂石资源收益入库0.86亿元。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强化税费征管质效，加强政府投资项目税收管控，防止跑冒滴漏，确保“颗粒归仓”。</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完成政府投资项目累计税收1271万元</w:t>
      </w:r>
      <w:r>
        <w:rPr>
          <w:rFonts w:hint="eastAsia" w:ascii="仿宋_GB2312" w:hAnsi="仿宋_GB2312" w:eastAsia="仿宋_GB2312" w:cs="仿宋_GB2312"/>
          <w:sz w:val="32"/>
          <w:szCs w:val="32"/>
          <w:lang w:eastAsia="zh-CN"/>
        </w:rPr>
        <w:t>。</w:t>
      </w:r>
    </w:p>
    <w:p w14:paraId="719C2851">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2.在支出上</w:t>
      </w:r>
      <w:r>
        <w:rPr>
          <w:rFonts w:hint="eastAsia" w:ascii="仿宋_GB2312" w:hAnsi="仿宋_GB2312" w:eastAsia="仿宋_GB2312" w:cs="仿宋_GB2312"/>
          <w:b/>
          <w:bCs/>
          <w:sz w:val="32"/>
          <w:szCs w:val="32"/>
          <w:lang w:eastAsia="zh-CN"/>
        </w:rPr>
        <w:t>优结构</w:t>
      </w:r>
      <w:r>
        <w:rPr>
          <w:rFonts w:hint="eastAsia" w:ascii="仿宋_GB2312" w:hAnsi="仿宋_GB2312" w:eastAsia="仿宋_GB2312" w:cs="仿宋_GB2312"/>
          <w:b/>
          <w:bCs/>
          <w:sz w:val="32"/>
          <w:szCs w:val="32"/>
        </w:rPr>
        <w:t>，提升财政资源配置效率</w:t>
      </w:r>
    </w:p>
    <w:p w14:paraId="3A56E9F8">
      <w:pPr>
        <w:spacing w:line="560" w:lineRule="exact"/>
        <w:ind w:left="13" w:leftChars="6"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牢固树立“过紧日子”思想，保障重点支出，其中民生领域支出约12.8亿元，占财政支出近八成。</w:t>
      </w:r>
      <w:r>
        <w:rPr>
          <w:rFonts w:hint="eastAsia" w:ascii="仿宋_GB2312" w:hAnsi="仿宋_GB2312" w:eastAsia="仿宋_GB2312" w:cs="仿宋_GB2312"/>
          <w:b/>
          <w:bCs/>
          <w:sz w:val="32"/>
          <w:szCs w:val="32"/>
        </w:rPr>
        <w:t>一是赋能乡村振兴。</w:t>
      </w:r>
      <w:r>
        <w:rPr>
          <w:rFonts w:hint="eastAsia" w:ascii="仿宋_GB2312" w:hAnsi="仿宋_GB2312" w:eastAsia="仿宋_GB2312" w:cs="仿宋_GB2312"/>
          <w:sz w:val="32"/>
          <w:szCs w:val="32"/>
        </w:rPr>
        <w:t>落实耕地保护政策。坚决把耕地保有量和永久基本农田保护目标任务足额带位置落实到位。2024年上半年投入3170万元用于扎实推进区内高标准农田建设项目，稳步提高农田综合质量，高标准农田原则上基本用于粮食生产。坚决抓好粮食生产。投入耕地地力补贴资金4434万，抓好政策落实、补贴发放和资金监管。确保补贴及时精准规范发放到位，切实保障种粮农民</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益。积极筹措资金4410万元投入乡村振兴发展，持续推进脱贫成果巩固提升扎实做好有效衔接工作。上半年累计</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农林水</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27822万元。</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是增进民生福祉。</w:t>
      </w:r>
      <w:r>
        <w:rPr>
          <w:rFonts w:hint="eastAsia" w:ascii="仿宋_GB2312" w:hAnsi="仿宋_GB2312" w:eastAsia="仿宋_GB2312" w:cs="仿宋_GB2312"/>
          <w:sz w:val="32"/>
          <w:szCs w:val="32"/>
        </w:rPr>
        <w:t>持续加大教育投入，全口径投入23627万元支持教育事业发展</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文昌中学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六中高中部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实验小学</w:t>
      </w:r>
      <w:r>
        <w:rPr>
          <w:rFonts w:hint="eastAsia" w:ascii="仿宋_GB2312" w:hAnsi="仿宋_GB2312" w:eastAsia="仿宋_GB2312" w:cs="仿宋_GB2312"/>
          <w:sz w:val="32"/>
          <w:szCs w:val="32"/>
          <w:lang w:eastAsia="zh-CN"/>
        </w:rPr>
        <w:t>等项目建设，不断优化教育基础设施。</w:t>
      </w:r>
      <w:r>
        <w:rPr>
          <w:rFonts w:hint="eastAsia" w:ascii="仿宋_GB2312" w:hAnsi="仿宋_GB2312" w:eastAsia="仿宋_GB2312" w:cs="仿宋_GB2312"/>
          <w:sz w:val="32"/>
          <w:szCs w:val="32"/>
        </w:rPr>
        <w:t>投入20004万元落实城乡居民基本养老保险和机关事业单位基本养老保险补助；投入6359万元用于城乡救助、城乡特困、临时救助等困难群众救助，受益9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88</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人次；投入就业补助资金100万元支持稳定和扩大就业，就业培训</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益705人次，进一步提升我区就业率。</w:t>
      </w:r>
      <w:r>
        <w:rPr>
          <w:rFonts w:hint="eastAsia" w:ascii="仿宋_GB2312" w:hAnsi="仿宋_GB2312" w:eastAsia="仿宋_GB2312" w:cs="仿宋_GB2312"/>
          <w:sz w:val="32"/>
          <w:szCs w:val="32"/>
          <w:lang w:eastAsia="zh-CN"/>
        </w:rPr>
        <w:t>上半年累计完成社会保障和就业支出</w:t>
      </w:r>
      <w:r>
        <w:rPr>
          <w:rFonts w:hint="eastAsia" w:ascii="仿宋_GB2312" w:hAnsi="仿宋_GB2312" w:eastAsia="仿宋_GB2312" w:cs="仿宋_GB2312"/>
          <w:sz w:val="32"/>
          <w:szCs w:val="32"/>
          <w:lang w:val="en-US" w:eastAsia="zh-CN"/>
        </w:rPr>
        <w:t>33805万元。全面落实新生儿疾病筛查与诊断服务工作，受益846人</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；做优做实“两癌”综合防控工作，受益2915人</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；大力发展普惠托育服务工作，指导全区托幼机构新建托位100个，</w:t>
      </w:r>
      <w:r>
        <w:rPr>
          <w:rFonts w:hint="eastAsia" w:ascii="仿宋_GB2312" w:hAnsi="仿宋_GB2312" w:eastAsia="仿宋_GB2312" w:cs="仿宋_GB2312"/>
          <w:sz w:val="32"/>
          <w:szCs w:val="32"/>
          <w:lang w:eastAsia="zh-CN"/>
        </w:rPr>
        <w:t>上半年累计</w:t>
      </w:r>
      <w:r>
        <w:rPr>
          <w:rFonts w:hint="eastAsia" w:ascii="仿宋_GB2312" w:hAnsi="仿宋_GB2312" w:eastAsia="仿宋_GB2312" w:cs="仿宋_GB2312"/>
          <w:bCs/>
          <w:sz w:val="32"/>
          <w:szCs w:val="32"/>
        </w:rPr>
        <w:t>卫生健康支出10634万元</w:t>
      </w:r>
      <w:r>
        <w:rPr>
          <w:rFonts w:hint="eastAsia" w:ascii="仿宋_GB2312" w:hAnsi="仿宋_GB2312" w:eastAsia="仿宋_GB2312" w:cs="仿宋_GB2312"/>
          <w:bCs/>
          <w:sz w:val="32"/>
          <w:szCs w:val="32"/>
          <w:lang w:eastAsia="zh-CN"/>
        </w:rPr>
        <w:t>。加大对文化旅游体育事业的投入力度，着力构建文旅事业发展财政保障长效机制，满足人民群众日益增长的精神文明需求。上半年累计完成文化旅游体育与传媒支出</w:t>
      </w:r>
      <w:r>
        <w:rPr>
          <w:rFonts w:hint="eastAsia" w:ascii="仿宋_GB2312" w:hAnsi="仿宋_GB2312" w:eastAsia="仿宋_GB2312" w:cs="仿宋_GB2312"/>
          <w:bCs/>
          <w:sz w:val="32"/>
          <w:szCs w:val="32"/>
          <w:lang w:val="en-US" w:eastAsia="zh-CN"/>
        </w:rPr>
        <w:t>1370万元。</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是保障人民安全。</w:t>
      </w:r>
      <w:r>
        <w:rPr>
          <w:rFonts w:hint="eastAsia" w:ascii="仿宋_GB2312" w:hAnsi="仿宋_GB2312" w:eastAsia="仿宋_GB2312" w:cs="仿宋_GB2312"/>
          <w:sz w:val="32"/>
          <w:szCs w:val="32"/>
        </w:rPr>
        <w:t>投入国债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11650万元用于其他重点防洪工程以及迎丰灌区续建配套与节水改造项目；投入1752万元</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防汛</w:t>
      </w:r>
      <w:r>
        <w:rPr>
          <w:rFonts w:hint="eastAsia" w:ascii="仿宋_GB2312" w:hAnsi="仿宋_GB2312" w:eastAsia="仿宋_GB2312" w:cs="仿宋_GB2312"/>
          <w:sz w:val="32"/>
          <w:szCs w:val="32"/>
          <w:lang w:eastAsia="zh-CN"/>
        </w:rPr>
        <w:t>抗旱</w:t>
      </w:r>
      <w:r>
        <w:rPr>
          <w:rFonts w:hint="eastAsia" w:ascii="仿宋_GB2312" w:hAnsi="仿宋_GB2312" w:eastAsia="仿宋_GB2312" w:cs="仿宋_GB2312"/>
          <w:sz w:val="32"/>
          <w:szCs w:val="32"/>
        </w:rPr>
        <w:t>紧密相关的水利工程项目建设，大幅提升防洪抗旱能力。</w:t>
      </w:r>
      <w:r>
        <w:rPr>
          <w:rFonts w:hint="eastAsia" w:ascii="仿宋_GB2312" w:hAnsi="仿宋_GB2312" w:eastAsia="仿宋_GB2312" w:cs="仿宋_GB2312"/>
          <w:sz w:val="32"/>
          <w:szCs w:val="32"/>
          <w:lang w:eastAsia="zh-CN"/>
        </w:rPr>
        <w:t>受夏季高强度降水影响，全区水位超警戒，区财政</w:t>
      </w:r>
      <w:r>
        <w:rPr>
          <w:rFonts w:hint="eastAsia" w:ascii="仿宋_GB2312" w:hAnsi="仿宋_GB2312" w:eastAsia="仿宋_GB2312" w:cs="仿宋_GB2312"/>
          <w:sz w:val="32"/>
          <w:szCs w:val="32"/>
        </w:rPr>
        <w:t>统筹可用财力，投入791万元全力做好防汛救灾和灾后重建。投入444.1万元支持粮食收购、储备、轮换，全力保障粮食安全。</w:t>
      </w:r>
      <w:r>
        <w:rPr>
          <w:rFonts w:hint="eastAsia" w:ascii="仿宋_GB2312" w:hAnsi="仿宋_GB2312" w:eastAsia="仿宋_GB2312" w:cs="仿宋_GB2312"/>
          <w:b/>
          <w:bCs/>
          <w:sz w:val="32"/>
          <w:szCs w:val="32"/>
          <w:lang w:eastAsia="zh-CN"/>
        </w:rPr>
        <w:t>四是发展新质生产力。</w:t>
      </w:r>
      <w:r>
        <w:rPr>
          <w:rFonts w:hint="eastAsia" w:ascii="仿宋_GB2312" w:hAnsi="仿宋_GB2312" w:eastAsia="仿宋_GB2312" w:cs="仿宋_GB2312"/>
          <w:b w:val="0"/>
          <w:bCs w:val="0"/>
          <w:sz w:val="32"/>
          <w:szCs w:val="32"/>
          <w:lang w:eastAsia="zh-CN"/>
        </w:rPr>
        <w:t>立足打造中国</w:t>
      </w:r>
      <w:r>
        <w:rPr>
          <w:rFonts w:hint="eastAsia" w:ascii="仿宋_GB2312" w:hAnsi="仿宋_GB2312" w:eastAsia="仿宋_GB2312" w:cs="仿宋_GB2312"/>
          <w:b w:val="0"/>
          <w:bCs w:val="0"/>
          <w:sz w:val="32"/>
          <w:szCs w:val="32"/>
          <w:lang w:val="en-US" w:eastAsia="zh-CN"/>
        </w:rPr>
        <w:t>PCB</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第三极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奋斗目标，</w:t>
      </w:r>
      <w:r>
        <w:rPr>
          <w:rFonts w:hint="eastAsia" w:ascii="仿宋_GB2312" w:hAnsi="仿宋_GB2312" w:eastAsia="仿宋_GB2312" w:cs="仿宋_GB2312"/>
          <w:b w:val="0"/>
          <w:bCs w:val="0"/>
          <w:sz w:val="32"/>
          <w:szCs w:val="32"/>
          <w:lang w:eastAsia="zh-CN"/>
        </w:rPr>
        <w:t>充分发挥创新主导作用，以科技创新推动</w:t>
      </w:r>
      <w:r>
        <w:rPr>
          <w:rFonts w:hint="eastAsia" w:ascii="仿宋_GB2312" w:hAnsi="仿宋_GB2312" w:eastAsia="仿宋_GB2312" w:cs="仿宋_GB2312"/>
          <w:b w:val="0"/>
          <w:bCs w:val="0"/>
          <w:sz w:val="32"/>
          <w:szCs w:val="32"/>
          <w:lang w:val="en-US" w:eastAsia="zh-CN"/>
        </w:rPr>
        <w:t>PCB</w:t>
      </w:r>
      <w:r>
        <w:rPr>
          <w:rFonts w:hint="eastAsia" w:ascii="仿宋_GB2312" w:hAnsi="仿宋_GB2312" w:eastAsia="仿宋_GB2312" w:cs="仿宋_GB2312"/>
          <w:b w:val="0"/>
          <w:bCs w:val="0"/>
          <w:sz w:val="32"/>
          <w:szCs w:val="32"/>
          <w:lang w:eastAsia="zh-CN"/>
        </w:rPr>
        <w:t>产业创新，支持</w:t>
      </w:r>
      <w:r>
        <w:rPr>
          <w:rFonts w:hint="eastAsia" w:ascii="仿宋_GB2312" w:hAnsi="仿宋_GB2312" w:eastAsia="仿宋_GB2312" w:cs="仿宋_GB2312"/>
          <w:b w:val="0"/>
          <w:bCs w:val="0"/>
          <w:sz w:val="32"/>
          <w:szCs w:val="32"/>
          <w:lang w:val="en-US" w:eastAsia="zh-CN"/>
        </w:rPr>
        <w:t>PCB企业与科研院所建立产、学、研合作关系，推动公司新产品研发、高端人才培育，进一步推动PCB产业经济实现质的有效提升和量的合理增长</w:t>
      </w:r>
      <w:r>
        <w:rPr>
          <w:rFonts w:hint="eastAsia" w:ascii="仿宋_GB2312" w:hAnsi="仿宋_GB2312" w:eastAsia="仿宋_GB2312" w:cs="仿宋_GB2312"/>
          <w:b w:val="0"/>
          <w:bCs w:val="0"/>
          <w:sz w:val="32"/>
          <w:szCs w:val="32"/>
          <w:lang w:eastAsia="zh-CN"/>
        </w:rPr>
        <w:t>。上半年累计完成科学技术和人才支出</w:t>
      </w:r>
      <w:r>
        <w:rPr>
          <w:rFonts w:hint="eastAsia" w:ascii="仿宋_GB2312" w:hAnsi="仿宋_GB2312" w:eastAsia="仿宋_GB2312" w:cs="仿宋_GB2312"/>
          <w:b w:val="0"/>
          <w:bCs w:val="0"/>
          <w:sz w:val="32"/>
          <w:szCs w:val="32"/>
          <w:lang w:val="en-US" w:eastAsia="zh-CN"/>
        </w:rPr>
        <w:t>2693</w:t>
      </w:r>
      <w:r>
        <w:rPr>
          <w:rFonts w:hint="eastAsia" w:ascii="仿宋_GB2312" w:hAnsi="仿宋_GB2312" w:eastAsia="仿宋_GB2312" w:cs="仿宋_GB2312"/>
          <w:b w:val="0"/>
          <w:bCs w:val="0"/>
          <w:sz w:val="32"/>
          <w:szCs w:val="32"/>
          <w:lang w:eastAsia="zh-CN"/>
        </w:rPr>
        <w:t>万元。</w:t>
      </w:r>
    </w:p>
    <w:p w14:paraId="23CAF84B">
      <w:pPr>
        <w:spacing w:line="560" w:lineRule="exact"/>
        <w:ind w:left="13" w:leftChars="6" w:firstLine="643" w:firstLineChars="200"/>
        <w:rPr>
          <w:rFonts w:ascii="楷体_GB2312" w:hAnsi="楷体_GB2312" w:eastAsia="仿宋_GB2312" w:cs="楷体_GB2312"/>
          <w:b/>
          <w:sz w:val="32"/>
          <w:szCs w:val="32"/>
        </w:rPr>
      </w:pPr>
      <w:r>
        <w:rPr>
          <w:rFonts w:hint="eastAsia" w:ascii="仿宋_GB2312" w:hAnsi="仿宋_GB2312" w:eastAsia="仿宋_GB2312" w:cs="仿宋_GB2312"/>
          <w:b/>
          <w:bCs/>
          <w:sz w:val="32"/>
          <w:szCs w:val="32"/>
        </w:rPr>
        <w:t>3.在管理上求突破，加力提效展现财政职能</w:t>
      </w:r>
    </w:p>
    <w:p w14:paraId="5958BFF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一是聚焦</w:t>
      </w:r>
      <w:r>
        <w:rPr>
          <w:rFonts w:hint="eastAsia" w:ascii="仿宋_GB2312" w:hAnsi="仿宋_GB2312" w:eastAsia="仿宋_GB2312" w:cs="仿宋_GB2312"/>
          <w:b/>
          <w:bCs/>
          <w:sz w:val="32"/>
          <w:szCs w:val="32"/>
          <w:lang w:eastAsia="zh-CN"/>
        </w:rPr>
        <w:t>优化服务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通过“一口受理、内部流转、同步审核、闭环管理”方式实现</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审核提效率、办事更便捷。2024年度政府采购限额标准以上的招投标项目32个，预算金额10264万元，实际采购金额9840万元。限额标准以下的采购项目主要在电子卖场进行，</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交易订单数8630余笔，交易额20464万元。</w:t>
      </w:r>
      <w:r>
        <w:rPr>
          <w:rFonts w:hint="eastAsia" w:ascii="仿宋_GB2312" w:hAnsi="仿宋_GB2312" w:eastAsia="仿宋_GB2312" w:cs="仿宋_GB2312"/>
          <w:b/>
          <w:bCs/>
          <w:sz w:val="32"/>
          <w:szCs w:val="32"/>
        </w:rPr>
        <w:t>二是聚焦关键改革。</w:t>
      </w:r>
      <w:r>
        <w:rPr>
          <w:rFonts w:hint="eastAsia" w:ascii="仿宋_GB2312" w:hAnsi="仿宋_GB2312" w:eastAsia="仿宋_GB2312" w:cs="仿宋_GB2312"/>
          <w:sz w:val="32"/>
          <w:szCs w:val="32"/>
        </w:rPr>
        <w:t>探索推进预算绩效管理改革，建立预算绩效、财政评审联动机制，全面评审“三保”范畴外支出项目和新增政策。围绕重点政策及项目的事前、事中、事后全过程绩效管理，全面提升财政政策效能及资金使用效益，开展2023年度10个区级专项重点绩效评价及2024年度3个重点专项事前绩效评估工作；共审查工程预（概）算项目51个，评审金额91278万元，核减金额10090万元，审减率11.05%。</w:t>
      </w:r>
      <w:r>
        <w:rPr>
          <w:rFonts w:hint="eastAsia" w:ascii="仿宋_GB2312" w:hAnsi="仿宋_GB2312" w:eastAsia="仿宋_GB2312" w:cs="仿宋_GB2312"/>
          <w:b/>
          <w:bCs/>
          <w:sz w:val="32"/>
          <w:szCs w:val="32"/>
        </w:rPr>
        <w:t>三是聚焦重点领域。</w:t>
      </w:r>
      <w:r>
        <w:rPr>
          <w:rFonts w:hint="eastAsia" w:ascii="仿宋_GB2312" w:hAnsi="仿宋_GB2312" w:eastAsia="仿宋_GB2312" w:cs="仿宋_GB2312"/>
          <w:sz w:val="32"/>
          <w:szCs w:val="32"/>
        </w:rPr>
        <w:t>多措并举积极推进医疗电子票据改革，全面完成医疗电子票据上线；以整治无证经营和虚假承诺为抓手，肃清我区代账行业乱象；按照“预算制度+信息技术”的管理机制，把“放、管、服”落实到中心工作，强化预算单位责任意识、强调资金支付标准和纪律、步骤等要求，进一步优化了我区国库集中支付制度，加强对预算支出的管理，充分使用好有限的财政资源。</w:t>
      </w:r>
      <w:r>
        <w:rPr>
          <w:rFonts w:hint="eastAsia" w:ascii="仿宋_GB2312" w:hAnsi="仿宋_GB2312" w:eastAsia="仿宋_GB2312" w:cs="仿宋_GB2312"/>
          <w:b/>
          <w:bCs/>
          <w:sz w:val="32"/>
          <w:szCs w:val="32"/>
        </w:rPr>
        <w:t>四是聚焦财经纪律。</w:t>
      </w:r>
      <w:r>
        <w:rPr>
          <w:rFonts w:hint="eastAsia" w:ascii="仿宋_GB2312" w:hAnsi="仿宋_GB2312" w:eastAsia="仿宋_GB2312" w:cs="仿宋_GB2312"/>
          <w:sz w:val="32"/>
          <w:szCs w:val="32"/>
        </w:rPr>
        <w:t>组织开展惠民惠农资金突出问题整治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高标准农田建设资金使用管理问题、保障性安居工程资金使用管理问题等领域的自查自纠，专项资金领域11项重点资金的自查自纠。进一步严肃财政纪律，确保财政资金安全。</w:t>
      </w:r>
    </w:p>
    <w:p w14:paraId="28D5A27D">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4.在</w:t>
      </w:r>
      <w:r>
        <w:rPr>
          <w:rFonts w:hint="eastAsia" w:ascii="仿宋_GB2312" w:hAnsi="仿宋_GB2312" w:eastAsia="仿宋_GB2312" w:cs="仿宋_GB2312"/>
          <w:b/>
          <w:bCs/>
          <w:sz w:val="32"/>
          <w:szCs w:val="32"/>
          <w:lang w:eastAsia="zh-CN"/>
        </w:rPr>
        <w:t>机制上</w:t>
      </w:r>
      <w:r>
        <w:rPr>
          <w:rFonts w:hint="eastAsia" w:ascii="仿宋_GB2312" w:hAnsi="仿宋_GB2312" w:eastAsia="仿宋_GB2312" w:cs="仿宋_GB2312"/>
          <w:b/>
          <w:bCs/>
          <w:sz w:val="32"/>
          <w:szCs w:val="32"/>
        </w:rPr>
        <w:t>防风险，推动财政工作行稳致远</w:t>
      </w:r>
    </w:p>
    <w:p w14:paraId="79965F7E">
      <w:pPr>
        <w:spacing w:line="560" w:lineRule="exact"/>
        <w:ind w:left="13" w:leftChars="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着力防控债务风险，建立债务台账管理，实行动态监控；努力完善政府债务偿还机制，强化举债单位的责任意识、偿还意识，防止项目单位盲目举债、过度举债。加强财政收支、库款余额动态监控力度，科学合理调度库款资金，兜牢兜实“三保”等重点支出，确保库款保障水平始终处于合理区间。加强资金监管，着力提高资金使用效益和透明度，进一步明确监管范围、规范拨付程序、完善绩效评价体系、健全常态化检查机制、严格实施追责问责，完善全过程财政资金监管机制。</w:t>
      </w:r>
    </w:p>
    <w:p w14:paraId="549FF377">
      <w:pPr>
        <w:spacing w:line="560" w:lineRule="exact"/>
        <w:ind w:left="13" w:leftChars="6"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（四）存在的问题和下阶段工作措施</w:t>
      </w:r>
    </w:p>
    <w:p w14:paraId="74505921">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1.收入增长乏力。</w:t>
      </w:r>
      <w:r>
        <w:rPr>
          <w:rFonts w:hint="eastAsia" w:ascii="仿宋_GB2312" w:hAnsi="Times New Roman" w:eastAsia="仿宋_GB2312" w:cs="Times New Roman"/>
          <w:sz w:val="32"/>
          <w:szCs w:val="32"/>
        </w:rPr>
        <w:t>一是财税增长困难较大，受宏观不利因素与我区自身结构性问题交织叠加影响，上半年口味王等重点税源企业销售额下降；土地出让收入呈下滑趋势。二是先进制造业加计抵减优惠政策仍有包袱未消化，全年财税</w:t>
      </w:r>
      <w:r>
        <w:rPr>
          <w:rFonts w:hint="eastAsia" w:ascii="仿宋_GB2312" w:hAnsi="Times New Roman" w:eastAsia="仿宋_GB2312" w:cs="Times New Roman"/>
          <w:sz w:val="32"/>
          <w:szCs w:val="32"/>
          <w:lang w:eastAsia="zh-CN"/>
        </w:rPr>
        <w:t>增收</w:t>
      </w:r>
      <w:r>
        <w:rPr>
          <w:rFonts w:hint="eastAsia" w:ascii="仿宋_GB2312" w:hAnsi="Times New Roman" w:eastAsia="仿宋_GB2312" w:cs="Times New Roman"/>
          <w:sz w:val="32"/>
          <w:szCs w:val="32"/>
        </w:rPr>
        <w:t>难度较大。</w:t>
      </w:r>
    </w:p>
    <w:p w14:paraId="3F6F4074">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2.支出持续增长。</w:t>
      </w:r>
      <w:r>
        <w:rPr>
          <w:rFonts w:hint="eastAsia" w:ascii="仿宋_GB2312" w:hAnsi="Times New Roman" w:eastAsia="仿宋_GB2312" w:cs="Times New Roman"/>
          <w:sz w:val="32"/>
          <w:szCs w:val="32"/>
        </w:rPr>
        <w:t>近三年我区年均财政收入增长速度为8%，但财政支出年均增长13%以上，呈“小马拉大车”态势，支出压力日趋加大。</w:t>
      </w:r>
    </w:p>
    <w:p w14:paraId="6370F49B">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下阶段需采取多方面措施，确保2</w:t>
      </w:r>
      <w:r>
        <w:rPr>
          <w:rFonts w:ascii="仿宋_GB2312" w:hAnsi="Times New Roman" w:eastAsia="仿宋_GB2312" w:cs="Times New Roman"/>
          <w:sz w:val="32"/>
          <w:szCs w:val="32"/>
        </w:rPr>
        <w:t>02</w:t>
      </w:r>
      <w:r>
        <w:rPr>
          <w:rFonts w:hint="eastAsia" w:ascii="仿宋_GB2312" w:hAnsi="Times New Roman" w:eastAsia="仿宋_GB2312" w:cs="Times New Roman"/>
          <w:sz w:val="32"/>
          <w:szCs w:val="32"/>
        </w:rPr>
        <w:t>4年财政平稳运行：一是优化支出结构，兜牢“三保”底线。把勤俭节约、艰苦奋斗作为财政工作的指导思想，从严控制一般性支出</w:t>
      </w:r>
      <w:r>
        <w:rPr>
          <w:rFonts w:hint="eastAsia" w:ascii="仿宋_GB2312" w:hAnsi="Times New Roman" w:eastAsia="仿宋_GB2312" w:cs="Times New Roman"/>
          <w:sz w:val="32"/>
          <w:szCs w:val="32"/>
          <w:lang w:eastAsia="zh-CN"/>
        </w:rPr>
        <w:t>，习惯过“紧日子、苦日子”</w:t>
      </w:r>
      <w:r>
        <w:rPr>
          <w:rFonts w:hint="eastAsia" w:ascii="仿宋_GB2312" w:hAnsi="Times New Roman" w:eastAsia="仿宋_GB2312" w:cs="Times New Roman"/>
          <w:sz w:val="32"/>
          <w:szCs w:val="32"/>
        </w:rPr>
        <w:t>。二是持续深化国有“三资”盘活成果，增加区级可用财力，统筹安排用于民生项目、财源建设等稳增长、调结构、惠民生、促发展支出。三是加大财政支持力度，探寻产业发展，培育优质税源。四是严格地方债务风险管控，落实地方政府性债务风险预警，规范举债行为，确保债务风险处于可控范围内。五是强化财会监督职能，严肃财经纪律。六是围绕“阳光财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情系民生”党建品牌，深入推进清廉财政建设。</w:t>
      </w:r>
    </w:p>
    <w:p w14:paraId="785BAD0A">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主任，各位副主任，各位委员</w:t>
      </w:r>
      <w:r>
        <w:rPr>
          <w:rFonts w:hint="eastAsia" w:ascii="仿宋_GB2312" w:hAnsi="宋体" w:eastAsia="仿宋_GB2312" w:cs="Times New Roman"/>
          <w:sz w:val="32"/>
          <w:szCs w:val="32"/>
        </w:rPr>
        <w:t>，今年是中华人民共和国成立75周年，也是实现“十四五”规划的冲刺之年。我们</w:t>
      </w:r>
      <w:r>
        <w:rPr>
          <w:rFonts w:hint="eastAsia" w:ascii="仿宋_GB2312" w:hAnsi="Times New Roman" w:eastAsia="仿宋_GB2312" w:cs="Times New Roman"/>
          <w:sz w:val="32"/>
          <w:szCs w:val="32"/>
        </w:rPr>
        <w:t>将全力贯彻落实党的二十届三中全会精神，在区委的坚强领导下，在区人大的监督支持下，强力推进各项任务落地落实，为推进资阳区经济社会高质量发展作出更大贡献。</w:t>
      </w:r>
    </w:p>
    <w:p w14:paraId="66B19CFC">
      <w:pPr>
        <w:spacing w:line="560" w:lineRule="exact"/>
        <w:ind w:firstLine="640" w:firstLineChars="200"/>
      </w:pPr>
      <w:bookmarkStart w:id="1" w:name="_GoBack"/>
      <w:bookmarkEnd w:id="1"/>
      <w:r>
        <w:rPr>
          <w:rFonts w:hint="eastAsia" w:ascii="仿宋_GB2312" w:hAnsi="Times New Roman" w:eastAsia="仿宋_GB2312" w:cs="Times New Roman"/>
          <w:sz w:val="32"/>
          <w:szCs w:val="32"/>
        </w:rPr>
        <w:t>以上报告，请予审议。</w:t>
      </w:r>
    </w:p>
    <w:sectPr>
      <w:headerReference r:id="rId3" w:type="default"/>
      <w:footerReference r:id="rId4" w:type="default"/>
      <w:footerReference r:id="rId5" w:type="even"/>
      <w:pgSz w:w="11905" w:h="16838" w:orient="landscape"/>
      <w:pgMar w:top="1984" w:right="1531" w:bottom="1701" w:left="1531" w:header="1134" w:footer="1134"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F14F">
    <w:pPr>
      <w:framePr w:w="689" w:wrap="around" w:vAnchor="text" w:hAnchor="margin" w:xAlign="center" w:y="1"/>
      <w:tabs>
        <w:tab w:val="center" w:pos="4153"/>
        <w:tab w:val="right" w:pos="8306"/>
      </w:tabs>
      <w:snapToGrid w:val="0"/>
      <w:jc w:val="center"/>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PAGE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3CDEB375">
    <w:pPr>
      <w:tabs>
        <w:tab w:val="center" w:pos="4153"/>
        <w:tab w:val="right" w:pos="8306"/>
      </w:tabs>
      <w:snapToGrid w:val="0"/>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72EF">
    <w:pPr>
      <w:framePr w:wrap="around" w:vAnchor="text" w:hAnchor="margin" w:xAlign="center" w:y="1"/>
      <w:tabs>
        <w:tab w:val="center" w:pos="4153"/>
        <w:tab w:val="right" w:pos="8306"/>
      </w:tabs>
      <w:snapToGrid w:val="0"/>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rPr>
      <w:instrText xml:space="preserve">PAGE  </w:instrText>
    </w:r>
    <w:r>
      <w:rPr>
        <w:rFonts w:ascii="Times New Roman" w:hAnsi="Times New Roman" w:eastAsia="宋体" w:cs="Times New Roman"/>
        <w:sz w:val="18"/>
        <w:szCs w:val="18"/>
      </w:rPr>
      <w:fldChar w:fldCharType="separate"/>
    </w:r>
    <w:r>
      <w:rPr>
        <w:rFonts w:ascii="Times New Roman" w:hAnsi="Times New Roman" w:eastAsia="宋体" w:cs="Times New Roman"/>
      </w:rPr>
      <w:t>1</w:t>
    </w:r>
    <w:r>
      <w:rPr>
        <w:rFonts w:ascii="Times New Roman" w:hAnsi="Times New Roman" w:eastAsia="宋体" w:cs="Times New Roman"/>
        <w:sz w:val="18"/>
        <w:szCs w:val="18"/>
      </w:rPr>
      <w:fldChar w:fldCharType="end"/>
    </w:r>
  </w:p>
  <w:p w14:paraId="483512B2">
    <w:pPr>
      <w:tabs>
        <w:tab w:val="center" w:pos="4153"/>
        <w:tab w:val="right" w:pos="8306"/>
      </w:tabs>
      <w:snapToGrid w:val="0"/>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1B1A">
    <w:pPr>
      <w:tabs>
        <w:tab w:val="center" w:pos="4153"/>
        <w:tab w:val="right" w:pos="8306"/>
      </w:tabs>
      <w:snapToGrid w:val="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D7CD9"/>
    <w:multiLevelType w:val="singleLevel"/>
    <w:tmpl w:val="110D7CD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wMzBhMDg0ZWZhMWMwYzRiOTg0MmZhZWI4ZDQ0ZjAifQ=="/>
  </w:docVars>
  <w:rsids>
    <w:rsidRoot w:val="74413B82"/>
    <w:rsid w:val="003D1FE9"/>
    <w:rsid w:val="005E24AC"/>
    <w:rsid w:val="00F703AB"/>
    <w:rsid w:val="012C0A0B"/>
    <w:rsid w:val="062B560D"/>
    <w:rsid w:val="0CF43343"/>
    <w:rsid w:val="27861592"/>
    <w:rsid w:val="29D55B73"/>
    <w:rsid w:val="2B403AFF"/>
    <w:rsid w:val="2C211A5E"/>
    <w:rsid w:val="2E03656B"/>
    <w:rsid w:val="2F4667EF"/>
    <w:rsid w:val="39093DB2"/>
    <w:rsid w:val="3A9C4B4F"/>
    <w:rsid w:val="3E3234DC"/>
    <w:rsid w:val="41F145CF"/>
    <w:rsid w:val="4662289B"/>
    <w:rsid w:val="4A322D98"/>
    <w:rsid w:val="51360415"/>
    <w:rsid w:val="51370419"/>
    <w:rsid w:val="55B103CA"/>
    <w:rsid w:val="5EB40B4D"/>
    <w:rsid w:val="63154EC7"/>
    <w:rsid w:val="74413B82"/>
    <w:rsid w:val="78BE1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adjustRightInd w:val="0"/>
      <w:spacing w:line="312" w:lineRule="atLeast"/>
      <w:ind w:right="214"/>
      <w:textAlignment w:val="baseline"/>
    </w:pPr>
    <w:rPr>
      <w:rFonts w:ascii="仿宋_GB2312" w:hAnsi="Times New Roman" w:eastAsia="宋体" w:cs="Times New Roman"/>
      <w:kern w:val="0"/>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正文文本 Char"/>
    <w:basedOn w:val="6"/>
    <w:link w:val="2"/>
    <w:qFormat/>
    <w:uiPriority w:val="0"/>
    <w:rPr>
      <w:rFonts w:ascii="仿宋_GB231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5368</Words>
  <Characters>6099</Characters>
  <Lines>40</Lines>
  <Paragraphs>11</Paragraphs>
  <TotalTime>33</TotalTime>
  <ScaleCrop>false</ScaleCrop>
  <LinksUpToDate>false</LinksUpToDate>
  <CharactersWithSpaces>6104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2024-07-30T02:21:00Z</dcterms:created>
  <dc:creator>企业用户_614130758</dc:creator>
  <cp:lastModifiedBy>企业用户_614130758</cp:lastModifiedBy>
  <cp:lastPrinted>2024-07-26T10:23:00Z</cp:lastPrinted>
  <dcterms:modified xsi:type="dcterms:W3CDTF">2024-09-12T07:32:06Z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97DA6EDBEF7C45E8AB1931BB3227359C_13</vt:lpwstr>
  </property>
</Properties>
</file>