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jc w:val="both"/>
        <w:rPr>
          <w:rFonts w:eastAsia="隶书"/>
          <w:b/>
          <w:sz w:val="72"/>
          <w:szCs w:val="72"/>
          <w:lang w:val="en-US"/>
        </w:rPr>
      </w:pPr>
    </w:p>
    <w:p>
      <w:pPr>
        <w:pStyle w:val="2"/>
        <w:rPr>
          <w:lang w:val="en-US"/>
        </w:rPr>
      </w:pPr>
    </w:p>
    <w:p>
      <w:pPr>
        <w:jc w:val="center"/>
        <w:rPr>
          <w:rFonts w:hint="eastAsia" w:ascii="宋体" w:hAnsi="宋体" w:eastAsia="宋体" w:cs="宋体"/>
          <w:b w:val="0"/>
          <w:bCs/>
          <w:sz w:val="72"/>
          <w:szCs w:val="72"/>
        </w:rPr>
      </w:pPr>
      <w:r>
        <w:rPr>
          <w:rFonts w:hint="eastAsia" w:ascii="宋体" w:hAnsi="宋体" w:eastAsia="宋体" w:cs="宋体"/>
          <w:b w:val="0"/>
          <w:bCs/>
          <w:sz w:val="72"/>
          <w:szCs w:val="72"/>
          <w:lang w:val="en-US"/>
        </w:rPr>
        <w:t>益阳市资阳区</w:t>
      </w:r>
      <w:r>
        <w:rPr>
          <w:rFonts w:hint="eastAsia" w:ascii="宋体" w:hAnsi="宋体" w:eastAsia="宋体" w:cs="宋体"/>
          <w:b w:val="0"/>
          <w:bCs/>
          <w:sz w:val="72"/>
          <w:szCs w:val="72"/>
        </w:rPr>
        <w:t>消防救援</w:t>
      </w:r>
      <w:r>
        <w:rPr>
          <w:rFonts w:hint="eastAsia" w:ascii="宋体" w:hAnsi="宋体" w:eastAsia="宋体" w:cs="宋体"/>
          <w:b w:val="0"/>
          <w:bCs/>
          <w:sz w:val="72"/>
          <w:szCs w:val="72"/>
          <w:lang w:val="en-US"/>
        </w:rPr>
        <w:t>大</w:t>
      </w:r>
      <w:r>
        <w:rPr>
          <w:rFonts w:hint="eastAsia" w:ascii="宋体" w:hAnsi="宋体" w:eastAsia="宋体" w:cs="宋体"/>
          <w:b w:val="0"/>
          <w:bCs/>
          <w:sz w:val="72"/>
          <w:szCs w:val="72"/>
        </w:rPr>
        <w:t>队</w:t>
      </w:r>
    </w:p>
    <w:p>
      <w:pPr>
        <w:jc w:val="center"/>
        <w:rPr>
          <w:rFonts w:ascii="楷体" w:hAnsi="楷体" w:eastAsia="楷体" w:cs="楷体"/>
          <w:b/>
          <w:sz w:val="72"/>
          <w:szCs w:val="72"/>
          <w:lang w:val="en-US"/>
        </w:rPr>
      </w:pPr>
      <w:r>
        <w:rPr>
          <w:rFonts w:hint="eastAsia" w:ascii="宋体" w:hAnsi="宋体" w:eastAsia="宋体" w:cs="宋体"/>
          <w:b/>
          <w:bCs w:val="0"/>
          <w:sz w:val="72"/>
          <w:szCs w:val="72"/>
          <w:lang w:eastAsia="zh-CN"/>
        </w:rPr>
        <w:t>2023</w:t>
      </w:r>
      <w:r>
        <w:rPr>
          <w:rFonts w:hint="eastAsia" w:ascii="宋体" w:hAnsi="宋体" w:eastAsia="宋体" w:cs="宋体"/>
          <w:b w:val="0"/>
          <w:bCs/>
          <w:sz w:val="72"/>
          <w:szCs w:val="72"/>
          <w:lang w:val="en-US"/>
        </w:rPr>
        <w:t>年度部门决算</w:t>
      </w:r>
    </w:p>
    <w:p>
      <w:pPr>
        <w:pStyle w:val="2"/>
        <w:ind w:firstLine="1365"/>
        <w:rPr>
          <w:rFonts w:eastAsia="隶书"/>
          <w:b/>
          <w:sz w:val="68"/>
          <w:szCs w:val="68"/>
        </w:rPr>
      </w:pPr>
    </w:p>
    <w:p>
      <w:pPr>
        <w:pStyle w:val="5"/>
        <w:jc w:val="both"/>
        <w:rPr>
          <w:rFonts w:ascii="Microsoft JhengHei"/>
          <w:b/>
          <w:sz w:val="74"/>
        </w:rPr>
      </w:pPr>
      <w:r>
        <w:drawing>
          <wp:anchor distT="0" distB="0" distL="114300" distR="114300" simplePos="0" relativeHeight="251667456" behindDoc="1" locked="0" layoutInCell="1" allowOverlap="1">
            <wp:simplePos x="0" y="0"/>
            <wp:positionH relativeFrom="page">
              <wp:posOffset>2834005</wp:posOffset>
            </wp:positionH>
            <wp:positionV relativeFrom="page">
              <wp:posOffset>4686935</wp:posOffset>
            </wp:positionV>
            <wp:extent cx="2028190" cy="2021840"/>
            <wp:effectExtent l="0" t="0" r="10160" b="16510"/>
            <wp:wrapNone/>
            <wp:docPr id="28"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_x00000"/>
                    <pic:cNvPicPr>
                      <a:picLocks noChangeAspect="1"/>
                    </pic:cNvPicPr>
                  </pic:nvPicPr>
                  <pic:blipFill>
                    <a:blip r:embed="rId20"/>
                    <a:stretch>
                      <a:fillRect/>
                    </a:stretch>
                  </pic:blipFill>
                  <pic:spPr>
                    <a:xfrm>
                      <a:off x="0" y="0"/>
                      <a:ext cx="2028190" cy="2021840"/>
                    </a:xfrm>
                    <a:prstGeom prst="rect">
                      <a:avLst/>
                    </a:prstGeom>
                    <a:noFill/>
                    <a:ln w="9525">
                      <a:noFill/>
                    </a:ln>
                  </pic:spPr>
                </pic:pic>
              </a:graphicData>
            </a:graphic>
          </wp:anchor>
        </w:drawing>
      </w:r>
    </w:p>
    <w:p>
      <w:pPr>
        <w:ind w:right="120"/>
        <w:jc w:val="center"/>
        <w:rPr>
          <w:rFonts w:ascii="Microsoft JhengHei"/>
          <w:b/>
          <w:sz w:val="74"/>
        </w:rPr>
      </w:pPr>
    </w:p>
    <w:p>
      <w:pPr>
        <w:pStyle w:val="5"/>
        <w:rPr>
          <w:rFonts w:ascii="Microsoft JhengHei"/>
          <w:b/>
          <w:sz w:val="74"/>
        </w:rPr>
      </w:pPr>
    </w:p>
    <w:p>
      <w:pPr>
        <w:pStyle w:val="5"/>
        <w:spacing w:before="13"/>
        <w:rPr>
          <w:rFonts w:ascii="楷体" w:hAnsi="楷体" w:eastAsia="楷体" w:cs="楷体"/>
          <w:b/>
          <w:sz w:val="57"/>
        </w:rPr>
      </w:pPr>
    </w:p>
    <w:p>
      <w:pPr>
        <w:pStyle w:val="5"/>
        <w:spacing w:before="13"/>
        <w:rPr>
          <w:rFonts w:ascii="楷体" w:hAnsi="楷体" w:eastAsia="楷体" w:cs="楷体"/>
          <w:b/>
          <w:sz w:val="57"/>
        </w:rPr>
      </w:pPr>
    </w:p>
    <w:p>
      <w:pPr>
        <w:pStyle w:val="5"/>
        <w:spacing w:before="13"/>
        <w:rPr>
          <w:rFonts w:ascii="楷体" w:hAnsi="楷体" w:eastAsia="楷体" w:cs="楷体"/>
          <w:b/>
          <w:sz w:val="57"/>
        </w:rPr>
      </w:pPr>
    </w:p>
    <w:p>
      <w:pPr>
        <w:pStyle w:val="5"/>
        <w:spacing w:before="13"/>
        <w:rPr>
          <w:rFonts w:ascii="楷体" w:hAnsi="楷体" w:eastAsia="楷体" w:cs="楷体"/>
          <w:b/>
          <w:sz w:val="57"/>
        </w:rPr>
      </w:pPr>
    </w:p>
    <w:p>
      <w:pPr>
        <w:pStyle w:val="5"/>
        <w:spacing w:before="13"/>
        <w:rPr>
          <w:rFonts w:ascii="楷体" w:hAnsi="楷体" w:eastAsia="楷体" w:cs="楷体"/>
          <w:b/>
          <w:sz w:val="57"/>
        </w:rPr>
      </w:pPr>
    </w:p>
    <w:p>
      <w:pPr>
        <w:jc w:val="center"/>
        <w:rPr>
          <w:rFonts w:hint="eastAsia" w:ascii="宋体" w:hAnsi="宋体" w:eastAsia="宋体" w:cs="宋体"/>
          <w:b w:val="0"/>
          <w:bCs/>
          <w:sz w:val="32"/>
          <w:szCs w:val="32"/>
          <w:lang w:val="en-US"/>
        </w:rPr>
      </w:pPr>
      <w:r>
        <w:rPr>
          <w:rFonts w:hint="eastAsia" w:ascii="宋体" w:hAnsi="宋体" w:eastAsia="宋体" w:cs="宋体"/>
          <w:b w:val="0"/>
          <w:bCs/>
          <w:sz w:val="32"/>
          <w:szCs w:val="32"/>
          <w:lang w:val="en-US"/>
        </w:rPr>
        <w:t>二〇二</w:t>
      </w:r>
      <w:r>
        <w:rPr>
          <w:rFonts w:hint="eastAsia" w:cs="宋体"/>
          <w:b w:val="0"/>
          <w:bCs/>
          <w:sz w:val="32"/>
          <w:szCs w:val="32"/>
          <w:lang w:val="en-US" w:eastAsia="zh-CN"/>
        </w:rPr>
        <w:t>四</w:t>
      </w:r>
      <w:r>
        <w:rPr>
          <w:rFonts w:hint="eastAsia" w:ascii="宋体" w:hAnsi="宋体" w:eastAsia="宋体" w:cs="宋体"/>
          <w:b w:val="0"/>
          <w:bCs/>
          <w:sz w:val="32"/>
          <w:szCs w:val="32"/>
          <w:lang w:val="en-US"/>
        </w:rPr>
        <w:t>年八月</w:t>
      </w:r>
    </w:p>
    <w:p>
      <w:pPr>
        <w:jc w:val="center"/>
        <w:rPr>
          <w:rFonts w:hint="eastAsia" w:ascii="宋体" w:hAnsi="宋体" w:eastAsia="宋体" w:cs="宋体"/>
          <w:b w:val="0"/>
          <w:bCs/>
          <w:sz w:val="72"/>
          <w:szCs w:val="72"/>
          <w:lang w:val="en-US"/>
        </w:rPr>
        <w:sectPr>
          <w:headerReference r:id="rId5" w:type="first"/>
          <w:footerReference r:id="rId8" w:type="first"/>
          <w:headerReference r:id="rId3" w:type="default"/>
          <w:footerReference r:id="rId6" w:type="default"/>
          <w:headerReference r:id="rId4" w:type="even"/>
          <w:footerReference r:id="rId7" w:type="even"/>
          <w:pgSz w:w="11910" w:h="16840"/>
          <w:pgMar w:top="1580" w:right="80" w:bottom="1100" w:left="200" w:header="680" w:footer="964" w:gutter="0"/>
          <w:pgNumType w:start="1"/>
          <w:cols w:space="720" w:num="1"/>
        </w:sectPr>
      </w:pPr>
    </w:p>
    <w:p>
      <w:pPr>
        <w:tabs>
          <w:tab w:val="left" w:pos="1303"/>
        </w:tabs>
        <w:spacing w:before="14"/>
        <w:ind w:right="119"/>
        <w:jc w:val="center"/>
        <w:rPr>
          <w:rFonts w:hint="eastAsia" w:ascii="宋体" w:hAnsi="宋体" w:eastAsia="宋体" w:cs="宋体"/>
          <w:b/>
          <w:sz w:val="52"/>
        </w:rPr>
      </w:pPr>
      <w:r>
        <w:rPr>
          <w:rFonts w:hint="eastAsia" w:ascii="宋体" w:hAnsi="宋体" w:eastAsia="宋体" w:cs="宋体"/>
          <w:b/>
          <w:sz w:val="52"/>
        </w:rPr>
        <w:t>目</w:t>
      </w:r>
      <w:r>
        <w:rPr>
          <w:rFonts w:hint="eastAsia" w:ascii="宋体" w:hAnsi="宋体" w:eastAsia="宋体" w:cs="宋体"/>
          <w:b/>
          <w:sz w:val="52"/>
        </w:rPr>
        <w:tab/>
      </w:r>
      <w:r>
        <w:rPr>
          <w:rFonts w:hint="eastAsia" w:ascii="宋体" w:hAnsi="宋体" w:eastAsia="宋体" w:cs="宋体"/>
          <w:b/>
          <w:sz w:val="52"/>
        </w:rPr>
        <w:t>录</w:t>
      </w:r>
    </w:p>
    <w:p>
      <w:pPr>
        <w:pStyle w:val="5"/>
        <w:spacing w:before="10"/>
        <w:rPr>
          <w:rFonts w:hint="eastAsia" w:ascii="宋体" w:hAnsi="宋体" w:eastAsia="宋体" w:cs="宋体"/>
          <w:b/>
          <w:sz w:val="36"/>
          <w:szCs w:val="36"/>
        </w:rPr>
      </w:pPr>
    </w:p>
    <w:p>
      <w:pPr>
        <w:tabs>
          <w:tab w:val="left" w:pos="3738"/>
        </w:tabs>
        <w:ind w:left="1938"/>
        <w:rPr>
          <w:rFonts w:hint="eastAsia" w:ascii="宋体" w:hAnsi="宋体" w:eastAsia="宋体" w:cs="宋体"/>
          <w:b/>
          <w:sz w:val="36"/>
          <w:szCs w:val="36"/>
        </w:rPr>
      </w:pPr>
      <w:r>
        <w:rPr>
          <w:rFonts w:hint="eastAsia" w:ascii="宋体" w:hAnsi="宋体" w:eastAsia="宋体" w:cs="宋体"/>
          <w:b/>
          <w:sz w:val="36"/>
          <w:szCs w:val="36"/>
        </w:rPr>
        <w:t>第一部分</w:t>
      </w:r>
      <w:r>
        <w:rPr>
          <w:rFonts w:hint="eastAsia" w:ascii="宋体" w:hAnsi="宋体" w:eastAsia="宋体" w:cs="宋体"/>
          <w:b/>
          <w:sz w:val="36"/>
          <w:szCs w:val="36"/>
        </w:rPr>
        <w:tab/>
      </w:r>
      <w:r>
        <w:rPr>
          <w:rFonts w:hint="eastAsia" w:ascii="宋体" w:hAnsi="宋体" w:eastAsia="宋体" w:cs="宋体"/>
          <w:b/>
          <w:sz w:val="36"/>
          <w:szCs w:val="36"/>
          <w:lang w:val="en-US"/>
        </w:rPr>
        <w:t>益阳市资阳区</w:t>
      </w:r>
      <w:r>
        <w:rPr>
          <w:rFonts w:hint="eastAsia" w:ascii="宋体" w:hAnsi="宋体" w:eastAsia="宋体" w:cs="宋体"/>
          <w:b/>
          <w:sz w:val="36"/>
          <w:szCs w:val="36"/>
        </w:rPr>
        <w:t>消防救援</w:t>
      </w:r>
      <w:r>
        <w:rPr>
          <w:rFonts w:hint="eastAsia" w:ascii="宋体" w:hAnsi="宋体" w:eastAsia="宋体" w:cs="宋体"/>
          <w:b/>
          <w:sz w:val="36"/>
          <w:szCs w:val="36"/>
          <w:lang w:val="en-US"/>
        </w:rPr>
        <w:t>大</w:t>
      </w:r>
      <w:r>
        <w:rPr>
          <w:rFonts w:hint="eastAsia" w:ascii="宋体" w:hAnsi="宋体" w:eastAsia="宋体" w:cs="宋体"/>
          <w:b/>
          <w:sz w:val="36"/>
          <w:szCs w:val="36"/>
        </w:rPr>
        <w:t>队概况</w:t>
      </w:r>
    </w:p>
    <w:p>
      <w:pPr>
        <w:pStyle w:val="5"/>
        <w:spacing w:before="186"/>
        <w:ind w:left="1856"/>
        <w:rPr>
          <w:rFonts w:hint="eastAsia" w:ascii="宋体" w:hAnsi="宋体" w:eastAsia="宋体" w:cs="宋体"/>
        </w:rPr>
      </w:pPr>
      <w:r>
        <w:rPr>
          <w:rFonts w:hint="eastAsia" w:ascii="宋体" w:hAnsi="宋体" w:eastAsia="宋体" w:cs="宋体"/>
        </w:rPr>
        <w:t>一、主要职责</w:t>
      </w:r>
    </w:p>
    <w:p>
      <w:pPr>
        <w:pStyle w:val="5"/>
        <w:spacing w:before="186"/>
        <w:ind w:left="1856"/>
        <w:rPr>
          <w:rFonts w:hint="eastAsia" w:ascii="宋体" w:hAnsi="宋体" w:eastAsia="宋体" w:cs="宋体"/>
          <w:lang w:val="en-US"/>
        </w:rPr>
      </w:pPr>
      <w:r>
        <w:rPr>
          <w:rFonts w:hint="eastAsia" w:ascii="宋体" w:hAnsi="宋体" w:eastAsia="宋体" w:cs="宋体"/>
        </w:rPr>
        <w:t>二、</w:t>
      </w:r>
      <w:r>
        <w:rPr>
          <w:rFonts w:hint="eastAsia" w:ascii="宋体" w:hAnsi="宋体" w:eastAsia="宋体" w:cs="宋体"/>
          <w:lang w:val="en-US"/>
        </w:rPr>
        <w:t>机构设置</w:t>
      </w:r>
    </w:p>
    <w:p>
      <w:pPr>
        <w:pStyle w:val="5"/>
        <w:spacing w:before="8"/>
        <w:rPr>
          <w:rFonts w:hint="eastAsia" w:ascii="宋体" w:hAnsi="宋体" w:eastAsia="宋体" w:cs="宋体"/>
          <w:sz w:val="27"/>
        </w:rPr>
      </w:pPr>
    </w:p>
    <w:p>
      <w:pPr>
        <w:ind w:left="1938"/>
        <w:jc w:val="both"/>
        <w:rPr>
          <w:rFonts w:hint="eastAsia" w:ascii="宋体" w:hAnsi="宋体" w:eastAsia="宋体" w:cs="宋体"/>
          <w:b/>
          <w:bCs/>
          <w:sz w:val="36"/>
          <w:lang w:val="en-US"/>
        </w:rPr>
      </w:pPr>
      <w:r>
        <w:rPr>
          <w:rFonts w:hint="eastAsia" w:ascii="宋体" w:hAnsi="宋体" w:eastAsia="宋体" w:cs="宋体"/>
          <w:b/>
          <w:bCs/>
          <w:sz w:val="36"/>
        </w:rPr>
        <w:t>第二部分</w:t>
      </w:r>
      <w:r>
        <w:rPr>
          <w:rFonts w:hint="eastAsia" w:ascii="宋体" w:hAnsi="宋体" w:eastAsia="宋体" w:cs="宋体"/>
          <w:b/>
          <w:bCs/>
          <w:sz w:val="36"/>
          <w:lang w:val="en-US"/>
        </w:rPr>
        <w:t xml:space="preserve">  </w:t>
      </w:r>
      <w:r>
        <w:rPr>
          <w:rFonts w:hint="eastAsia" w:ascii="宋体" w:hAnsi="宋体" w:eastAsia="宋体" w:cs="宋体"/>
          <w:b/>
          <w:bCs/>
          <w:sz w:val="36"/>
          <w:lang w:val="en-US" w:eastAsia="zh-CN"/>
        </w:rPr>
        <w:t>2023</w:t>
      </w:r>
      <w:r>
        <w:rPr>
          <w:rFonts w:hint="eastAsia" w:ascii="宋体" w:hAnsi="宋体" w:eastAsia="宋体" w:cs="宋体"/>
          <w:b/>
          <w:bCs/>
          <w:sz w:val="36"/>
          <w:lang w:val="en-US"/>
        </w:rPr>
        <w:t>年度部门决算表</w:t>
      </w:r>
    </w:p>
    <w:p>
      <w:pPr>
        <w:pStyle w:val="5"/>
        <w:spacing w:before="186"/>
        <w:ind w:left="1856"/>
        <w:rPr>
          <w:rFonts w:hint="eastAsia" w:ascii="宋体" w:hAnsi="宋体" w:eastAsia="宋体" w:cs="宋体"/>
          <w:lang w:val="en-US"/>
        </w:rPr>
      </w:pPr>
      <w:r>
        <w:rPr>
          <w:rFonts w:hint="eastAsia" w:ascii="宋体" w:hAnsi="宋体" w:eastAsia="宋体" w:cs="宋体"/>
        </w:rPr>
        <w:t>一、</w:t>
      </w:r>
      <w:r>
        <w:rPr>
          <w:rFonts w:hint="eastAsia" w:ascii="宋体" w:hAnsi="宋体" w:eastAsia="宋体" w:cs="宋体"/>
          <w:lang w:val="en-US"/>
        </w:rPr>
        <w:t>收</w:t>
      </w:r>
      <w:r>
        <w:rPr>
          <w:rFonts w:hint="eastAsia" w:cs="宋体"/>
          <w:lang w:val="en-US" w:eastAsia="zh-CN"/>
        </w:rPr>
        <w:t>入</w:t>
      </w:r>
      <w:r>
        <w:rPr>
          <w:rFonts w:hint="eastAsia" w:ascii="宋体" w:hAnsi="宋体" w:eastAsia="宋体" w:cs="宋体"/>
          <w:lang w:val="en-US"/>
        </w:rPr>
        <w:t>支出决算总表</w:t>
      </w:r>
    </w:p>
    <w:p>
      <w:pPr>
        <w:pStyle w:val="5"/>
        <w:spacing w:before="186"/>
        <w:ind w:left="1856"/>
        <w:rPr>
          <w:rFonts w:hint="eastAsia" w:ascii="宋体" w:hAnsi="宋体" w:eastAsia="宋体" w:cs="宋体"/>
          <w:lang w:val="en-US"/>
        </w:rPr>
      </w:pPr>
      <w:r>
        <w:rPr>
          <w:rFonts w:hint="eastAsia" w:ascii="宋体" w:hAnsi="宋体" w:eastAsia="宋体" w:cs="宋体"/>
        </w:rPr>
        <w:t>二、收入</w:t>
      </w:r>
      <w:r>
        <w:rPr>
          <w:rFonts w:hint="eastAsia" w:ascii="宋体" w:hAnsi="宋体" w:eastAsia="宋体" w:cs="宋体"/>
          <w:lang w:val="en-US"/>
        </w:rPr>
        <w:t>决算</w:t>
      </w:r>
      <w:r>
        <w:rPr>
          <w:rFonts w:hint="eastAsia" w:ascii="宋体" w:hAnsi="宋体" w:eastAsia="宋体" w:cs="宋体"/>
        </w:rPr>
        <w:t>表</w:t>
      </w:r>
    </w:p>
    <w:p>
      <w:pPr>
        <w:pStyle w:val="5"/>
        <w:spacing w:before="186"/>
        <w:ind w:left="1856"/>
        <w:rPr>
          <w:rFonts w:hint="eastAsia" w:ascii="宋体" w:hAnsi="宋体" w:eastAsia="宋体" w:cs="宋体"/>
          <w:lang w:val="en-US"/>
        </w:rPr>
      </w:pPr>
      <w:r>
        <w:rPr>
          <w:rFonts w:hint="eastAsia" w:ascii="宋体" w:hAnsi="宋体" w:eastAsia="宋体" w:cs="宋体"/>
        </w:rPr>
        <w:t>三、支出</w:t>
      </w:r>
      <w:r>
        <w:rPr>
          <w:rFonts w:hint="eastAsia" w:ascii="宋体" w:hAnsi="宋体" w:eastAsia="宋体" w:cs="宋体"/>
          <w:lang w:val="en-US"/>
        </w:rPr>
        <w:t>决算</w:t>
      </w:r>
      <w:r>
        <w:rPr>
          <w:rFonts w:hint="eastAsia" w:ascii="宋体" w:hAnsi="宋体" w:eastAsia="宋体" w:cs="宋体"/>
        </w:rPr>
        <w:t>表</w:t>
      </w:r>
    </w:p>
    <w:p>
      <w:pPr>
        <w:pStyle w:val="5"/>
        <w:spacing w:before="186"/>
        <w:ind w:left="1856"/>
        <w:rPr>
          <w:rFonts w:hint="eastAsia" w:ascii="宋体" w:hAnsi="宋体" w:eastAsia="宋体" w:cs="宋体"/>
          <w:lang w:val="en-US"/>
        </w:rPr>
      </w:pPr>
      <w:r>
        <w:rPr>
          <w:rFonts w:hint="eastAsia" w:ascii="宋体" w:hAnsi="宋体" w:eastAsia="宋体" w:cs="宋体"/>
        </w:rPr>
        <w:t>四、财政拨款</w:t>
      </w:r>
      <w:r>
        <w:rPr>
          <w:rFonts w:hint="eastAsia" w:ascii="宋体" w:hAnsi="宋体" w:eastAsia="宋体" w:cs="宋体"/>
          <w:lang w:val="en-US"/>
        </w:rPr>
        <w:t>收</w:t>
      </w:r>
      <w:r>
        <w:rPr>
          <w:rFonts w:hint="eastAsia" w:cs="宋体"/>
          <w:lang w:val="en-US" w:eastAsia="zh-CN"/>
        </w:rPr>
        <w:t>入</w:t>
      </w:r>
      <w:r>
        <w:rPr>
          <w:rFonts w:hint="eastAsia" w:ascii="宋体" w:hAnsi="宋体" w:eastAsia="宋体" w:cs="宋体"/>
          <w:lang w:val="en-US"/>
        </w:rPr>
        <w:t>支出决算总表</w:t>
      </w:r>
    </w:p>
    <w:p>
      <w:pPr>
        <w:pStyle w:val="5"/>
        <w:spacing w:before="186"/>
        <w:ind w:left="1856"/>
        <w:rPr>
          <w:rFonts w:hint="eastAsia" w:ascii="宋体" w:hAnsi="宋体" w:eastAsia="宋体" w:cs="宋体"/>
          <w:lang w:val="en-US"/>
        </w:rPr>
      </w:pPr>
      <w:r>
        <w:rPr>
          <w:rFonts w:hint="eastAsia" w:ascii="宋体" w:hAnsi="宋体" w:eastAsia="宋体" w:cs="宋体"/>
        </w:rPr>
        <w:t>五、一般公共预算</w:t>
      </w:r>
      <w:r>
        <w:rPr>
          <w:rFonts w:hint="eastAsia" w:ascii="宋体" w:hAnsi="宋体" w:eastAsia="宋体" w:cs="宋体"/>
          <w:lang w:val="en-US"/>
        </w:rPr>
        <w:t>财政拨款</w:t>
      </w:r>
      <w:r>
        <w:rPr>
          <w:rFonts w:hint="eastAsia" w:ascii="宋体" w:hAnsi="宋体" w:eastAsia="宋体" w:cs="宋体"/>
        </w:rPr>
        <w:t>支出</w:t>
      </w:r>
      <w:r>
        <w:rPr>
          <w:rFonts w:hint="eastAsia" w:ascii="宋体" w:hAnsi="宋体" w:eastAsia="宋体" w:cs="宋体"/>
          <w:lang w:val="en-US"/>
        </w:rPr>
        <w:t>决算</w:t>
      </w:r>
      <w:r>
        <w:rPr>
          <w:rFonts w:hint="eastAsia" w:ascii="宋体" w:hAnsi="宋体" w:eastAsia="宋体" w:cs="宋体"/>
        </w:rPr>
        <w:t>表</w:t>
      </w:r>
    </w:p>
    <w:p>
      <w:pPr>
        <w:pStyle w:val="5"/>
        <w:spacing w:before="186"/>
        <w:ind w:left="1856"/>
        <w:rPr>
          <w:rFonts w:hint="eastAsia" w:ascii="宋体" w:hAnsi="宋体" w:eastAsia="宋体" w:cs="宋体"/>
        </w:rPr>
      </w:pPr>
      <w:r>
        <w:rPr>
          <w:rFonts w:hint="eastAsia" w:ascii="宋体" w:hAnsi="宋体" w:eastAsia="宋体" w:cs="宋体"/>
        </w:rPr>
        <w:t>六、一般公共预算</w:t>
      </w:r>
      <w:r>
        <w:rPr>
          <w:rFonts w:hint="eastAsia" w:ascii="宋体" w:hAnsi="宋体" w:eastAsia="宋体" w:cs="宋体"/>
          <w:lang w:val="en-US"/>
        </w:rPr>
        <w:t>财政拨款</w:t>
      </w:r>
      <w:r>
        <w:rPr>
          <w:rFonts w:hint="eastAsia" w:ascii="宋体" w:hAnsi="宋体" w:eastAsia="宋体" w:cs="宋体"/>
        </w:rPr>
        <w:t>基本支出</w:t>
      </w:r>
      <w:r>
        <w:rPr>
          <w:rFonts w:hint="eastAsia" w:ascii="宋体" w:hAnsi="宋体" w:eastAsia="宋体" w:cs="宋体"/>
          <w:lang w:val="en-US"/>
        </w:rPr>
        <w:t>决算明细</w:t>
      </w:r>
      <w:r>
        <w:rPr>
          <w:rFonts w:hint="eastAsia" w:ascii="宋体" w:hAnsi="宋体" w:eastAsia="宋体" w:cs="宋体"/>
        </w:rPr>
        <w:t>表</w:t>
      </w:r>
    </w:p>
    <w:p>
      <w:pPr>
        <w:pStyle w:val="5"/>
        <w:spacing w:before="186"/>
        <w:ind w:left="1856"/>
        <w:rPr>
          <w:rFonts w:hint="eastAsia" w:ascii="宋体" w:hAnsi="宋体" w:eastAsia="宋体" w:cs="宋体"/>
        </w:rPr>
      </w:pPr>
      <w:r>
        <w:rPr>
          <w:rFonts w:hint="eastAsia" w:ascii="宋体" w:hAnsi="宋体" w:eastAsia="宋体" w:cs="宋体"/>
          <w:lang w:val="en-US"/>
        </w:rPr>
        <w:t>七</w:t>
      </w:r>
      <w:r>
        <w:rPr>
          <w:rFonts w:hint="eastAsia" w:ascii="宋体" w:hAnsi="宋体" w:eastAsia="宋体" w:cs="宋体"/>
        </w:rPr>
        <w:t>、政府性基金预算</w:t>
      </w:r>
      <w:r>
        <w:rPr>
          <w:rFonts w:hint="eastAsia" w:ascii="宋体" w:hAnsi="宋体" w:eastAsia="宋体" w:cs="宋体"/>
          <w:lang w:val="en-US"/>
        </w:rPr>
        <w:t>财政拨款收入</w:t>
      </w:r>
      <w:r>
        <w:rPr>
          <w:rFonts w:hint="eastAsia" w:ascii="宋体" w:hAnsi="宋体" w:eastAsia="宋体" w:cs="宋体"/>
        </w:rPr>
        <w:t>支出</w:t>
      </w:r>
      <w:r>
        <w:rPr>
          <w:rFonts w:hint="eastAsia" w:ascii="宋体" w:hAnsi="宋体" w:eastAsia="宋体" w:cs="宋体"/>
          <w:lang w:val="en-US"/>
        </w:rPr>
        <w:t>决算</w:t>
      </w:r>
      <w:r>
        <w:rPr>
          <w:rFonts w:hint="eastAsia" w:ascii="宋体" w:hAnsi="宋体" w:eastAsia="宋体" w:cs="宋体"/>
        </w:rPr>
        <w:t>表</w:t>
      </w:r>
    </w:p>
    <w:p>
      <w:pPr>
        <w:pStyle w:val="5"/>
        <w:spacing w:before="186"/>
        <w:ind w:left="1856"/>
        <w:rPr>
          <w:rFonts w:hint="eastAsia" w:ascii="宋体" w:hAnsi="宋体" w:eastAsia="宋体" w:cs="宋体"/>
        </w:rPr>
      </w:pPr>
      <w:r>
        <w:rPr>
          <w:rFonts w:hint="eastAsia" w:ascii="宋体" w:hAnsi="宋体" w:eastAsia="宋体" w:cs="宋体"/>
          <w:lang w:val="en-US"/>
        </w:rPr>
        <w:t>八</w:t>
      </w:r>
      <w:r>
        <w:rPr>
          <w:rFonts w:hint="eastAsia" w:ascii="宋体" w:hAnsi="宋体" w:eastAsia="宋体" w:cs="宋体"/>
        </w:rPr>
        <w:t>、国有资本经营预算</w:t>
      </w:r>
      <w:r>
        <w:rPr>
          <w:rFonts w:hint="eastAsia" w:ascii="宋体" w:hAnsi="宋体" w:eastAsia="宋体" w:cs="宋体"/>
          <w:lang w:val="en-US"/>
        </w:rPr>
        <w:t>财政拨款</w:t>
      </w:r>
      <w:r>
        <w:rPr>
          <w:rFonts w:hint="eastAsia" w:ascii="宋体" w:hAnsi="宋体" w:eastAsia="宋体" w:cs="宋体"/>
        </w:rPr>
        <w:t>支出</w:t>
      </w:r>
      <w:r>
        <w:rPr>
          <w:rFonts w:hint="eastAsia" w:ascii="宋体" w:hAnsi="宋体" w:eastAsia="宋体" w:cs="宋体"/>
          <w:lang w:val="en-US"/>
        </w:rPr>
        <w:t>决算</w:t>
      </w:r>
      <w:r>
        <w:rPr>
          <w:rFonts w:hint="eastAsia" w:ascii="宋体" w:hAnsi="宋体" w:eastAsia="宋体" w:cs="宋体"/>
        </w:rPr>
        <w:t>表</w:t>
      </w:r>
    </w:p>
    <w:p>
      <w:pPr>
        <w:pStyle w:val="5"/>
        <w:spacing w:before="186"/>
        <w:ind w:left="1856"/>
        <w:rPr>
          <w:rFonts w:hint="eastAsia" w:ascii="宋体" w:hAnsi="宋体" w:eastAsia="宋体" w:cs="宋体"/>
          <w:lang w:val="en-US"/>
        </w:rPr>
      </w:pPr>
      <w:r>
        <w:rPr>
          <w:rFonts w:hint="eastAsia" w:ascii="宋体" w:hAnsi="宋体" w:eastAsia="宋体" w:cs="宋体"/>
          <w:lang w:val="en-US"/>
        </w:rPr>
        <w:t>九、</w:t>
      </w:r>
      <w:r>
        <w:rPr>
          <w:rFonts w:hint="eastAsia" w:ascii="宋体" w:hAnsi="宋体" w:eastAsia="宋体" w:cs="宋体"/>
        </w:rPr>
        <w:t>一般公共预算</w:t>
      </w:r>
      <w:r>
        <w:rPr>
          <w:rFonts w:hint="eastAsia" w:ascii="宋体" w:hAnsi="宋体" w:eastAsia="宋体" w:cs="宋体"/>
          <w:lang w:val="en-US"/>
        </w:rPr>
        <w:t>财政拨款“三公”经费支出决算表</w:t>
      </w:r>
    </w:p>
    <w:p>
      <w:pPr>
        <w:jc w:val="both"/>
        <w:rPr>
          <w:rFonts w:hint="eastAsia" w:ascii="宋体" w:hAnsi="宋体" w:eastAsia="宋体" w:cs="宋体"/>
          <w:sz w:val="36"/>
        </w:rPr>
      </w:pPr>
    </w:p>
    <w:p>
      <w:pPr>
        <w:numPr>
          <w:numId w:val="0"/>
        </w:numPr>
        <w:ind w:firstLine="1807" w:firstLineChars="500"/>
        <w:jc w:val="both"/>
        <w:rPr>
          <w:rFonts w:hint="eastAsia" w:ascii="宋体" w:hAnsi="宋体" w:eastAsia="宋体" w:cs="宋体"/>
          <w:b/>
          <w:bCs/>
          <w:sz w:val="36"/>
          <w:lang w:val="en-US"/>
        </w:rPr>
      </w:pPr>
      <w:r>
        <w:rPr>
          <w:rFonts w:hint="eastAsia" w:ascii="宋体" w:hAnsi="宋体" w:eastAsia="宋体" w:cs="宋体"/>
          <w:b/>
          <w:bCs/>
          <w:sz w:val="36"/>
        </w:rPr>
        <w:t>第</w:t>
      </w:r>
      <w:r>
        <w:rPr>
          <w:rFonts w:hint="eastAsia" w:cs="宋体"/>
          <w:b/>
          <w:bCs/>
          <w:sz w:val="36"/>
          <w:lang w:val="en-US" w:eastAsia="zh-CN"/>
        </w:rPr>
        <w:t>三</w:t>
      </w:r>
      <w:r>
        <w:rPr>
          <w:rFonts w:hint="eastAsia" w:ascii="宋体" w:hAnsi="宋体" w:eastAsia="宋体" w:cs="宋体"/>
          <w:b/>
          <w:bCs/>
          <w:sz w:val="36"/>
        </w:rPr>
        <w:t>部分</w:t>
      </w:r>
      <w:r>
        <w:rPr>
          <w:rFonts w:hint="eastAsia" w:ascii="宋体" w:hAnsi="宋体" w:eastAsia="宋体" w:cs="宋体"/>
          <w:b/>
          <w:bCs/>
          <w:sz w:val="36"/>
          <w:lang w:val="en-US"/>
        </w:rPr>
        <w:t xml:space="preserve"> </w:t>
      </w:r>
      <w:r>
        <w:rPr>
          <w:rFonts w:hint="eastAsia" w:cs="宋体"/>
          <w:b/>
          <w:bCs/>
          <w:sz w:val="36"/>
          <w:lang w:val="en-US" w:eastAsia="zh-CN"/>
        </w:rPr>
        <w:t xml:space="preserve"> </w:t>
      </w:r>
      <w:r>
        <w:rPr>
          <w:rFonts w:hint="eastAsia" w:ascii="宋体" w:hAnsi="宋体" w:eastAsia="宋体" w:cs="宋体"/>
          <w:b/>
          <w:bCs/>
          <w:sz w:val="36"/>
          <w:lang w:val="en-US" w:eastAsia="zh-CN"/>
        </w:rPr>
        <w:t>2023</w:t>
      </w:r>
      <w:r>
        <w:rPr>
          <w:rFonts w:hint="eastAsia" w:ascii="宋体" w:hAnsi="宋体" w:eastAsia="宋体" w:cs="宋体"/>
          <w:b/>
          <w:bCs/>
          <w:sz w:val="36"/>
          <w:lang w:val="en-US"/>
        </w:rPr>
        <w:t>年度部门决算情况说明</w:t>
      </w:r>
    </w:p>
    <w:p>
      <w:pPr>
        <w:pStyle w:val="5"/>
        <w:spacing w:before="186"/>
        <w:ind w:left="1856"/>
        <w:rPr>
          <w:rFonts w:hint="eastAsia" w:ascii="宋体" w:hAnsi="宋体" w:eastAsia="宋体" w:cs="宋体"/>
          <w:lang w:val="en-US"/>
        </w:rPr>
      </w:pPr>
      <w:r>
        <w:rPr>
          <w:rFonts w:hint="eastAsia" w:ascii="宋体" w:hAnsi="宋体" w:eastAsia="宋体" w:cs="宋体"/>
        </w:rPr>
        <w:t>一、</w:t>
      </w:r>
      <w:r>
        <w:rPr>
          <w:rFonts w:hint="eastAsia" w:ascii="宋体" w:hAnsi="宋体" w:eastAsia="宋体" w:cs="宋体"/>
          <w:lang w:val="en-US"/>
        </w:rPr>
        <w:t>收</w:t>
      </w:r>
      <w:r>
        <w:rPr>
          <w:rFonts w:hint="eastAsia" w:cs="宋体"/>
          <w:lang w:val="en-US" w:eastAsia="zh-CN"/>
        </w:rPr>
        <w:t>入</w:t>
      </w:r>
      <w:r>
        <w:rPr>
          <w:rFonts w:hint="eastAsia" w:ascii="宋体" w:hAnsi="宋体" w:eastAsia="宋体" w:cs="宋体"/>
          <w:lang w:val="en-US"/>
        </w:rPr>
        <w:t>支出决算总体情况说明</w:t>
      </w:r>
    </w:p>
    <w:p>
      <w:pPr>
        <w:pStyle w:val="5"/>
        <w:spacing w:before="186"/>
        <w:ind w:left="1856"/>
        <w:rPr>
          <w:rFonts w:hint="eastAsia" w:ascii="宋体" w:hAnsi="宋体" w:eastAsia="宋体" w:cs="宋体"/>
          <w:lang w:val="en-US"/>
        </w:rPr>
      </w:pPr>
      <w:r>
        <w:rPr>
          <w:rFonts w:hint="eastAsia" w:ascii="宋体" w:hAnsi="宋体" w:eastAsia="宋体" w:cs="宋体"/>
        </w:rPr>
        <w:t>二、收入</w:t>
      </w:r>
      <w:r>
        <w:rPr>
          <w:rFonts w:hint="eastAsia" w:ascii="宋体" w:hAnsi="宋体" w:eastAsia="宋体" w:cs="宋体"/>
          <w:lang w:val="en-US"/>
        </w:rPr>
        <w:t>决算情况说明</w:t>
      </w:r>
    </w:p>
    <w:p>
      <w:pPr>
        <w:pStyle w:val="5"/>
        <w:spacing w:before="186"/>
        <w:ind w:left="1856"/>
        <w:rPr>
          <w:rFonts w:hint="eastAsia" w:ascii="宋体" w:hAnsi="宋体" w:eastAsia="宋体" w:cs="宋体"/>
          <w:lang w:val="en-US"/>
        </w:rPr>
      </w:pPr>
      <w:r>
        <w:rPr>
          <w:rFonts w:hint="eastAsia" w:ascii="宋体" w:hAnsi="宋体" w:eastAsia="宋体" w:cs="宋体"/>
        </w:rPr>
        <w:t>三、支出</w:t>
      </w:r>
      <w:r>
        <w:rPr>
          <w:rFonts w:hint="eastAsia" w:ascii="宋体" w:hAnsi="宋体" w:eastAsia="宋体" w:cs="宋体"/>
          <w:lang w:val="en-US"/>
        </w:rPr>
        <w:t>决算情况说明</w:t>
      </w:r>
    </w:p>
    <w:p>
      <w:pPr>
        <w:pStyle w:val="5"/>
        <w:spacing w:before="186"/>
        <w:ind w:left="1856"/>
        <w:rPr>
          <w:rFonts w:hint="eastAsia" w:ascii="宋体" w:hAnsi="宋体" w:eastAsia="宋体" w:cs="宋体"/>
          <w:lang w:val="en-US"/>
        </w:rPr>
      </w:pPr>
      <w:r>
        <w:rPr>
          <w:rFonts w:hint="eastAsia" w:ascii="宋体" w:hAnsi="宋体" w:eastAsia="宋体" w:cs="宋体"/>
        </w:rPr>
        <w:t>四、财政拨款</w:t>
      </w:r>
      <w:r>
        <w:rPr>
          <w:rFonts w:hint="eastAsia" w:ascii="宋体" w:hAnsi="宋体" w:eastAsia="宋体" w:cs="宋体"/>
          <w:lang w:val="en-US"/>
        </w:rPr>
        <w:t>收</w:t>
      </w:r>
      <w:r>
        <w:rPr>
          <w:rFonts w:hint="eastAsia" w:cs="宋体"/>
          <w:lang w:val="en-US" w:eastAsia="zh-CN"/>
        </w:rPr>
        <w:t>入</w:t>
      </w:r>
      <w:r>
        <w:rPr>
          <w:rFonts w:hint="eastAsia" w:ascii="宋体" w:hAnsi="宋体" w:eastAsia="宋体" w:cs="宋体"/>
          <w:lang w:val="en-US"/>
        </w:rPr>
        <w:t>支出决算总体情况说明</w:t>
      </w:r>
    </w:p>
    <w:p>
      <w:pPr>
        <w:pStyle w:val="5"/>
        <w:spacing w:before="186"/>
        <w:ind w:left="1856"/>
        <w:rPr>
          <w:rFonts w:hint="eastAsia" w:ascii="宋体" w:hAnsi="宋体" w:eastAsia="宋体" w:cs="宋体"/>
          <w:lang w:val="en-US"/>
        </w:rPr>
      </w:pPr>
      <w:r>
        <w:rPr>
          <w:rFonts w:hint="eastAsia" w:ascii="宋体" w:hAnsi="宋体" w:eastAsia="宋体" w:cs="宋体"/>
        </w:rPr>
        <w:t>五、一般公共预算</w:t>
      </w:r>
      <w:r>
        <w:rPr>
          <w:rFonts w:hint="eastAsia" w:ascii="宋体" w:hAnsi="宋体" w:eastAsia="宋体" w:cs="宋体"/>
          <w:lang w:val="en-US"/>
        </w:rPr>
        <w:t>财政拨款</w:t>
      </w:r>
      <w:r>
        <w:rPr>
          <w:rFonts w:hint="eastAsia" w:ascii="宋体" w:hAnsi="宋体" w:eastAsia="宋体" w:cs="宋体"/>
        </w:rPr>
        <w:t>支出</w:t>
      </w:r>
      <w:r>
        <w:rPr>
          <w:rFonts w:hint="eastAsia" w:ascii="宋体" w:hAnsi="宋体" w:eastAsia="宋体" w:cs="宋体"/>
          <w:lang w:val="en-US"/>
        </w:rPr>
        <w:t>决算情况说明</w:t>
      </w:r>
    </w:p>
    <w:p>
      <w:pPr>
        <w:pStyle w:val="5"/>
        <w:spacing w:before="186"/>
        <w:ind w:left="1856"/>
        <w:rPr>
          <w:rFonts w:hint="eastAsia" w:ascii="宋体" w:hAnsi="宋体" w:eastAsia="宋体" w:cs="宋体"/>
        </w:rPr>
      </w:pPr>
      <w:r>
        <w:rPr>
          <w:rFonts w:hint="eastAsia" w:ascii="宋体" w:hAnsi="宋体" w:eastAsia="宋体" w:cs="宋体"/>
        </w:rPr>
        <w:t>六、一般公共预算</w:t>
      </w:r>
      <w:r>
        <w:rPr>
          <w:rFonts w:hint="eastAsia" w:ascii="宋体" w:hAnsi="宋体" w:eastAsia="宋体" w:cs="宋体"/>
          <w:lang w:val="en-US"/>
        </w:rPr>
        <w:t>财政拨款</w:t>
      </w:r>
      <w:r>
        <w:rPr>
          <w:rFonts w:hint="eastAsia" w:ascii="宋体" w:hAnsi="宋体" w:eastAsia="宋体" w:cs="宋体"/>
        </w:rPr>
        <w:t>基本支出</w:t>
      </w:r>
      <w:r>
        <w:rPr>
          <w:rFonts w:hint="eastAsia" w:ascii="宋体" w:hAnsi="宋体" w:eastAsia="宋体" w:cs="宋体"/>
          <w:lang w:val="en-US"/>
        </w:rPr>
        <w:t>决算情况说明</w:t>
      </w:r>
    </w:p>
    <w:p>
      <w:pPr>
        <w:pStyle w:val="5"/>
        <w:spacing w:before="186"/>
        <w:ind w:left="1856"/>
        <w:rPr>
          <w:rFonts w:hint="eastAsia" w:ascii="宋体" w:hAnsi="宋体" w:eastAsia="宋体" w:cs="宋体"/>
          <w:lang w:val="en-US"/>
        </w:rPr>
      </w:pPr>
      <w:r>
        <w:rPr>
          <w:rFonts w:hint="eastAsia" w:ascii="宋体" w:hAnsi="宋体" w:eastAsia="宋体" w:cs="宋体"/>
          <w:lang w:val="en-US"/>
        </w:rPr>
        <w:t>七</w:t>
      </w:r>
      <w:r>
        <w:rPr>
          <w:rFonts w:hint="eastAsia" w:ascii="宋体" w:hAnsi="宋体" w:eastAsia="宋体" w:cs="宋体"/>
        </w:rPr>
        <w:t>、一般公共预算</w:t>
      </w:r>
      <w:r>
        <w:rPr>
          <w:rFonts w:hint="eastAsia" w:ascii="宋体" w:hAnsi="宋体" w:eastAsia="宋体" w:cs="宋体"/>
          <w:lang w:val="en-US"/>
        </w:rPr>
        <w:t>财政拨款“三公”经费支出决算情况说明</w:t>
      </w:r>
    </w:p>
    <w:p>
      <w:pPr>
        <w:pStyle w:val="5"/>
        <w:spacing w:before="186"/>
        <w:ind w:left="1856"/>
        <w:rPr>
          <w:rFonts w:hint="eastAsia" w:ascii="宋体" w:hAnsi="宋体" w:eastAsia="宋体" w:cs="宋体"/>
          <w:lang w:val="en-US"/>
        </w:rPr>
      </w:pPr>
      <w:r>
        <w:rPr>
          <w:rFonts w:hint="eastAsia" w:ascii="宋体" w:hAnsi="宋体" w:eastAsia="宋体" w:cs="宋体"/>
          <w:lang w:val="en-US"/>
        </w:rPr>
        <w:t>八</w:t>
      </w:r>
      <w:r>
        <w:rPr>
          <w:rFonts w:hint="eastAsia" w:ascii="宋体" w:hAnsi="宋体" w:eastAsia="宋体" w:cs="宋体"/>
        </w:rPr>
        <w:t>、</w:t>
      </w:r>
      <w:r>
        <w:rPr>
          <w:rFonts w:hint="eastAsia" w:ascii="宋体" w:hAnsi="宋体" w:eastAsia="宋体" w:cs="宋体"/>
          <w:lang w:val="en-US"/>
        </w:rPr>
        <w:t>机关运行经费支出说明</w:t>
      </w:r>
    </w:p>
    <w:p>
      <w:pPr>
        <w:pStyle w:val="5"/>
        <w:spacing w:before="186"/>
        <w:ind w:left="1856"/>
        <w:rPr>
          <w:rFonts w:hint="eastAsia" w:ascii="宋体" w:hAnsi="宋体" w:eastAsia="宋体" w:cs="宋体"/>
          <w:lang w:val="en-US"/>
        </w:rPr>
      </w:pPr>
      <w:r>
        <w:rPr>
          <w:rFonts w:hint="eastAsia" w:ascii="宋体" w:hAnsi="宋体" w:eastAsia="宋体" w:cs="宋体"/>
          <w:lang w:val="en-US"/>
        </w:rPr>
        <w:t>九、政府采购支出说明</w:t>
      </w:r>
    </w:p>
    <w:p>
      <w:pPr>
        <w:pStyle w:val="5"/>
        <w:spacing w:before="186"/>
        <w:ind w:left="1856"/>
        <w:rPr>
          <w:rFonts w:hint="eastAsia" w:ascii="宋体" w:hAnsi="宋体" w:eastAsia="宋体" w:cs="宋体"/>
          <w:lang w:val="en-US"/>
        </w:rPr>
      </w:pPr>
      <w:r>
        <w:rPr>
          <w:rFonts w:hint="eastAsia" w:ascii="宋体" w:hAnsi="宋体" w:eastAsia="宋体" w:cs="宋体"/>
          <w:lang w:val="en-US"/>
        </w:rPr>
        <w:t>十、国有资产占用情况说明</w:t>
      </w:r>
    </w:p>
    <w:p>
      <w:pPr>
        <w:pStyle w:val="5"/>
        <w:spacing w:before="186"/>
        <w:ind w:left="1856"/>
        <w:rPr>
          <w:rFonts w:hint="eastAsia" w:ascii="宋体" w:hAnsi="宋体" w:eastAsia="宋体" w:cs="宋体"/>
          <w:lang w:val="en-US"/>
        </w:rPr>
      </w:pPr>
      <w:r>
        <w:rPr>
          <w:rFonts w:hint="eastAsia" w:ascii="宋体" w:hAnsi="宋体" w:eastAsia="宋体" w:cs="宋体"/>
          <w:lang w:val="en-US"/>
        </w:rPr>
        <w:t>十一、预算绩效情况说明</w:t>
      </w:r>
    </w:p>
    <w:p>
      <w:pPr>
        <w:pStyle w:val="2"/>
        <w:spacing w:line="240" w:lineRule="auto"/>
        <w:ind w:firstLine="0" w:firstLineChars="0"/>
        <w:rPr>
          <w:rFonts w:hint="eastAsia" w:ascii="宋体" w:hAnsi="宋体" w:eastAsia="宋体" w:cs="宋体"/>
          <w:b/>
          <w:bCs/>
          <w:sz w:val="36"/>
          <w:szCs w:val="36"/>
          <w:lang w:val="en-US"/>
        </w:rPr>
      </w:pPr>
    </w:p>
    <w:p>
      <w:pPr>
        <w:ind w:left="1938"/>
        <w:jc w:val="both"/>
        <w:rPr>
          <w:rFonts w:hint="eastAsia" w:ascii="宋体" w:hAnsi="宋体" w:eastAsia="宋体" w:cs="宋体"/>
          <w:b/>
          <w:bCs/>
          <w:sz w:val="36"/>
          <w:szCs w:val="36"/>
          <w:lang w:val="en-US"/>
        </w:rPr>
      </w:pPr>
      <w:r>
        <w:rPr>
          <w:rFonts w:hint="eastAsia" w:ascii="宋体" w:hAnsi="宋体" w:eastAsia="宋体" w:cs="宋体"/>
          <w:b/>
          <w:bCs/>
          <w:sz w:val="36"/>
          <w:szCs w:val="36"/>
        </w:rPr>
        <w:t>第四部</w:t>
      </w:r>
      <w:r>
        <w:rPr>
          <w:rFonts w:hint="eastAsia" w:cs="宋体"/>
          <w:b/>
          <w:bCs/>
          <w:sz w:val="36"/>
          <w:szCs w:val="36"/>
          <w:lang w:val="en-US" w:eastAsia="zh-CN"/>
        </w:rPr>
        <w:t xml:space="preserve">  </w:t>
      </w:r>
      <w:r>
        <w:rPr>
          <w:rFonts w:hint="eastAsia" w:ascii="宋体" w:hAnsi="宋体" w:eastAsia="宋体" w:cs="宋体"/>
          <w:b/>
          <w:bCs/>
          <w:sz w:val="36"/>
          <w:szCs w:val="36"/>
        </w:rPr>
        <w:t>分名词解释</w:t>
      </w:r>
    </w:p>
    <w:p>
      <w:pPr>
        <w:ind w:left="1938"/>
        <w:jc w:val="both"/>
        <w:rPr>
          <w:rFonts w:hint="eastAsia" w:ascii="宋体" w:hAnsi="宋体" w:eastAsia="宋体" w:cs="宋体"/>
          <w:b/>
          <w:bCs/>
          <w:sz w:val="36"/>
          <w:szCs w:val="36"/>
        </w:rPr>
      </w:pPr>
    </w:p>
    <w:p>
      <w:pPr>
        <w:pStyle w:val="2"/>
        <w:ind w:firstLine="0" w:firstLineChars="0"/>
        <w:rPr>
          <w:rFonts w:hint="eastAsia" w:ascii="宋体" w:hAnsi="宋体" w:eastAsia="宋体" w:cs="宋体"/>
        </w:rPr>
        <w:sectPr>
          <w:footerReference r:id="rId9" w:type="default"/>
          <w:pgSz w:w="11910" w:h="16840"/>
          <w:pgMar w:top="1520" w:right="80" w:bottom="1180" w:left="200" w:header="680" w:footer="850" w:gutter="0"/>
          <w:pgNumType w:start="1"/>
          <w:cols w:space="720" w:num="1"/>
        </w:sectPr>
      </w:pPr>
    </w:p>
    <w:p>
      <w:pPr>
        <w:pStyle w:val="5"/>
        <w:rPr>
          <w:rFonts w:hint="eastAsia" w:ascii="宋体" w:hAnsi="宋体" w:eastAsia="宋体" w:cs="宋体"/>
          <w:sz w:val="20"/>
        </w:rPr>
      </w:pPr>
      <w:r>
        <w:rPr>
          <w:rFonts w:hint="eastAsia" w:ascii="宋体" w:hAnsi="宋体" w:eastAsia="宋体" w:cs="宋体"/>
        </w:rPr>
        <mc:AlternateContent>
          <mc:Choice Requires="wpg">
            <w:drawing>
              <wp:anchor distT="0" distB="0" distL="114300" distR="114300" simplePos="0" relativeHeight="251659264" behindDoc="1" locked="0" layoutInCell="1" allowOverlap="1">
                <wp:simplePos x="0" y="0"/>
                <wp:positionH relativeFrom="page">
                  <wp:posOffset>17780</wp:posOffset>
                </wp:positionH>
                <wp:positionV relativeFrom="page">
                  <wp:posOffset>8890</wp:posOffset>
                </wp:positionV>
                <wp:extent cx="7574915" cy="10683240"/>
                <wp:effectExtent l="0" t="0" r="0" b="0"/>
                <wp:wrapNone/>
                <wp:docPr id="7" name="组合 23"/>
                <wp:cNvGraphicFramePr/>
                <a:graphic xmlns:a="http://schemas.openxmlformats.org/drawingml/2006/main">
                  <a:graphicData uri="http://schemas.microsoft.com/office/word/2010/wordprocessingGroup">
                    <wpg:wgp>
                      <wpg:cNvGrpSpPr/>
                      <wpg:grpSpPr>
                        <a:xfrm>
                          <a:off x="0" y="0"/>
                          <a:ext cx="7574915" cy="10683240"/>
                          <a:chOff x="0" y="14"/>
                          <a:chExt cx="11389" cy="0"/>
                        </a:xfrm>
                      </wpg:grpSpPr>
                      <wps:wsp>
                        <wps:cNvPr id="2" name="自选图形 2"/>
                        <wps:cNvSpPr/>
                        <wps:spPr>
                          <a:xfrm>
                            <a:off x="3374" y="14"/>
                            <a:ext cx="2" cy="16824"/>
                          </a:xfrm>
                          <a:custGeom>
                            <a:avLst/>
                            <a:gdLst>
                              <a:gd name="A1" fmla="val 0"/>
                              <a:gd name="A2" fmla="val 0"/>
                              <a:gd name="A3" fmla="val 0"/>
                            </a:gdLst>
                            <a:ahLst/>
                            <a:cxnLst/>
                            <a:pathLst>
                              <a:path w="1" h="16824">
                                <a:moveTo>
                                  <a:pt x="0" y="0"/>
                                </a:moveTo>
                                <a:lnTo>
                                  <a:pt x="0" y="6344"/>
                                </a:lnTo>
                                <a:moveTo>
                                  <a:pt x="0" y="9932"/>
                                </a:moveTo>
                                <a:lnTo>
                                  <a:pt x="0" y="16824"/>
                                </a:lnTo>
                              </a:path>
                            </a:pathLst>
                          </a:custGeom>
                          <a:solidFill>
                            <a:srgbClr val="0070C0"/>
                          </a:solidFill>
                          <a:ln w="13957" cap="flat" cmpd="sng">
                            <a:solidFill>
                              <a:srgbClr val="CCCC00"/>
                            </a:solidFill>
                            <a:prstDash val="solid"/>
                            <a:round/>
                            <a:headEnd type="none" w="med" len="med"/>
                            <a:tailEnd type="none" w="med" len="med"/>
                          </a:ln>
                        </wps:spPr>
                        <wps:bodyPr upright="1"/>
                      </wps:wsp>
                      <wps:wsp>
                        <wps:cNvPr id="3" name="自选图形 27"/>
                        <wps:cNvSpPr/>
                        <wps:spPr>
                          <a:xfrm>
                            <a:off x="3218" y="14"/>
                            <a:ext cx="420" cy="16824"/>
                          </a:xfrm>
                          <a:custGeom>
                            <a:avLst/>
                            <a:gdLst>
                              <a:gd name="A1" fmla="val 0"/>
                              <a:gd name="A2" fmla="val 0"/>
                              <a:gd name="A3" fmla="val 0"/>
                            </a:gdLst>
                            <a:ahLst/>
                            <a:cxnLst/>
                            <a:pathLst>
                              <a:path w="420" h="16824">
                                <a:moveTo>
                                  <a:pt x="420" y="0"/>
                                </a:moveTo>
                                <a:lnTo>
                                  <a:pt x="420" y="6344"/>
                                </a:lnTo>
                                <a:moveTo>
                                  <a:pt x="420" y="9932"/>
                                </a:moveTo>
                                <a:lnTo>
                                  <a:pt x="420" y="16824"/>
                                </a:lnTo>
                                <a:moveTo>
                                  <a:pt x="0" y="0"/>
                                </a:moveTo>
                                <a:lnTo>
                                  <a:pt x="0" y="6344"/>
                                </a:lnTo>
                                <a:moveTo>
                                  <a:pt x="0" y="9932"/>
                                </a:moveTo>
                                <a:lnTo>
                                  <a:pt x="0" y="16824"/>
                                </a:lnTo>
                              </a:path>
                            </a:pathLst>
                          </a:custGeom>
                          <a:solidFill>
                            <a:srgbClr val="0070C0"/>
                          </a:solidFill>
                          <a:ln w="13957" cap="flat" cmpd="sng">
                            <a:solidFill>
                              <a:srgbClr val="CCCC00"/>
                            </a:solidFill>
                            <a:prstDash val="solid"/>
                            <a:round/>
                            <a:headEnd type="none" w="med" len="med"/>
                            <a:tailEnd type="none" w="med" len="med"/>
                          </a:ln>
                        </wps:spPr>
                        <wps:bodyPr upright="1"/>
                      </wps:wsp>
                      <wps:wsp>
                        <wps:cNvPr id="4" name="自选图形 26"/>
                        <wps:cNvSpPr/>
                        <wps:spPr>
                          <a:xfrm>
                            <a:off x="3498" y="14"/>
                            <a:ext cx="2" cy="16824"/>
                          </a:xfrm>
                          <a:custGeom>
                            <a:avLst/>
                            <a:gdLst>
                              <a:gd name="A1" fmla="val 0"/>
                              <a:gd name="A2" fmla="val 0"/>
                              <a:gd name="A3" fmla="val 0"/>
                            </a:gdLst>
                            <a:ahLst/>
                            <a:cxnLst/>
                            <a:pathLst>
                              <a:path w="1" h="16824">
                                <a:moveTo>
                                  <a:pt x="0" y="0"/>
                                </a:moveTo>
                                <a:lnTo>
                                  <a:pt x="0" y="6344"/>
                                </a:lnTo>
                                <a:moveTo>
                                  <a:pt x="0" y="9932"/>
                                </a:moveTo>
                                <a:lnTo>
                                  <a:pt x="0" y="16824"/>
                                </a:lnTo>
                              </a:path>
                            </a:pathLst>
                          </a:custGeom>
                          <a:solidFill>
                            <a:srgbClr val="0070C0"/>
                          </a:solidFill>
                          <a:ln w="13328" cap="flat" cmpd="sng">
                            <a:solidFill>
                              <a:srgbClr val="CCCC00"/>
                            </a:solidFill>
                            <a:prstDash val="solid"/>
                            <a:round/>
                            <a:headEnd type="none" w="med" len="med"/>
                            <a:tailEnd type="none" w="med" len="med"/>
                          </a:ln>
                        </wps:spPr>
                        <wps:bodyPr upright="1"/>
                      </wps:wsp>
                      <wps:wsp>
                        <wps:cNvPr id="5" name="矩形 25"/>
                        <wps:cNvSpPr/>
                        <wps:spPr>
                          <a:xfrm>
                            <a:off x="0" y="6357"/>
                            <a:ext cx="11381" cy="3588"/>
                          </a:xfrm>
                          <a:prstGeom prst="rect">
                            <a:avLst/>
                          </a:prstGeom>
                          <a:solidFill>
                            <a:srgbClr val="0070C0"/>
                          </a:solidFill>
                          <a:ln>
                            <a:noFill/>
                          </a:ln>
                        </wps:spPr>
                        <wps:bodyPr upright="1"/>
                      </wps:wsp>
                      <wps:wsp>
                        <wps:cNvPr id="6" name="自选图形 24"/>
                        <wps:cNvSpPr/>
                        <wps:spPr>
                          <a:xfrm>
                            <a:off x="0" y="6350"/>
                            <a:ext cx="11389" cy="3603"/>
                          </a:xfrm>
                          <a:custGeom>
                            <a:avLst/>
                            <a:gdLst>
                              <a:gd name="A1" fmla="val 0"/>
                              <a:gd name="A2" fmla="val 0"/>
                              <a:gd name="A3" fmla="val 0"/>
                            </a:gdLst>
                            <a:ahLst/>
                            <a:cxnLst/>
                            <a:pathLst>
                              <a:path w="11389" h="3603">
                                <a:moveTo>
                                  <a:pt x="11374" y="15"/>
                                </a:moveTo>
                                <a:lnTo>
                                  <a:pt x="0" y="15"/>
                                </a:lnTo>
                                <a:lnTo>
                                  <a:pt x="0" y="0"/>
                                </a:lnTo>
                                <a:lnTo>
                                  <a:pt x="11389" y="0"/>
                                </a:lnTo>
                                <a:lnTo>
                                  <a:pt x="11389" y="7"/>
                                </a:lnTo>
                                <a:lnTo>
                                  <a:pt x="11374" y="7"/>
                                </a:lnTo>
                                <a:lnTo>
                                  <a:pt x="11374" y="15"/>
                                </a:lnTo>
                                <a:close/>
                                <a:moveTo>
                                  <a:pt x="11374" y="3595"/>
                                </a:moveTo>
                                <a:lnTo>
                                  <a:pt x="11374" y="7"/>
                                </a:lnTo>
                                <a:lnTo>
                                  <a:pt x="11381" y="15"/>
                                </a:lnTo>
                                <a:lnTo>
                                  <a:pt x="11389" y="15"/>
                                </a:lnTo>
                                <a:lnTo>
                                  <a:pt x="11389" y="3588"/>
                                </a:lnTo>
                                <a:lnTo>
                                  <a:pt x="11381" y="3588"/>
                                </a:lnTo>
                                <a:lnTo>
                                  <a:pt x="11374" y="3595"/>
                                </a:lnTo>
                                <a:close/>
                                <a:moveTo>
                                  <a:pt x="11389" y="15"/>
                                </a:moveTo>
                                <a:lnTo>
                                  <a:pt x="11381" y="15"/>
                                </a:lnTo>
                                <a:lnTo>
                                  <a:pt x="11374" y="7"/>
                                </a:lnTo>
                                <a:lnTo>
                                  <a:pt x="11389" y="7"/>
                                </a:lnTo>
                                <a:lnTo>
                                  <a:pt x="11389" y="15"/>
                                </a:lnTo>
                                <a:close/>
                                <a:moveTo>
                                  <a:pt x="11389" y="3603"/>
                                </a:moveTo>
                                <a:lnTo>
                                  <a:pt x="0" y="3603"/>
                                </a:lnTo>
                                <a:lnTo>
                                  <a:pt x="0" y="3588"/>
                                </a:lnTo>
                                <a:lnTo>
                                  <a:pt x="11374" y="3588"/>
                                </a:lnTo>
                                <a:lnTo>
                                  <a:pt x="11374" y="3595"/>
                                </a:lnTo>
                                <a:lnTo>
                                  <a:pt x="11389" y="3595"/>
                                </a:lnTo>
                                <a:lnTo>
                                  <a:pt x="11389" y="3603"/>
                                </a:lnTo>
                                <a:close/>
                                <a:moveTo>
                                  <a:pt x="11389" y="3595"/>
                                </a:moveTo>
                                <a:lnTo>
                                  <a:pt x="11374" y="3595"/>
                                </a:lnTo>
                                <a:lnTo>
                                  <a:pt x="11381" y="3588"/>
                                </a:lnTo>
                                <a:lnTo>
                                  <a:pt x="11389" y="3588"/>
                                </a:lnTo>
                                <a:lnTo>
                                  <a:pt x="11389" y="3595"/>
                                </a:lnTo>
                                <a:close/>
                              </a:path>
                            </a:pathLst>
                          </a:custGeom>
                          <a:solidFill>
                            <a:srgbClr val="0070C0"/>
                          </a:solidFill>
                          <a:ln>
                            <a:noFill/>
                          </a:ln>
                        </wps:spPr>
                        <wps:bodyPr upright="1"/>
                      </wps:wsp>
                    </wpg:wgp>
                  </a:graphicData>
                </a:graphic>
              </wp:anchor>
            </w:drawing>
          </mc:Choice>
          <mc:Fallback>
            <w:pict>
              <v:group id="组合 23" o:spid="_x0000_s1026" o:spt="203" style="position:absolute;left:0pt;margin-left:1.4pt;margin-top:0.7pt;height:841.2pt;width:596.45pt;mso-position-horizontal-relative:page;mso-position-vertical-relative:page;z-index:-251657216;mso-width-relative:page;mso-height-relative:page;" coordorigin="0,14" coordsize="11389,0" o:gfxdata="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AE&#10;/fzH1wAAAAkBAAAPAAAAAAAAAAEAIAAAACIAAABkcnMvZG93bnJldi54bWxQSwECFAAUAAAACACH&#10;TuJAHCv1LNEEAAB1FwAADgAAAAAAAAABACAAAAAmAQAAZHJzL2Uyb0RvYy54bWxQSwUGAAAAAAYA&#10;BgBZAQAAaQgAAAAA&#10;">
                <o:lock v:ext="edit" aspectratio="f"/>
                <v:shape id="自选图形 2" o:spid="_x0000_s1026" o:spt="100" style="position:absolute;left:3374;top:14;height:16824;width:2;" fillcolor="#0070C0" filled="t" stroked="t" coordsize="1,16824" o:gfxdata="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JYpW8AAAA&#10;2gAAAA8AAAAAAAAAAQAgAAAAIgAAAGRycy9kb3ducmV2LnhtbFBLAQIUABQAAAAIAIdO4kAzLwWe&#10;OwAAADkAAAAQAAAAAAAAAAEAIAAAAAsBAABkcnMvc2hhcGV4bWwueG1sUEsFBgAAAAAGAAYAWwEA&#10;ALUDAAAAAA==&#10;" path="m0,0l0,6344m0,9932l0,16824e">
                  <v:fill on="t" focussize="0,0"/>
                  <v:stroke weight="1.09897637795276pt" color="#CCCC00" joinstyle="round"/>
                  <v:imagedata o:title=""/>
                  <o:lock v:ext="edit" aspectratio="f"/>
                </v:shape>
                <v:shape id="自选图形 27" o:spid="_x0000_s1026" o:spt="100" style="position:absolute;left:3218;top:14;height:16824;width:420;" fillcolor="#0070C0" filled="t" stroked="t" coordsize="420,16824" o:gfxdata="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yzk74A&#10;AADaAAAADwAAAAAAAAABACAAAAAiAAAAZHJzL2Rvd25yZXYueG1sUEsBAhQAFAAAAAgAh07iQDMv&#10;BZ47AAAAOQAAABAAAAAAAAAAAQAgAAAADQEAAGRycy9zaGFwZXhtbC54bWxQSwUGAAAAAAYABgBb&#10;AQAAtwMAAAAA&#10;" path="m420,0l420,6344m420,9932l420,16824m0,0l0,6344m0,9932l0,16824e">
                  <v:fill on="t" focussize="0,0"/>
                  <v:stroke weight="1.09897637795276pt" color="#CCCC00" joinstyle="round"/>
                  <v:imagedata o:title=""/>
                  <o:lock v:ext="edit" aspectratio="f"/>
                </v:shape>
                <v:shape id="自选图形 26" o:spid="_x0000_s1026" o:spt="100" style="position:absolute;left:3498;top:14;height:16824;width:2;" fillcolor="#0070C0" filled="t" stroked="t" coordsize="1,16824" o:gfxdata="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7nVCugAAANoA&#10;AAAPAAAAAAAAAAEAIAAAACIAAABkcnMvZG93bnJldi54bWxQSwECFAAUAAAACACHTuJAMy8FnjsA&#10;AAA5AAAAEAAAAAAAAAABACAAAAAJAQAAZHJzL3NoYXBleG1sLnhtbFBLBQYAAAAABgAGAFsBAACz&#10;AwAAAAA=&#10;" path="m0,0l0,6344m0,9932l0,16824e">
                  <v:fill on="t" focussize="0,0"/>
                  <v:stroke weight="1.04944881889764pt" color="#CCCC00" joinstyle="round"/>
                  <v:imagedata o:title=""/>
                  <o:lock v:ext="edit" aspectratio="f"/>
                </v:shape>
                <v:rect id="矩形 25" o:spid="_x0000_s1026" o:spt="1" style="position:absolute;left:0;top:6357;height:3588;width:11381;" fillcolor="#0070C0" filled="t" stroked="f" coordsize="21600,21600" o:gfxdata="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ZsDu8AAAA&#10;2gAAAA8AAAAAAAAAAQAgAAAAIgAAAGRycy9kb3ducmV2LnhtbFBLAQIUABQAAAAIAIdO4kAzLwWe&#10;OwAAADkAAAAQAAAAAAAAAAEAIAAAAAsBAABkcnMvc2hhcGV4bWwueG1sUEsFBgAAAAAGAAYAWwEA&#10;ALUDAAAAAA==&#10;">
                  <v:fill on="t" focussize="0,0"/>
                  <v:stroke on="f"/>
                  <v:imagedata o:title=""/>
                  <o:lock v:ext="edit" aspectratio="f"/>
                </v:rect>
                <v:shape id="自选图形 24" o:spid="_x0000_s1026" o:spt="100" style="position:absolute;left:0;top:6350;height:3603;width:11389;" fillcolor="#0070C0" filled="t" stroked="f" coordsize="11389,3603" o:gfxdata="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X85zvQAA&#10;ANoAAAAPAAAAAAAAAAEAIAAAACIAAABkcnMvZG93bnJldi54bWxQSwECFAAUAAAACACHTuJAMy8F&#10;njsAAAA5AAAAEAAAAAAAAAABACAAAAAMAQAAZHJzL3NoYXBleG1sLnhtbFBLBQYAAAAABgAGAFsB&#10;AAC2AwAAAAA=&#10;" path="m11374,15l0,15,0,0,11389,0,11389,7,11374,7,11374,15xm11374,3595l11374,7,11381,15,11389,15,11389,3588,11381,3588,11374,3595xm11389,15l11381,15,11374,7,11389,7,11389,15xm11389,3603l0,3603,0,3588,11374,3588,11374,3595,11389,3595,11389,3603xm11389,3595l11374,3595,11381,3588,11389,3588,11389,3595xe">
                  <v:fill on="t" focussize="0,0"/>
                  <v:stroke on="f"/>
                  <v:imagedata o:title=""/>
                  <o:lock v:ext="edit" aspectratio="f"/>
                </v:shape>
              </v:group>
            </w:pict>
          </mc:Fallback>
        </mc:AlternateContent>
      </w: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spacing w:before="5"/>
        <w:rPr>
          <w:rFonts w:hint="eastAsia" w:ascii="宋体" w:hAnsi="宋体" w:eastAsia="宋体" w:cs="宋体"/>
          <w:sz w:val="29"/>
        </w:rPr>
      </w:pPr>
    </w:p>
    <w:p>
      <w:pPr>
        <w:pStyle w:val="3"/>
        <w:spacing w:before="28"/>
        <w:ind w:left="620" w:firstLine="522" w:firstLineChars="100"/>
        <w:rPr>
          <w:rFonts w:hint="eastAsia" w:ascii="宋体" w:hAnsi="宋体" w:eastAsia="宋体" w:cs="宋体"/>
        </w:rPr>
      </w:pPr>
      <w:r>
        <w:rPr>
          <w:rFonts w:hint="eastAsia" w:ascii="宋体" w:hAnsi="宋体" w:eastAsia="宋体" w:cs="宋体"/>
        </w:rPr>
        <w:t>第一部</w:t>
      </w:r>
      <w:r>
        <w:rPr>
          <w:rFonts w:hint="eastAsia" w:ascii="宋体" w:hAnsi="宋体" w:eastAsia="宋体" w:cs="宋体"/>
          <w:b/>
          <w:bCs/>
        </w:rPr>
        <w:t>分</w:t>
      </w:r>
      <w:r>
        <w:rPr>
          <w:rFonts w:hint="eastAsia" w:ascii="宋体" w:hAnsi="宋体" w:eastAsia="宋体" w:cs="宋体"/>
          <w:b/>
          <w:bCs/>
          <w:lang w:val="en-US"/>
        </w:rPr>
        <w:t>益阳市资</w:t>
      </w:r>
      <w:r>
        <w:rPr>
          <w:rFonts w:hint="eastAsia" w:ascii="宋体" w:hAnsi="宋体" w:eastAsia="宋体" w:cs="宋体"/>
          <w:lang w:val="en-US"/>
        </w:rPr>
        <w:t>阳区</w:t>
      </w:r>
      <w:r>
        <w:rPr>
          <w:rFonts w:hint="eastAsia" w:ascii="宋体" w:hAnsi="宋体" w:eastAsia="宋体" w:cs="宋体"/>
        </w:rPr>
        <w:t>消防救援</w:t>
      </w:r>
      <w:r>
        <w:rPr>
          <w:rFonts w:hint="eastAsia" w:ascii="宋体" w:hAnsi="宋体" w:eastAsia="宋体" w:cs="宋体"/>
          <w:lang w:val="en-US"/>
        </w:rPr>
        <w:t>大</w:t>
      </w:r>
      <w:r>
        <w:rPr>
          <w:rFonts w:hint="eastAsia" w:ascii="宋体" w:hAnsi="宋体" w:eastAsia="宋体" w:cs="宋体"/>
        </w:rPr>
        <w:t>队概况</w:t>
      </w:r>
    </w:p>
    <w:p>
      <w:pPr>
        <w:rPr>
          <w:rFonts w:hint="eastAsia" w:ascii="宋体" w:hAnsi="宋体" w:eastAsia="宋体" w:cs="宋体"/>
          <w:sz w:val="52"/>
        </w:rPr>
        <w:sectPr>
          <w:footerReference r:id="rId10" w:type="default"/>
          <w:pgSz w:w="11910" w:h="16840"/>
          <w:pgMar w:top="0" w:right="80" w:bottom="1180" w:left="200" w:header="283" w:footer="850" w:gutter="0"/>
          <w:cols w:space="720" w:num="1"/>
        </w:sectPr>
      </w:pPr>
    </w:p>
    <w:p>
      <w:pPr>
        <w:pStyle w:val="5"/>
        <w:spacing w:before="39"/>
        <w:ind w:left="1856"/>
        <w:rPr>
          <w:rFonts w:hint="eastAsia" w:ascii="宋体" w:hAnsi="宋体" w:eastAsia="宋体" w:cs="宋体"/>
          <w:b/>
          <w:bCs/>
        </w:rPr>
      </w:pPr>
      <w:r>
        <w:rPr>
          <w:rFonts w:hint="eastAsia" w:ascii="宋体" w:hAnsi="宋体" w:eastAsia="宋体" w:cs="宋体"/>
          <w:b/>
          <w:bCs/>
        </w:rPr>
        <w:t>一、主要职责</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国家综合性消防救援队伍承担防范化解重大安全风险、应对处置各类灾害事故的重要职责，是应急救援的主力军和国家队。湖南省消防救援总队隶属国家消防救援局，是全省消防救援队伍的领导指挥机关，依据有关法律法规履行下列职责：</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（一）承担城乡综合性消防救援工作，负责指挥调度相关灾害事故救援行动，承担重要会议、大型活动消防安全保卫工作</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（二）承担火灾预防、消防监督执法以及火灾事故调查处理相关工作，依法行使消防安全综合监管职能，推动落实消防安全责任制。</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（三）参与拟订消防专项规划，参与起草地方性消防法规、规章草案并监督实施。</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（四）负责消防救援队伍综合性消防救援预案编制、战术研究和执勤备战、训练演练等工作。</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（五）负责消防救援信息化和应急通信建设，承担综合性消防救援行动应急通信保障工作。</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（六）负责消防安全宣传教育，组织指导社会消防力量建设。</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（七）负责消防应急救援专业队伍规划、建设与调度指挥，参与组织协调动员各类社会救援力量参加救援任务。</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（八）负责消防救援队伍建设与管理。</w:t>
      </w:r>
    </w:p>
    <w:p>
      <w:pPr>
        <w:pStyle w:val="5"/>
        <w:spacing w:before="130" w:line="316" w:lineRule="auto"/>
        <w:ind w:left="1218" w:right="1177" w:firstLine="638"/>
        <w:rPr>
          <w:rFonts w:hint="eastAsia" w:ascii="宋体" w:hAnsi="宋体" w:eastAsia="宋体" w:cs="宋体"/>
        </w:rPr>
      </w:pPr>
      <w:r>
        <w:rPr>
          <w:rFonts w:hint="eastAsia" w:ascii="宋体" w:hAnsi="宋体" w:eastAsia="宋体" w:cs="宋体"/>
        </w:rPr>
        <w:t>（九）完成应急管理部和省委省政府交办的相关任务。</w:t>
      </w:r>
    </w:p>
    <w:p>
      <w:pPr>
        <w:pStyle w:val="5"/>
        <w:spacing w:before="128"/>
        <w:ind w:left="1856"/>
        <w:rPr>
          <w:rFonts w:hint="eastAsia" w:ascii="宋体" w:hAnsi="宋体" w:eastAsia="宋体" w:cs="宋体"/>
          <w:b/>
          <w:bCs/>
          <w:lang w:val="en-US"/>
        </w:rPr>
      </w:pPr>
      <w:r>
        <w:rPr>
          <w:rFonts w:hint="eastAsia" w:ascii="宋体" w:hAnsi="宋体" w:eastAsia="宋体" w:cs="宋体"/>
          <w:b/>
          <w:bCs/>
        </w:rPr>
        <w:t>二、</w:t>
      </w:r>
      <w:r>
        <w:rPr>
          <w:rFonts w:hint="eastAsia" w:ascii="宋体" w:hAnsi="宋体" w:eastAsia="宋体" w:cs="宋体"/>
          <w:b/>
          <w:bCs/>
          <w:lang w:val="en-US"/>
        </w:rPr>
        <w:t>机构设置</w:t>
      </w:r>
    </w:p>
    <w:p>
      <w:pPr>
        <w:pStyle w:val="5"/>
        <w:spacing w:before="128"/>
        <w:ind w:left="1856"/>
        <w:rPr>
          <w:rFonts w:hint="eastAsia" w:ascii="宋体" w:hAnsi="宋体" w:eastAsia="宋体" w:cs="宋体"/>
          <w:lang w:val="en-US"/>
        </w:rPr>
      </w:pPr>
      <w:r>
        <w:rPr>
          <w:rFonts w:hint="eastAsia" w:ascii="宋体" w:hAnsi="宋体" w:eastAsia="宋体" w:cs="宋体"/>
          <w:lang w:val="en-US"/>
        </w:rPr>
        <w:t>益阳市资阳区</w:t>
      </w:r>
      <w:r>
        <w:rPr>
          <w:rFonts w:hint="eastAsia" w:ascii="宋体" w:hAnsi="宋体" w:eastAsia="宋体" w:cs="宋体"/>
        </w:rPr>
        <w:t>消防救援</w:t>
      </w:r>
      <w:r>
        <w:rPr>
          <w:rFonts w:hint="eastAsia" w:ascii="宋体" w:hAnsi="宋体" w:eastAsia="宋体" w:cs="宋体"/>
          <w:lang w:val="en-US"/>
        </w:rPr>
        <w:t>大</w:t>
      </w:r>
      <w:r>
        <w:rPr>
          <w:rFonts w:hint="eastAsia" w:ascii="宋体" w:hAnsi="宋体" w:eastAsia="宋体" w:cs="宋体"/>
        </w:rPr>
        <w:t>队</w:t>
      </w:r>
      <w:r>
        <w:rPr>
          <w:rFonts w:hint="eastAsia" w:ascii="宋体" w:hAnsi="宋体" w:eastAsia="宋体" w:cs="宋体"/>
          <w:lang w:val="en-US"/>
        </w:rPr>
        <w:t>为四级预算单位。</w:t>
      </w:r>
    </w:p>
    <w:p>
      <w:pPr>
        <w:pStyle w:val="5"/>
        <w:spacing w:before="130" w:line="316" w:lineRule="auto"/>
        <w:ind w:right="1177"/>
        <w:rPr>
          <w:rFonts w:hint="eastAsia" w:ascii="宋体" w:hAnsi="宋体" w:eastAsia="宋体" w:cs="宋体"/>
        </w:rPr>
        <w:sectPr>
          <w:footerReference r:id="rId11" w:type="default"/>
          <w:pgSz w:w="11910" w:h="16840"/>
          <w:pgMar w:top="1400" w:right="80" w:bottom="1100" w:left="200" w:header="510" w:footer="850" w:gutter="0"/>
          <w:cols w:space="720" w:num="1"/>
        </w:sectPr>
      </w:pPr>
    </w:p>
    <w:p>
      <w:pPr>
        <w:pStyle w:val="5"/>
        <w:rPr>
          <w:sz w:val="20"/>
        </w:rPr>
      </w:pPr>
      <w:r>
        <mc:AlternateContent>
          <mc:Choice Requires="wpg">
            <w:drawing>
              <wp:anchor distT="0" distB="0" distL="114300" distR="114300" simplePos="0" relativeHeight="251660288" behindDoc="1" locked="0" layoutInCell="1" allowOverlap="1">
                <wp:simplePos x="0" y="0"/>
                <wp:positionH relativeFrom="page">
                  <wp:posOffset>-26035</wp:posOffset>
                </wp:positionH>
                <wp:positionV relativeFrom="page">
                  <wp:posOffset>8890</wp:posOffset>
                </wp:positionV>
                <wp:extent cx="7611745" cy="10669270"/>
                <wp:effectExtent l="0" t="0" r="0" b="0"/>
                <wp:wrapNone/>
                <wp:docPr id="12" name="组合 18"/>
                <wp:cNvGraphicFramePr/>
                <a:graphic xmlns:a="http://schemas.openxmlformats.org/drawingml/2006/main">
                  <a:graphicData uri="http://schemas.microsoft.com/office/word/2010/wordprocessingGroup">
                    <wpg:wgp>
                      <wpg:cNvGrpSpPr/>
                      <wpg:grpSpPr>
                        <a:xfrm>
                          <a:off x="0" y="0"/>
                          <a:ext cx="7611745" cy="10669270"/>
                          <a:chOff x="0" y="0"/>
                          <a:chExt cx="11477" cy="0"/>
                        </a:xfrm>
                      </wpg:grpSpPr>
                      <wps:wsp>
                        <wps:cNvPr id="8" name="自选图形 22"/>
                        <wps:cNvSpPr/>
                        <wps:spPr>
                          <a:xfrm>
                            <a:off x="3249" y="0"/>
                            <a:ext cx="420" cy="16802"/>
                          </a:xfrm>
                          <a:custGeom>
                            <a:avLst/>
                            <a:gdLst>
                              <a:gd name="A1" fmla="val 0"/>
                              <a:gd name="A2" fmla="val 0"/>
                              <a:gd name="A3" fmla="val 0"/>
                            </a:gdLst>
                            <a:ahLst/>
                            <a:cxnLst/>
                            <a:pathLst>
                              <a:path w="420" h="16802">
                                <a:moveTo>
                                  <a:pt x="156" y="0"/>
                                </a:moveTo>
                                <a:lnTo>
                                  <a:pt x="156" y="6350"/>
                                </a:lnTo>
                                <a:moveTo>
                                  <a:pt x="156" y="9938"/>
                                </a:moveTo>
                                <a:lnTo>
                                  <a:pt x="156" y="16802"/>
                                </a:lnTo>
                                <a:moveTo>
                                  <a:pt x="420" y="0"/>
                                </a:moveTo>
                                <a:lnTo>
                                  <a:pt x="420" y="6350"/>
                                </a:lnTo>
                                <a:moveTo>
                                  <a:pt x="420" y="9938"/>
                                </a:moveTo>
                                <a:lnTo>
                                  <a:pt x="420" y="16802"/>
                                </a:lnTo>
                                <a:moveTo>
                                  <a:pt x="0" y="0"/>
                                </a:moveTo>
                                <a:lnTo>
                                  <a:pt x="0" y="6350"/>
                                </a:lnTo>
                                <a:moveTo>
                                  <a:pt x="0" y="9938"/>
                                </a:moveTo>
                                <a:lnTo>
                                  <a:pt x="0" y="16802"/>
                                </a:lnTo>
                              </a:path>
                            </a:pathLst>
                          </a:custGeom>
                          <a:solidFill>
                            <a:srgbClr val="0070C0"/>
                          </a:solidFill>
                          <a:ln w="13967" cap="flat" cmpd="sng">
                            <a:solidFill>
                              <a:srgbClr val="CCCC00"/>
                            </a:solidFill>
                            <a:prstDash val="solid"/>
                            <a:round/>
                            <a:headEnd type="none" w="med" len="med"/>
                            <a:tailEnd type="none" w="med" len="med"/>
                          </a:ln>
                        </wps:spPr>
                        <wps:bodyPr upright="1"/>
                      </wps:wsp>
                      <wps:wsp>
                        <wps:cNvPr id="9" name="自选图形 21"/>
                        <wps:cNvSpPr/>
                        <wps:spPr>
                          <a:xfrm>
                            <a:off x="3528" y="0"/>
                            <a:ext cx="2" cy="16802"/>
                          </a:xfrm>
                          <a:custGeom>
                            <a:avLst/>
                            <a:gdLst>
                              <a:gd name="A1" fmla="val 0"/>
                              <a:gd name="A2" fmla="val 0"/>
                              <a:gd name="A3" fmla="val 0"/>
                            </a:gdLst>
                            <a:ahLst/>
                            <a:cxnLst/>
                            <a:pathLst>
                              <a:path w="1" h="16802">
                                <a:moveTo>
                                  <a:pt x="0" y="0"/>
                                </a:moveTo>
                                <a:lnTo>
                                  <a:pt x="0" y="6350"/>
                                </a:lnTo>
                                <a:moveTo>
                                  <a:pt x="0" y="9938"/>
                                </a:moveTo>
                                <a:lnTo>
                                  <a:pt x="0" y="16802"/>
                                </a:lnTo>
                              </a:path>
                            </a:pathLst>
                          </a:custGeom>
                          <a:solidFill>
                            <a:srgbClr val="0070C0"/>
                          </a:solidFill>
                          <a:ln w="13333" cap="flat" cmpd="sng">
                            <a:solidFill>
                              <a:srgbClr val="CCCC00"/>
                            </a:solidFill>
                            <a:prstDash val="solid"/>
                            <a:round/>
                            <a:headEnd type="none" w="med" len="med"/>
                            <a:tailEnd type="none" w="med" len="med"/>
                          </a:ln>
                        </wps:spPr>
                        <wps:bodyPr upright="1"/>
                      </wps:wsp>
                      <wps:wsp>
                        <wps:cNvPr id="10" name="矩形 20"/>
                        <wps:cNvSpPr/>
                        <wps:spPr>
                          <a:xfrm>
                            <a:off x="0" y="6350"/>
                            <a:ext cx="11470" cy="3588"/>
                          </a:xfrm>
                          <a:prstGeom prst="rect">
                            <a:avLst/>
                          </a:prstGeom>
                          <a:solidFill>
                            <a:srgbClr val="0070C0"/>
                          </a:solidFill>
                          <a:ln>
                            <a:noFill/>
                          </a:ln>
                        </wps:spPr>
                        <wps:bodyPr upright="1"/>
                      </wps:wsp>
                      <wps:wsp>
                        <wps:cNvPr id="11" name="自选图形 19"/>
                        <wps:cNvSpPr/>
                        <wps:spPr>
                          <a:xfrm>
                            <a:off x="0" y="6342"/>
                            <a:ext cx="11477" cy="3603"/>
                          </a:xfrm>
                          <a:custGeom>
                            <a:avLst/>
                            <a:gdLst>
                              <a:gd name="A1" fmla="val 0"/>
                              <a:gd name="A2" fmla="val 0"/>
                              <a:gd name="A3" fmla="val 0"/>
                            </a:gdLst>
                            <a:ahLst/>
                            <a:cxnLst/>
                            <a:pathLst>
                              <a:path w="11477" h="3603">
                                <a:moveTo>
                                  <a:pt x="11462" y="15"/>
                                </a:moveTo>
                                <a:lnTo>
                                  <a:pt x="0" y="15"/>
                                </a:lnTo>
                                <a:lnTo>
                                  <a:pt x="0" y="0"/>
                                </a:lnTo>
                                <a:lnTo>
                                  <a:pt x="11477" y="0"/>
                                </a:lnTo>
                                <a:lnTo>
                                  <a:pt x="11477" y="7"/>
                                </a:lnTo>
                                <a:lnTo>
                                  <a:pt x="11462" y="7"/>
                                </a:lnTo>
                                <a:lnTo>
                                  <a:pt x="11462" y="15"/>
                                </a:lnTo>
                                <a:close/>
                                <a:moveTo>
                                  <a:pt x="11462" y="3595"/>
                                </a:moveTo>
                                <a:lnTo>
                                  <a:pt x="11462" y="7"/>
                                </a:lnTo>
                                <a:lnTo>
                                  <a:pt x="11469" y="15"/>
                                </a:lnTo>
                                <a:lnTo>
                                  <a:pt x="11477" y="15"/>
                                </a:lnTo>
                                <a:lnTo>
                                  <a:pt x="11477" y="3588"/>
                                </a:lnTo>
                                <a:lnTo>
                                  <a:pt x="11469" y="3588"/>
                                </a:lnTo>
                                <a:lnTo>
                                  <a:pt x="11462" y="3595"/>
                                </a:lnTo>
                                <a:close/>
                                <a:moveTo>
                                  <a:pt x="11477" y="15"/>
                                </a:moveTo>
                                <a:lnTo>
                                  <a:pt x="11469" y="15"/>
                                </a:lnTo>
                                <a:lnTo>
                                  <a:pt x="11462" y="7"/>
                                </a:lnTo>
                                <a:lnTo>
                                  <a:pt x="11477" y="7"/>
                                </a:lnTo>
                                <a:lnTo>
                                  <a:pt x="11477" y="15"/>
                                </a:lnTo>
                                <a:close/>
                                <a:moveTo>
                                  <a:pt x="11477" y="3603"/>
                                </a:moveTo>
                                <a:lnTo>
                                  <a:pt x="0" y="3603"/>
                                </a:lnTo>
                                <a:lnTo>
                                  <a:pt x="0" y="3588"/>
                                </a:lnTo>
                                <a:lnTo>
                                  <a:pt x="11462" y="3588"/>
                                </a:lnTo>
                                <a:lnTo>
                                  <a:pt x="11462" y="3595"/>
                                </a:lnTo>
                                <a:lnTo>
                                  <a:pt x="11477" y="3595"/>
                                </a:lnTo>
                                <a:lnTo>
                                  <a:pt x="11477" y="3603"/>
                                </a:lnTo>
                                <a:close/>
                                <a:moveTo>
                                  <a:pt x="11477" y="3595"/>
                                </a:moveTo>
                                <a:lnTo>
                                  <a:pt x="11462" y="3595"/>
                                </a:lnTo>
                                <a:lnTo>
                                  <a:pt x="11469" y="3588"/>
                                </a:lnTo>
                                <a:lnTo>
                                  <a:pt x="11477" y="3588"/>
                                </a:lnTo>
                                <a:lnTo>
                                  <a:pt x="11477" y="3595"/>
                                </a:lnTo>
                                <a:close/>
                              </a:path>
                            </a:pathLst>
                          </a:custGeom>
                          <a:solidFill>
                            <a:srgbClr val="0070C0"/>
                          </a:solidFill>
                          <a:ln>
                            <a:noFill/>
                          </a:ln>
                        </wps:spPr>
                        <wps:bodyPr upright="1"/>
                      </wps:wsp>
                    </wpg:wgp>
                  </a:graphicData>
                </a:graphic>
              </wp:anchor>
            </w:drawing>
          </mc:Choice>
          <mc:Fallback>
            <w:pict>
              <v:group id="组合 18" o:spid="_x0000_s1026" o:spt="203" style="position:absolute;left:0pt;margin-left:-2.05pt;margin-top:0.7pt;height:840.1pt;width:599.35pt;mso-position-horizontal-relative:page;mso-position-vertical-relative:page;z-index:-251656192;mso-width-relative:page;mso-height-relative:page;" coordsize="11477,0" o:gfxdata="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E9tMALXAAAABwEAAA8AAAAAAAAAAQAgAAAAIgAAAGRycy9k&#10;b3ducmV2LnhtbFBLAQIUABQAAAAIAIdO4kDSoHoGrwQAAIsUAAAOAAAAAAAAAAEAIAAAACYBAABk&#10;cnMvZTJvRG9jLnhtbFBLBQYAAAAABgAGAFkBAABHCAAAAAA=&#10;">
                <o:lock v:ext="edit" aspectratio="f"/>
                <v:shape id="自选图形 22" o:spid="_x0000_s1026" o:spt="100" style="position:absolute;left:3249;top:0;height:16802;width:420;" fillcolor="#0070C0" filled="t" stroked="t" coordsize="420,16802" o:gfxdata="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hYx7gAAADaAAAA&#10;DwAAAAAAAAABACAAAAAiAAAAZHJzL2Rvd25yZXYueG1sUEsBAhQAFAAAAAgAh07iQDMvBZ47AAAA&#10;OQAAABAAAAAAAAAAAQAgAAAABwEAAGRycy9zaGFwZXhtbC54bWxQSwUGAAAAAAYABgBbAQAAsQMA&#10;AAAA&#10;" path="m156,0l156,6350m156,9938l156,16802m420,0l420,6350m420,9938l420,16802m0,0l0,6350m0,9938l0,16802e">
                  <v:fill on="t" focussize="0,0"/>
                  <v:stroke weight="1.09976377952756pt" color="#CCCC00" joinstyle="round"/>
                  <v:imagedata o:title=""/>
                  <o:lock v:ext="edit" aspectratio="f"/>
                </v:shape>
                <v:shape id="自选图形 21" o:spid="_x0000_s1026" o:spt="100" style="position:absolute;left:3528;top:0;height:16802;width:2;" fillcolor="#0070C0" filled="t" stroked="t" coordsize="1,16802" o:gfxdata="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lX7vQAA&#10;ANoAAAAPAAAAAAAAAAEAIAAAACIAAABkcnMvZG93bnJldi54bWxQSwECFAAUAAAACACHTuJAMy8F&#10;njsAAAA5AAAAEAAAAAAAAAABACAAAAAMAQAAZHJzL3NoYXBleG1sLnhtbFBLBQYAAAAABgAGAFsB&#10;AAC2AwAAAAA=&#10;" path="m0,0l0,6350m0,9938l0,16802e">
                  <v:fill on="t" focussize="0,0"/>
                  <v:stroke weight="1.04984251968504pt" color="#CCCC00" joinstyle="round"/>
                  <v:imagedata o:title=""/>
                  <o:lock v:ext="edit" aspectratio="f"/>
                </v:shape>
                <v:rect id="矩形 20" o:spid="_x0000_s1026" o:spt="1" style="position:absolute;left:0;top:6350;height:3588;width:11470;" fillcolor="#0070C0" filled="t" stroked="f" coordsize="21600,21600" o:gfxdata="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RaOO8AAAA&#10;2wAAAA8AAAAAAAAAAQAgAAAAIgAAAGRycy9kb3ducmV2LnhtbFBLAQIUABQAAAAIAIdO4kAzLwWe&#10;OwAAADkAAAAQAAAAAAAAAAEAIAAAAAsBAABkcnMvc2hhcGV4bWwueG1sUEsFBgAAAAAGAAYAWwEA&#10;ALUDAAAAAA==&#10;">
                  <v:fill on="t" focussize="0,0"/>
                  <v:stroke on="f"/>
                  <v:imagedata o:title=""/>
                  <o:lock v:ext="edit" aspectratio="f"/>
                </v:rect>
                <v:shape id="自选图形 19" o:spid="_x0000_s1026" o:spt="100" style="position:absolute;left:0;top:6342;height:3603;width:11477;" fillcolor="#0070C0" filled="t" stroked="f" coordsize="11477,3603" o:gfxdata="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gZjatwAAANsAAAAP&#10;AAAAAAAAAAEAIAAAACIAAABkcnMvZG93bnJldi54bWxQSwECFAAUAAAACACHTuJAMy8FnjsAAAA5&#10;AAAAEAAAAAAAAAABACAAAAAGAQAAZHJzL3NoYXBleG1sLnhtbFBLBQYAAAAABgAGAFsBAACwAwAA&#10;AAA=&#10;" path="m11462,15l0,15,0,0,11477,0,11477,7,11462,7,11462,15xm11462,3595l11462,7,11469,15,11477,15,11477,3588,11469,3588,11462,3595xm11477,15l11469,15,11462,7,11477,7,11477,15xm11477,3603l0,3603,0,3588,11462,3588,11462,3595,11477,3595,11477,3603xm11477,3595l11462,3595,11469,3588,11477,3588,11477,3595xe">
                  <v:fill on="t" focussize="0,0"/>
                  <v:stroke on="f"/>
                  <v:imagedata o:title=""/>
                  <o:lock v:ext="edit" aspectratio="f"/>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28"/>
        </w:rPr>
      </w:pPr>
    </w:p>
    <w:p>
      <w:pPr>
        <w:pStyle w:val="3"/>
        <w:spacing w:before="28"/>
        <w:ind w:left="620" w:firstLine="1044" w:firstLineChars="200"/>
        <w:rPr>
          <w:rFonts w:hint="eastAsia" w:ascii="宋体" w:hAnsi="宋体" w:eastAsia="宋体" w:cs="宋体"/>
        </w:rPr>
      </w:pPr>
      <w:r>
        <w:rPr>
          <w:rFonts w:hint="eastAsia" w:ascii="宋体" w:hAnsi="宋体" w:eastAsia="宋体" w:cs="宋体"/>
        </w:rPr>
        <w:t>第二部分</w:t>
      </w:r>
      <w:r>
        <w:rPr>
          <w:rFonts w:hint="eastAsia" w:ascii="宋体" w:hAnsi="宋体" w:eastAsia="宋体" w:cs="宋体"/>
          <w:lang w:val="en-US"/>
        </w:rPr>
        <w:t>益阳市资阳区</w:t>
      </w:r>
      <w:r>
        <w:rPr>
          <w:rFonts w:hint="eastAsia" w:ascii="宋体" w:hAnsi="宋体" w:eastAsia="宋体" w:cs="宋体"/>
        </w:rPr>
        <w:t>消防救援</w:t>
      </w:r>
      <w:r>
        <w:rPr>
          <w:rFonts w:hint="eastAsia" w:ascii="宋体" w:hAnsi="宋体" w:eastAsia="宋体" w:cs="宋体"/>
          <w:lang w:val="en-US"/>
        </w:rPr>
        <w:t>大</w:t>
      </w:r>
      <w:r>
        <w:rPr>
          <w:rFonts w:hint="eastAsia" w:ascii="宋体" w:hAnsi="宋体" w:eastAsia="宋体" w:cs="宋体"/>
        </w:rPr>
        <w:t>队</w:t>
      </w:r>
    </w:p>
    <w:p>
      <w:pPr>
        <w:pStyle w:val="3"/>
        <w:spacing w:before="28"/>
        <w:ind w:firstLine="4176" w:firstLineChars="800"/>
        <w:rPr>
          <w:rFonts w:hint="eastAsia" w:ascii="宋体" w:hAnsi="宋体" w:eastAsia="宋体" w:cs="宋体"/>
          <w:lang w:val="en-US"/>
        </w:rPr>
        <w:sectPr>
          <w:footerReference r:id="rId12" w:type="default"/>
          <w:pgSz w:w="11910" w:h="16840"/>
          <w:pgMar w:top="0" w:right="80" w:bottom="380" w:left="200" w:header="283" w:footer="850" w:gutter="0"/>
          <w:cols w:space="720" w:num="1"/>
        </w:sectPr>
      </w:pPr>
      <w:r>
        <w:rPr>
          <w:rFonts w:hint="eastAsia" w:ascii="宋体" w:hAnsi="宋体" w:eastAsia="宋体" w:cs="宋体"/>
          <w:lang w:eastAsia="zh-CN"/>
        </w:rPr>
        <w:t>2023</w:t>
      </w:r>
      <w:r>
        <w:rPr>
          <w:rFonts w:hint="eastAsia" w:ascii="宋体" w:hAnsi="宋体" w:eastAsia="宋体" w:cs="宋体"/>
        </w:rPr>
        <w:t>年</w:t>
      </w:r>
      <w:r>
        <w:rPr>
          <w:rFonts w:hint="eastAsia" w:ascii="宋体" w:hAnsi="宋体" w:eastAsia="宋体" w:cs="宋体"/>
          <w:lang w:val="en-US"/>
        </w:rPr>
        <w:t>度决算表</w:t>
      </w:r>
    </w:p>
    <w:tbl>
      <w:tblPr>
        <w:tblStyle w:val="10"/>
        <w:tblW w:w="10757" w:type="dxa"/>
        <w:tblInd w:w="449" w:type="dxa"/>
        <w:tblLayout w:type="fixed"/>
        <w:tblCellMar>
          <w:top w:w="0" w:type="dxa"/>
          <w:left w:w="108" w:type="dxa"/>
          <w:bottom w:w="0" w:type="dxa"/>
          <w:right w:w="108" w:type="dxa"/>
        </w:tblCellMar>
      </w:tblPr>
      <w:tblGrid>
        <w:gridCol w:w="3260"/>
        <w:gridCol w:w="880"/>
        <w:gridCol w:w="1161"/>
        <w:gridCol w:w="3206"/>
        <w:gridCol w:w="961"/>
        <w:gridCol w:w="1289"/>
      </w:tblGrid>
      <w:tr>
        <w:tblPrEx>
          <w:tblCellMar>
            <w:top w:w="0" w:type="dxa"/>
            <w:left w:w="108" w:type="dxa"/>
            <w:bottom w:w="0" w:type="dxa"/>
            <w:right w:w="108" w:type="dxa"/>
          </w:tblCellMar>
        </w:tblPrEx>
        <w:trPr>
          <w:trHeight w:val="356" w:hRule="atLeast"/>
        </w:trPr>
        <w:tc>
          <w:tcPr>
            <w:tcW w:w="10757" w:type="dxa"/>
            <w:gridSpan w:val="6"/>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收入支出决算总表</w:t>
            </w:r>
          </w:p>
        </w:tc>
      </w:tr>
      <w:tr>
        <w:trPr>
          <w:trHeight w:val="234" w:hRule="atLeast"/>
        </w:trPr>
        <w:tc>
          <w:tcPr>
            <w:tcW w:w="326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8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320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289"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公开01表</w:t>
            </w:r>
          </w:p>
        </w:tc>
      </w:tr>
      <w:tr>
        <w:tblPrEx>
          <w:tblCellMar>
            <w:top w:w="0" w:type="dxa"/>
            <w:left w:w="108" w:type="dxa"/>
            <w:bottom w:w="0" w:type="dxa"/>
            <w:right w:w="108" w:type="dxa"/>
          </w:tblCellMar>
        </w:tblPrEx>
        <w:trPr>
          <w:trHeight w:val="234" w:hRule="atLeast"/>
        </w:trPr>
        <w:tc>
          <w:tcPr>
            <w:tcW w:w="3260"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88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320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289"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20" w:hRule="atLeast"/>
        </w:trPr>
        <w:tc>
          <w:tcPr>
            <w:tcW w:w="5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收入</w:t>
            </w:r>
          </w:p>
        </w:tc>
        <w:tc>
          <w:tcPr>
            <w:tcW w:w="5456"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支出</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行次</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金额</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行次</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金额</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80"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1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961"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28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r>
      <w:tr>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一、一般公共预算财政拨款收入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56.4</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rFonts w:hint="default"/>
                <w:color w:val="000000"/>
                <w:sz w:val="18"/>
                <w:szCs w:val="18"/>
                <w:lang w:val="en-US"/>
              </w:rPr>
            </w:pP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二、政府性基金预算财政拨款收入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二、外交支出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三、国有资本经营预算财政拨款收入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三、国防支出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四、上级补助收入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四、公共安全支出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五、事业收入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五、教育支出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六、经营收入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六、科学技术支出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七、附属单位上缴收入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7</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七、文化旅游体育与传媒支出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八、其他收入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8</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686.06</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八、社会保障和就业支出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9</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九、卫生健康支出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十、节能环保支出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11</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十一、城乡社区支出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12</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十二、农林水支出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13</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十三、交通运输支出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14</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十四、资源勘探工业信息等支出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15</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十五、商业服务业等支出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16</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十六、金融支出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17</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十七、援助其他地区支出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18</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十八、自然资源海洋气象等支出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19</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十九、住房保障支出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二十、粮油物资储备支出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21</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二十一、国有资本经营预算支出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22</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二十二、灾害防治及应急管理支出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670.41</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23</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二十三、其他支出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jc w:val="center"/>
              <w:rPr>
                <w:b/>
                <w:bCs/>
                <w:color w:val="000000"/>
                <w:sz w:val="15"/>
                <w:szCs w:val="15"/>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5"/>
                <w:szCs w:val="15"/>
              </w:rPr>
            </w:pPr>
            <w:r>
              <w:rPr>
                <w:rFonts w:hint="eastAsia"/>
                <w:color w:val="000000"/>
                <w:sz w:val="15"/>
                <w:szCs w:val="15"/>
                <w:lang w:val="en-US"/>
              </w:rPr>
              <w:t>24</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5"/>
                <w:szCs w:val="15"/>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二十四、债务还本支出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5"/>
                <w:szCs w:val="15"/>
              </w:rPr>
            </w:pPr>
            <w:r>
              <w:rPr>
                <w:rFonts w:hint="eastAsia"/>
                <w:color w:val="000000"/>
                <w:sz w:val="15"/>
                <w:szCs w:val="15"/>
                <w:lang w:val="en-US"/>
              </w:rPr>
              <w:t>25</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5"/>
                <w:szCs w:val="15"/>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二十五、债务付息支出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5"/>
                <w:szCs w:val="15"/>
              </w:rPr>
            </w:pPr>
            <w:r>
              <w:rPr>
                <w:rFonts w:hint="eastAsia"/>
                <w:color w:val="000000"/>
                <w:sz w:val="15"/>
                <w:szCs w:val="15"/>
                <w:lang w:val="en-US"/>
              </w:rPr>
              <w:t>26</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5"/>
                <w:szCs w:val="15"/>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二十六、抗疫特别国债安排的支出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本年收入合计</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27</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742.26</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本年支出合计</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670.41</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使用非财政拨款结余</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28</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结余分配</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年初结转和结余</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29</w:t>
            </w:r>
          </w:p>
        </w:tc>
        <w:tc>
          <w:tcPr>
            <w:tcW w:w="1161" w:type="dxa"/>
            <w:tcBorders>
              <w:top w:val="nil"/>
              <w:left w:val="nil"/>
              <w:bottom w:val="single" w:color="000000" w:sz="4" w:space="0"/>
              <w:right w:val="single" w:color="000000" w:sz="4" w:space="0"/>
            </w:tcBorders>
            <w:shd w:val="clear" w:color="auto" w:fill="auto"/>
            <w:noWrap/>
            <w:vAlign w:val="center"/>
          </w:tcPr>
          <w:p>
            <w:pPr>
              <w:widowControl/>
              <w:ind w:right="90"/>
              <w:jc w:val="right"/>
              <w:textAlignment w:val="center"/>
              <w:rPr>
                <w:rFonts w:hint="default" w:eastAsia="宋体"/>
                <w:color w:val="000000"/>
                <w:sz w:val="18"/>
                <w:szCs w:val="18"/>
                <w:lang w:val="en-US" w:eastAsia="zh-CN"/>
              </w:rPr>
            </w:pPr>
            <w:r>
              <w:rPr>
                <w:rFonts w:hint="eastAsia"/>
                <w:color w:val="000000"/>
                <w:sz w:val="18"/>
                <w:szCs w:val="18"/>
                <w:lang w:val="en-US" w:eastAsia="zh-CN"/>
              </w:rPr>
              <w:t>7.93</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年末结转和结余</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79.98</w:t>
            </w: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61</w:t>
            </w:r>
          </w:p>
        </w:tc>
        <w:tc>
          <w:tcPr>
            <w:tcW w:w="128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r>
      <w:tr>
        <w:tblPrEx>
          <w:tblCellMar>
            <w:top w:w="0" w:type="dxa"/>
            <w:left w:w="108" w:type="dxa"/>
            <w:bottom w:w="0" w:type="dxa"/>
            <w:right w:w="108" w:type="dxa"/>
          </w:tblCellMar>
        </w:tblPrEx>
        <w:trPr>
          <w:trHeight w:val="320" w:hRule="atLeast"/>
        </w:trPr>
        <w:tc>
          <w:tcPr>
            <w:tcW w:w="3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31</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750.39</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750.39</w:t>
            </w:r>
          </w:p>
        </w:tc>
      </w:tr>
      <w:tr>
        <w:tblPrEx>
          <w:tblCellMar>
            <w:top w:w="0" w:type="dxa"/>
            <w:left w:w="108" w:type="dxa"/>
            <w:bottom w:w="0" w:type="dxa"/>
            <w:right w:w="108" w:type="dxa"/>
          </w:tblCellMar>
        </w:tblPrEx>
        <w:trPr>
          <w:trHeight w:val="320" w:hRule="atLeast"/>
        </w:trPr>
        <w:tc>
          <w:tcPr>
            <w:tcW w:w="10757" w:type="dxa"/>
            <w:gridSpan w:val="6"/>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注：1.本表反映部门本年度的总收支和年末结转结余情况。</w:t>
            </w:r>
          </w:p>
        </w:tc>
      </w:tr>
      <w:tr>
        <w:tblPrEx>
          <w:tblCellMar>
            <w:top w:w="0" w:type="dxa"/>
            <w:left w:w="108" w:type="dxa"/>
            <w:bottom w:w="0" w:type="dxa"/>
            <w:right w:w="108" w:type="dxa"/>
          </w:tblCellMar>
        </w:tblPrEx>
        <w:trPr>
          <w:trHeight w:val="281" w:hRule="atLeast"/>
        </w:trPr>
        <w:tc>
          <w:tcPr>
            <w:tcW w:w="10757" w:type="dxa"/>
            <w:gridSpan w:val="6"/>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2.本套报表金额单位转换时可能存在尾数误差。</w:t>
            </w:r>
          </w:p>
        </w:tc>
      </w:tr>
    </w:tbl>
    <w:p>
      <w:pPr>
        <w:rPr>
          <w:rFonts w:ascii="黑体"/>
          <w:sz w:val="20"/>
        </w:rPr>
        <w:sectPr>
          <w:pgSz w:w="11910" w:h="16840"/>
          <w:pgMar w:top="1480" w:right="1150" w:bottom="380" w:left="200" w:header="0" w:footer="850" w:gutter="0"/>
          <w:cols w:space="720" w:num="1"/>
        </w:sectPr>
      </w:pPr>
    </w:p>
    <w:p>
      <w:pPr>
        <w:pStyle w:val="5"/>
        <w:ind w:left="1218"/>
        <w:rPr>
          <w:rFonts w:ascii="黑体"/>
          <w:sz w:val="20"/>
        </w:rPr>
      </w:pPr>
    </w:p>
    <w:tbl>
      <w:tblPr>
        <w:tblStyle w:val="10"/>
        <w:tblpPr w:leftFromText="180" w:rightFromText="180" w:vertAnchor="text" w:horzAnchor="page" w:tblpXSpec="center" w:tblpY="408"/>
        <w:tblOverlap w:val="never"/>
        <w:tblW w:w="10804" w:type="dxa"/>
        <w:jc w:val="center"/>
        <w:tblLayout w:type="fixed"/>
        <w:tblCellMar>
          <w:top w:w="0" w:type="dxa"/>
          <w:left w:w="108" w:type="dxa"/>
          <w:bottom w:w="0" w:type="dxa"/>
          <w:right w:w="108" w:type="dxa"/>
        </w:tblCellMar>
      </w:tblPr>
      <w:tblGrid>
        <w:gridCol w:w="2812"/>
        <w:gridCol w:w="236"/>
        <w:gridCol w:w="236"/>
        <w:gridCol w:w="2339"/>
        <w:gridCol w:w="828"/>
        <w:gridCol w:w="844"/>
        <w:gridCol w:w="669"/>
        <w:gridCol w:w="621"/>
        <w:gridCol w:w="621"/>
        <w:gridCol w:w="622"/>
        <w:gridCol w:w="976"/>
      </w:tblGrid>
      <w:tr>
        <w:tblPrEx>
          <w:tblCellMar>
            <w:top w:w="0" w:type="dxa"/>
            <w:left w:w="108" w:type="dxa"/>
            <w:bottom w:w="0" w:type="dxa"/>
            <w:right w:w="108" w:type="dxa"/>
          </w:tblCellMar>
        </w:tblPrEx>
        <w:trPr>
          <w:trHeight w:val="358" w:hRule="atLeast"/>
          <w:jc w:val="center"/>
        </w:trPr>
        <w:tc>
          <w:tcPr>
            <w:tcW w:w="10804" w:type="dxa"/>
            <w:gridSpan w:val="11"/>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收入决算表</w:t>
            </w:r>
          </w:p>
        </w:tc>
      </w:tr>
      <w:tr>
        <w:trPr>
          <w:trHeight w:val="239" w:hRule="atLeast"/>
          <w:jc w:val="center"/>
        </w:trPr>
        <w:tc>
          <w:tcPr>
            <w:tcW w:w="281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3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6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76"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公开02表</w:t>
            </w:r>
          </w:p>
        </w:tc>
      </w:tr>
      <w:tr>
        <w:tblPrEx>
          <w:tblCellMar>
            <w:top w:w="0" w:type="dxa"/>
            <w:left w:w="108" w:type="dxa"/>
            <w:bottom w:w="0" w:type="dxa"/>
            <w:right w:w="108" w:type="dxa"/>
          </w:tblCellMar>
        </w:tblPrEx>
        <w:trPr>
          <w:trHeight w:val="477" w:hRule="atLeast"/>
          <w:jc w:val="center"/>
        </w:trPr>
        <w:tc>
          <w:tcPr>
            <w:tcW w:w="2812"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3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6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76"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272" w:hRule="atLeast"/>
          <w:jc w:val="center"/>
        </w:trPr>
        <w:tc>
          <w:tcPr>
            <w:tcW w:w="56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82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本年收入合计</w:t>
            </w:r>
          </w:p>
        </w:tc>
        <w:tc>
          <w:tcPr>
            <w:tcW w:w="84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财政拨款收入</w:t>
            </w:r>
          </w:p>
        </w:tc>
        <w:tc>
          <w:tcPr>
            <w:tcW w:w="66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上级补助收入</w:t>
            </w:r>
          </w:p>
        </w:tc>
        <w:tc>
          <w:tcPr>
            <w:tcW w:w="62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事业收入</w:t>
            </w:r>
          </w:p>
        </w:tc>
        <w:tc>
          <w:tcPr>
            <w:tcW w:w="62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经营收入</w:t>
            </w:r>
          </w:p>
        </w:tc>
        <w:tc>
          <w:tcPr>
            <w:tcW w:w="6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附属单位上缴收入</w:t>
            </w:r>
          </w:p>
        </w:tc>
        <w:tc>
          <w:tcPr>
            <w:tcW w:w="9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其他收入</w:t>
            </w:r>
          </w:p>
        </w:tc>
      </w:tr>
      <w:tr>
        <w:tblPrEx>
          <w:tblCellMar>
            <w:top w:w="0" w:type="dxa"/>
            <w:left w:w="108" w:type="dxa"/>
            <w:bottom w:w="0" w:type="dxa"/>
            <w:right w:w="108" w:type="dxa"/>
          </w:tblCellMar>
        </w:tblPrEx>
        <w:trPr>
          <w:trHeight w:val="312" w:hRule="atLeast"/>
          <w:jc w:val="center"/>
        </w:trPr>
        <w:tc>
          <w:tcPr>
            <w:tcW w:w="328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2339"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8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28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3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245" w:hRule="atLeast"/>
          <w:jc w:val="center"/>
        </w:trPr>
        <w:tc>
          <w:tcPr>
            <w:tcW w:w="328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3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72" w:hRule="atLeast"/>
          <w:jc w:val="center"/>
        </w:trPr>
        <w:tc>
          <w:tcPr>
            <w:tcW w:w="562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28"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1</w:t>
            </w:r>
          </w:p>
        </w:tc>
        <w:tc>
          <w:tcPr>
            <w:tcW w:w="84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2</w:t>
            </w:r>
          </w:p>
        </w:tc>
        <w:tc>
          <w:tcPr>
            <w:tcW w:w="669"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3</w:t>
            </w:r>
          </w:p>
        </w:tc>
        <w:tc>
          <w:tcPr>
            <w:tcW w:w="621"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4</w:t>
            </w:r>
          </w:p>
        </w:tc>
        <w:tc>
          <w:tcPr>
            <w:tcW w:w="621"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5</w:t>
            </w:r>
          </w:p>
        </w:tc>
        <w:tc>
          <w:tcPr>
            <w:tcW w:w="62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6</w:t>
            </w:r>
          </w:p>
        </w:tc>
        <w:tc>
          <w:tcPr>
            <w:tcW w:w="97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7</w:t>
            </w:r>
          </w:p>
        </w:tc>
      </w:tr>
      <w:tr>
        <w:tblPrEx>
          <w:tblCellMar>
            <w:top w:w="0" w:type="dxa"/>
            <w:left w:w="108" w:type="dxa"/>
            <w:bottom w:w="0" w:type="dxa"/>
            <w:right w:w="108" w:type="dxa"/>
          </w:tblCellMar>
        </w:tblPrEx>
        <w:trPr>
          <w:trHeight w:val="534" w:hRule="atLeast"/>
          <w:jc w:val="center"/>
        </w:trPr>
        <w:tc>
          <w:tcPr>
            <w:tcW w:w="562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573.32</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bCs/>
                <w:color w:val="000000"/>
                <w:sz w:val="18"/>
                <w:szCs w:val="18"/>
                <w:lang w:val="en-US" w:eastAsia="zh-CN"/>
              </w:rPr>
            </w:pPr>
            <w:r>
              <w:rPr>
                <w:rFonts w:hint="eastAsia"/>
                <w:b/>
                <w:bCs/>
                <w:color w:val="000000"/>
                <w:sz w:val="18"/>
                <w:szCs w:val="18"/>
                <w:lang w:val="en-US" w:eastAsia="zh-CN"/>
              </w:rPr>
              <w:t>56.4</w:t>
            </w:r>
          </w:p>
        </w:tc>
        <w:tc>
          <w:tcPr>
            <w:tcW w:w="6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9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eastAsia="zh-CN"/>
              </w:rPr>
              <w:t>686.06</w:t>
            </w:r>
          </w:p>
        </w:tc>
      </w:tr>
      <w:tr>
        <w:tblPrEx>
          <w:tblCellMar>
            <w:top w:w="0" w:type="dxa"/>
            <w:left w:w="108" w:type="dxa"/>
            <w:bottom w:w="0" w:type="dxa"/>
            <w:right w:w="108" w:type="dxa"/>
          </w:tblCellMar>
        </w:tblPrEx>
        <w:trPr>
          <w:trHeight w:val="534"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w:t>
            </w:r>
          </w:p>
        </w:tc>
        <w:tc>
          <w:tcPr>
            <w:tcW w:w="23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灾害防治及应急管理支出</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742.46</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686.06</w:t>
            </w:r>
          </w:p>
        </w:tc>
      </w:tr>
      <w:tr>
        <w:tblPrEx>
          <w:tblCellMar>
            <w:top w:w="0" w:type="dxa"/>
            <w:left w:w="108" w:type="dxa"/>
            <w:bottom w:w="0" w:type="dxa"/>
            <w:right w:w="108" w:type="dxa"/>
          </w:tblCellMar>
        </w:tblPrEx>
        <w:trPr>
          <w:trHeight w:val="534"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w:t>
            </w:r>
          </w:p>
        </w:tc>
        <w:tc>
          <w:tcPr>
            <w:tcW w:w="23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消防救援事务</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742.46</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686.06</w:t>
            </w:r>
          </w:p>
        </w:tc>
      </w:tr>
      <w:tr>
        <w:tblPrEx>
          <w:tblCellMar>
            <w:top w:w="0" w:type="dxa"/>
            <w:left w:w="108" w:type="dxa"/>
            <w:bottom w:w="0" w:type="dxa"/>
            <w:right w:w="108" w:type="dxa"/>
          </w:tblCellMar>
        </w:tblPrEx>
        <w:trPr>
          <w:trHeight w:val="534"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2240201</w:t>
            </w:r>
          </w:p>
        </w:tc>
        <w:tc>
          <w:tcPr>
            <w:tcW w:w="23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行政运行</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657.63</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13.4</w:t>
            </w:r>
          </w:p>
        </w:tc>
        <w:tc>
          <w:tcPr>
            <w:tcW w:w="6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644.23</w:t>
            </w:r>
          </w:p>
        </w:tc>
      </w:tr>
      <w:tr>
        <w:tblPrEx>
          <w:tblCellMar>
            <w:top w:w="0" w:type="dxa"/>
            <w:left w:w="108" w:type="dxa"/>
            <w:bottom w:w="0" w:type="dxa"/>
            <w:right w:w="108" w:type="dxa"/>
          </w:tblCellMar>
        </w:tblPrEx>
        <w:trPr>
          <w:trHeight w:val="534"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2240204</w:t>
            </w:r>
          </w:p>
        </w:tc>
        <w:tc>
          <w:tcPr>
            <w:tcW w:w="23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消防应急救援</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84.83</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43</w:t>
            </w:r>
          </w:p>
        </w:tc>
        <w:tc>
          <w:tcPr>
            <w:tcW w:w="6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41.83</w:t>
            </w:r>
          </w:p>
        </w:tc>
      </w:tr>
      <w:tr>
        <w:tblPrEx>
          <w:tblCellMar>
            <w:top w:w="0" w:type="dxa"/>
            <w:left w:w="108" w:type="dxa"/>
            <w:bottom w:w="0" w:type="dxa"/>
            <w:right w:w="108" w:type="dxa"/>
          </w:tblCellMar>
        </w:tblPrEx>
        <w:trPr>
          <w:trHeight w:val="272"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6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7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6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7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6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7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328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6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7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10804" w:type="dxa"/>
            <w:gridSpan w:val="11"/>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注：本表反映部门本年度取得的各项收入情况。</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sectPr>
          <w:pgSz w:w="11910" w:h="16840"/>
          <w:pgMar w:top="1500" w:right="80" w:bottom="380" w:left="200" w:header="0" w:footer="850" w:gutter="0"/>
          <w:cols w:space="720" w:num="1"/>
        </w:sectPr>
      </w:pPr>
    </w:p>
    <w:tbl>
      <w:tblPr>
        <w:tblStyle w:val="10"/>
        <w:tblpPr w:leftFromText="180" w:rightFromText="180" w:vertAnchor="text" w:horzAnchor="page" w:tblpXSpec="center" w:tblpY="124"/>
        <w:tblOverlap w:val="never"/>
        <w:tblW w:w="10837" w:type="dxa"/>
        <w:jc w:val="center"/>
        <w:tblLayout w:type="fixed"/>
        <w:tblCellMar>
          <w:top w:w="0" w:type="dxa"/>
          <w:left w:w="108" w:type="dxa"/>
          <w:bottom w:w="0" w:type="dxa"/>
          <w:right w:w="108" w:type="dxa"/>
        </w:tblCellMar>
      </w:tblPr>
      <w:tblGrid>
        <w:gridCol w:w="2983"/>
        <w:gridCol w:w="236"/>
        <w:gridCol w:w="236"/>
        <w:gridCol w:w="2375"/>
        <w:gridCol w:w="820"/>
        <w:gridCol w:w="820"/>
        <w:gridCol w:w="820"/>
        <w:gridCol w:w="615"/>
        <w:gridCol w:w="615"/>
        <w:gridCol w:w="1317"/>
      </w:tblGrid>
      <w:tr>
        <w:tblPrEx>
          <w:tblCellMar>
            <w:top w:w="0" w:type="dxa"/>
            <w:left w:w="108" w:type="dxa"/>
            <w:bottom w:w="0" w:type="dxa"/>
            <w:right w:w="108" w:type="dxa"/>
          </w:tblCellMar>
        </w:tblPrEx>
        <w:trPr>
          <w:trHeight w:val="341" w:hRule="atLeast"/>
          <w:jc w:val="center"/>
        </w:trPr>
        <w:tc>
          <w:tcPr>
            <w:tcW w:w="10837" w:type="dxa"/>
            <w:gridSpan w:val="10"/>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支出决算表</w:t>
            </w:r>
          </w:p>
        </w:tc>
      </w:tr>
      <w:tr>
        <w:tblPrEx>
          <w:tblCellMar>
            <w:top w:w="0" w:type="dxa"/>
            <w:left w:w="108" w:type="dxa"/>
            <w:bottom w:w="0" w:type="dxa"/>
            <w:right w:w="108" w:type="dxa"/>
          </w:tblCellMar>
        </w:tblPrEx>
        <w:trPr>
          <w:trHeight w:val="227" w:hRule="atLeast"/>
          <w:jc w:val="center"/>
        </w:trPr>
        <w:tc>
          <w:tcPr>
            <w:tcW w:w="298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7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317"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公开03表</w:t>
            </w:r>
          </w:p>
        </w:tc>
      </w:tr>
      <w:tr>
        <w:tblPrEx>
          <w:tblCellMar>
            <w:top w:w="0" w:type="dxa"/>
            <w:left w:w="108" w:type="dxa"/>
            <w:bottom w:w="0" w:type="dxa"/>
            <w:right w:w="108" w:type="dxa"/>
          </w:tblCellMar>
        </w:tblPrEx>
        <w:trPr>
          <w:trHeight w:val="454" w:hRule="atLeast"/>
          <w:jc w:val="center"/>
        </w:trPr>
        <w:tc>
          <w:tcPr>
            <w:tcW w:w="2983"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7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317"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259" w:hRule="atLeast"/>
          <w:jc w:val="center"/>
        </w:trPr>
        <w:tc>
          <w:tcPr>
            <w:tcW w:w="58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8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本年支出合计</w:t>
            </w:r>
          </w:p>
        </w:tc>
        <w:tc>
          <w:tcPr>
            <w:tcW w:w="8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8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c>
          <w:tcPr>
            <w:tcW w:w="61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上缴上级支出</w:t>
            </w:r>
          </w:p>
        </w:tc>
        <w:tc>
          <w:tcPr>
            <w:tcW w:w="61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经营支出</w:t>
            </w:r>
          </w:p>
        </w:tc>
        <w:tc>
          <w:tcPr>
            <w:tcW w:w="131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对附属单位补助支出</w:t>
            </w:r>
          </w:p>
        </w:tc>
      </w:tr>
      <w:tr>
        <w:tblPrEx>
          <w:tblCellMar>
            <w:top w:w="0" w:type="dxa"/>
            <w:left w:w="108" w:type="dxa"/>
            <w:bottom w:w="0" w:type="dxa"/>
            <w:right w:w="108" w:type="dxa"/>
          </w:tblCellMar>
        </w:tblPrEx>
        <w:trPr>
          <w:trHeight w:val="312" w:hRule="atLeast"/>
          <w:jc w:val="center"/>
        </w:trPr>
        <w:tc>
          <w:tcPr>
            <w:tcW w:w="345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2375"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45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75"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575" w:hRule="atLeast"/>
          <w:jc w:val="center"/>
        </w:trPr>
        <w:tc>
          <w:tcPr>
            <w:tcW w:w="345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75"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59" w:hRule="atLeast"/>
          <w:jc w:val="center"/>
        </w:trPr>
        <w:tc>
          <w:tcPr>
            <w:tcW w:w="58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1</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2</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3</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4</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5</w:t>
            </w:r>
          </w:p>
        </w:tc>
        <w:tc>
          <w:tcPr>
            <w:tcW w:w="1317"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6</w:t>
            </w:r>
          </w:p>
        </w:tc>
      </w:tr>
      <w:tr>
        <w:tblPrEx>
          <w:tblCellMar>
            <w:top w:w="0" w:type="dxa"/>
            <w:left w:w="108" w:type="dxa"/>
            <w:bottom w:w="0" w:type="dxa"/>
            <w:right w:w="108" w:type="dxa"/>
          </w:tblCellMar>
        </w:tblPrEx>
        <w:trPr>
          <w:trHeight w:val="429" w:hRule="atLeast"/>
          <w:jc w:val="center"/>
        </w:trPr>
        <w:tc>
          <w:tcPr>
            <w:tcW w:w="58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bCs/>
                <w:color w:val="000000"/>
                <w:sz w:val="18"/>
                <w:szCs w:val="18"/>
                <w:lang w:val="en-US" w:eastAsia="zh-CN"/>
              </w:rPr>
            </w:pPr>
            <w:r>
              <w:rPr>
                <w:rFonts w:hint="eastAsia"/>
                <w:b/>
                <w:bCs/>
                <w:color w:val="000000"/>
                <w:sz w:val="18"/>
                <w:szCs w:val="18"/>
                <w:lang w:val="en-US" w:eastAsia="zh-CN"/>
              </w:rPr>
              <w:t>670.41</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color w:val="000000"/>
                <w:sz w:val="18"/>
                <w:szCs w:val="18"/>
                <w:lang w:val="en-US" w:eastAsia="zh-CN"/>
              </w:rPr>
            </w:pPr>
            <w:r>
              <w:rPr>
                <w:rFonts w:hint="eastAsia"/>
                <w:b/>
                <w:color w:val="000000"/>
                <w:sz w:val="18"/>
                <w:szCs w:val="18"/>
                <w:lang w:val="en-US" w:eastAsia="zh-CN"/>
              </w:rPr>
              <w:t>582.77</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bCs/>
                <w:color w:val="000000"/>
                <w:sz w:val="18"/>
                <w:szCs w:val="18"/>
                <w:lang w:val="en-US" w:eastAsia="zh-CN"/>
              </w:rPr>
            </w:pPr>
            <w:r>
              <w:rPr>
                <w:rFonts w:hint="eastAsia"/>
                <w:b/>
                <w:bCs/>
                <w:color w:val="000000"/>
                <w:sz w:val="18"/>
                <w:szCs w:val="18"/>
                <w:lang w:val="en-US" w:eastAsia="zh-CN"/>
              </w:rPr>
              <w:t>87.64</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13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r>
      <w:tr>
        <w:tblPrEx>
          <w:tblCellMar>
            <w:top w:w="0" w:type="dxa"/>
            <w:left w:w="108" w:type="dxa"/>
            <w:bottom w:w="0" w:type="dxa"/>
            <w:right w:w="108" w:type="dxa"/>
          </w:tblCellMar>
        </w:tblPrEx>
        <w:trPr>
          <w:trHeight w:val="50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w:t>
            </w:r>
          </w:p>
        </w:tc>
        <w:tc>
          <w:tcPr>
            <w:tcW w:w="237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灾害防治及应急管理支出</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670.41</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582.77</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87.64</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3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42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w:t>
            </w:r>
          </w:p>
        </w:tc>
        <w:tc>
          <w:tcPr>
            <w:tcW w:w="237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消防救援事务</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670.41</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582.77</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87.64</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3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rPr>
          <w:trHeight w:val="42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2240201</w:t>
            </w:r>
          </w:p>
        </w:tc>
        <w:tc>
          <w:tcPr>
            <w:tcW w:w="237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行政运行</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582.77</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582.77</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3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42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2240204</w:t>
            </w:r>
          </w:p>
        </w:tc>
        <w:tc>
          <w:tcPr>
            <w:tcW w:w="237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消防应急救援</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87.64</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87.64</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3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25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75"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31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75"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31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75"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31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345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75"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31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10837" w:type="dxa"/>
            <w:gridSpan w:val="10"/>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注：本表反映部门本年度各项支出情况。</w:t>
            </w:r>
          </w:p>
        </w:tc>
      </w:tr>
    </w:tbl>
    <w:p>
      <w:pPr>
        <w:pStyle w:val="5"/>
        <w:ind w:left="1218"/>
        <w:rPr>
          <w:rFonts w:ascii="黑体"/>
          <w:sz w:val="20"/>
        </w:rPr>
      </w:pPr>
    </w:p>
    <w:p>
      <w:pPr>
        <w:pStyle w:val="2"/>
        <w:ind w:firstLine="440"/>
      </w:pPr>
    </w:p>
    <w:p>
      <w:pPr>
        <w:pStyle w:val="2"/>
        <w:ind w:firstLine="440"/>
      </w:pPr>
    </w:p>
    <w:p>
      <w:pPr>
        <w:pStyle w:val="2"/>
        <w:ind w:firstLine="0" w:firstLineChars="0"/>
        <w:sectPr>
          <w:footerReference r:id="rId13" w:type="default"/>
          <w:pgSz w:w="11910" w:h="16840"/>
          <w:pgMar w:top="1560" w:right="80" w:bottom="380" w:left="200" w:header="0" w:footer="850" w:gutter="0"/>
          <w:cols w:space="720" w:num="1"/>
        </w:sectPr>
      </w:pPr>
    </w:p>
    <w:tbl>
      <w:tblPr>
        <w:tblStyle w:val="10"/>
        <w:tblpPr w:leftFromText="180" w:rightFromText="180" w:vertAnchor="text" w:horzAnchor="page" w:tblpXSpec="center" w:tblpY="157"/>
        <w:tblOverlap w:val="never"/>
        <w:tblW w:w="10707" w:type="dxa"/>
        <w:jc w:val="center"/>
        <w:tblLayout w:type="fixed"/>
        <w:tblCellMar>
          <w:top w:w="0" w:type="dxa"/>
          <w:left w:w="108" w:type="dxa"/>
          <w:bottom w:w="0" w:type="dxa"/>
          <w:right w:w="108" w:type="dxa"/>
        </w:tblCellMar>
      </w:tblPr>
      <w:tblGrid>
        <w:gridCol w:w="2305"/>
        <w:gridCol w:w="530"/>
        <w:gridCol w:w="938"/>
        <w:gridCol w:w="2539"/>
        <w:gridCol w:w="530"/>
        <w:gridCol w:w="938"/>
        <w:gridCol w:w="938"/>
        <w:gridCol w:w="801"/>
        <w:gridCol w:w="1188"/>
      </w:tblGrid>
      <w:tr>
        <w:tblPrEx>
          <w:tblCellMar>
            <w:top w:w="0" w:type="dxa"/>
            <w:left w:w="108" w:type="dxa"/>
            <w:bottom w:w="0" w:type="dxa"/>
            <w:right w:w="108" w:type="dxa"/>
          </w:tblCellMar>
        </w:tblPrEx>
        <w:trPr>
          <w:trHeight w:val="90" w:hRule="atLeast"/>
          <w:jc w:val="center"/>
        </w:trPr>
        <w:tc>
          <w:tcPr>
            <w:tcW w:w="10707" w:type="dxa"/>
            <w:gridSpan w:val="9"/>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财政拨款收入支出决算总表</w:t>
            </w:r>
          </w:p>
        </w:tc>
      </w:tr>
      <w:tr>
        <w:tblPrEx>
          <w:tblCellMar>
            <w:top w:w="0" w:type="dxa"/>
            <w:left w:w="108" w:type="dxa"/>
            <w:bottom w:w="0" w:type="dxa"/>
            <w:right w:w="108" w:type="dxa"/>
          </w:tblCellMar>
        </w:tblPrEx>
        <w:trPr>
          <w:trHeight w:val="90" w:hRule="atLeast"/>
          <w:jc w:val="center"/>
        </w:trPr>
        <w:tc>
          <w:tcPr>
            <w:tcW w:w="230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53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88"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公开04表</w:t>
            </w:r>
          </w:p>
        </w:tc>
      </w:tr>
      <w:tr>
        <w:tblPrEx>
          <w:tblCellMar>
            <w:top w:w="0" w:type="dxa"/>
            <w:left w:w="108" w:type="dxa"/>
            <w:bottom w:w="0" w:type="dxa"/>
            <w:right w:w="108" w:type="dxa"/>
          </w:tblCellMar>
        </w:tblPrEx>
        <w:trPr>
          <w:trHeight w:val="90" w:hRule="atLeast"/>
          <w:jc w:val="center"/>
        </w:trPr>
        <w:tc>
          <w:tcPr>
            <w:tcW w:w="2305"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53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88"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90" w:hRule="atLeast"/>
          <w:jc w:val="center"/>
        </w:trPr>
        <w:tc>
          <w:tcPr>
            <w:tcW w:w="37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收     入</w:t>
            </w:r>
          </w:p>
        </w:tc>
        <w:tc>
          <w:tcPr>
            <w:tcW w:w="6934"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支     出</w:t>
            </w:r>
          </w:p>
        </w:tc>
      </w:tr>
      <w:tr>
        <w:tblPrEx>
          <w:tblCellMar>
            <w:top w:w="0" w:type="dxa"/>
            <w:left w:w="108" w:type="dxa"/>
            <w:bottom w:w="0" w:type="dxa"/>
            <w:right w:w="108" w:type="dxa"/>
          </w:tblCellMar>
        </w:tblPrEx>
        <w:trPr>
          <w:trHeight w:val="312" w:hRule="atLeast"/>
          <w:jc w:val="center"/>
        </w:trPr>
        <w:tc>
          <w:tcPr>
            <w:tcW w:w="230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w:t>
            </w:r>
          </w:p>
        </w:tc>
        <w:tc>
          <w:tcPr>
            <w:tcW w:w="5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行次</w:t>
            </w:r>
          </w:p>
        </w:tc>
        <w:tc>
          <w:tcPr>
            <w:tcW w:w="9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金额</w:t>
            </w:r>
          </w:p>
        </w:tc>
        <w:tc>
          <w:tcPr>
            <w:tcW w:w="253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w:t>
            </w:r>
          </w:p>
        </w:tc>
        <w:tc>
          <w:tcPr>
            <w:tcW w:w="5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行次</w:t>
            </w:r>
          </w:p>
        </w:tc>
        <w:tc>
          <w:tcPr>
            <w:tcW w:w="938"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9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一般公共预算财政拨款</w:t>
            </w:r>
          </w:p>
        </w:tc>
        <w:tc>
          <w:tcPr>
            <w:tcW w:w="80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政府性基金预算财政拨款</w:t>
            </w:r>
          </w:p>
        </w:tc>
        <w:tc>
          <w:tcPr>
            <w:tcW w:w="118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国有资本经营预算财政拨款</w:t>
            </w:r>
          </w:p>
        </w:tc>
      </w:tr>
      <w:tr>
        <w:tblPrEx>
          <w:tblCellMar>
            <w:top w:w="0" w:type="dxa"/>
            <w:left w:w="108" w:type="dxa"/>
            <w:bottom w:w="0" w:type="dxa"/>
            <w:right w:w="108" w:type="dxa"/>
          </w:tblCellMar>
        </w:tblPrEx>
        <w:trPr>
          <w:trHeight w:val="312" w:hRule="atLeast"/>
          <w:jc w:val="center"/>
        </w:trPr>
        <w:tc>
          <w:tcPr>
            <w:tcW w:w="23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530"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3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253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530"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38"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93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1"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18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530"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253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530"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56.4</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一、一般公共服务支出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二、政府性基金预算财政拨款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二、外交支出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三、国有资本经营预算财政拨款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三、国防支出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35</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四、公共安全支出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36</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五、教育支出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六、科学技术支出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7</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七、文化旅游体育与传媒支出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8</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八、社会保障和就业支出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9</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九、卫生健康支出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10</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十、节能环保支出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11</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十一、城乡社区支出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12</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十二、农林水支出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13</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十三、交通运输支出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45</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14</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十四、资源勘探工业信息等支出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46</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15</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十五、商业服务业等支出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16</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十六、金融支出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17</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十七、援助其他地区支出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18</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十八、自然资源海洋气象等支出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19</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十九、住房保障支出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20</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二十、粮油物资储备支出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21</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二十一、国有资本经营预算支出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22</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二十二、灾害防治及应急管理支出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57.79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57.79</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23</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二十三、其他支出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55</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jc w:val="center"/>
              <w:rPr>
                <w:b/>
                <w:bCs/>
                <w:color w:val="000000"/>
                <w:sz w:val="15"/>
                <w:szCs w:val="15"/>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24</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二十四、债务还本支出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56</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25</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二十五、债务付息支出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26</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二十六、抗疫特别国债安排的支出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本年收入合计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56.4</w:t>
            </w:r>
          </w:p>
        </w:tc>
        <w:tc>
          <w:tcPr>
            <w:tcW w:w="253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本年支出合计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57.79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57.79</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年初财政拨款结转和结余</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6.02</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年末财政拨款结转和结余</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4.63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4.63</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一般公共预算财政拨款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6.02</w:t>
            </w:r>
          </w:p>
        </w:tc>
        <w:tc>
          <w:tcPr>
            <w:tcW w:w="25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61</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政府性基金预算财政拨款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62</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国有资本经营预算财政拨款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63</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90" w:hRule="atLeast"/>
          <w:jc w:val="center"/>
        </w:trPr>
        <w:tc>
          <w:tcPr>
            <w:tcW w:w="230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62.42</w:t>
            </w:r>
          </w:p>
        </w:tc>
        <w:tc>
          <w:tcPr>
            <w:tcW w:w="253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62.42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62.42</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9519" w:type="dxa"/>
            <w:gridSpan w:val="8"/>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注：本表反映部门本年度一般公共预算财政拨款、政府性基金预算财政拨款和国有资本经营预算财政拨款的总收支和年末结转结余情况。</w:t>
            </w:r>
          </w:p>
        </w:tc>
        <w:tc>
          <w:tcPr>
            <w:tcW w:w="1188" w:type="dxa"/>
            <w:tcBorders>
              <w:top w:val="nil"/>
              <w:left w:val="nil"/>
              <w:bottom w:val="nil"/>
              <w:right w:val="nil"/>
            </w:tcBorders>
            <w:shd w:val="clear" w:color="auto" w:fill="auto"/>
            <w:noWrap/>
            <w:vAlign w:val="center"/>
          </w:tcPr>
          <w:p>
            <w:pPr>
              <w:rPr>
                <w:color w:val="000000"/>
                <w:sz w:val="15"/>
                <w:szCs w:val="15"/>
              </w:rPr>
            </w:pPr>
          </w:p>
        </w:tc>
      </w:tr>
    </w:tbl>
    <w:p>
      <w:pPr>
        <w:pStyle w:val="5"/>
        <w:ind w:left="1218"/>
        <w:rPr>
          <w:rFonts w:ascii="黑体"/>
          <w:sz w:val="20"/>
        </w:rPr>
      </w:pPr>
    </w:p>
    <w:p>
      <w:pPr>
        <w:rPr>
          <w:rFonts w:ascii="黑体"/>
          <w:sz w:val="20"/>
        </w:rPr>
      </w:pPr>
    </w:p>
    <w:p>
      <w:pPr>
        <w:pStyle w:val="2"/>
        <w:ind w:firstLine="440"/>
      </w:pPr>
    </w:p>
    <w:p>
      <w:pPr>
        <w:pStyle w:val="2"/>
        <w:ind w:firstLine="440"/>
      </w:pPr>
    </w:p>
    <w:p>
      <w:pPr>
        <w:rPr>
          <w:rFonts w:ascii="黑体"/>
          <w:sz w:val="20"/>
        </w:rPr>
        <w:sectPr>
          <w:pgSz w:w="11910" w:h="16840"/>
          <w:pgMar w:top="1440" w:right="80" w:bottom="380" w:left="200" w:header="0" w:footer="850" w:gutter="0"/>
          <w:cols w:space="720" w:num="1"/>
        </w:sectPr>
      </w:pPr>
    </w:p>
    <w:p>
      <w:pPr>
        <w:pStyle w:val="5"/>
        <w:ind w:left="1206"/>
        <w:rPr>
          <w:rFonts w:ascii="黑体"/>
          <w:sz w:val="20"/>
        </w:rPr>
      </w:pPr>
    </w:p>
    <w:tbl>
      <w:tblPr>
        <w:tblStyle w:val="10"/>
        <w:tblpPr w:leftFromText="180" w:rightFromText="180" w:vertAnchor="text" w:horzAnchor="page" w:tblpX="778" w:tblpY="372"/>
        <w:tblOverlap w:val="never"/>
        <w:tblW w:w="10620" w:type="dxa"/>
        <w:tblInd w:w="0" w:type="dxa"/>
        <w:tblLayout w:type="fixed"/>
        <w:tblCellMar>
          <w:top w:w="0" w:type="dxa"/>
          <w:left w:w="108" w:type="dxa"/>
          <w:bottom w:w="0" w:type="dxa"/>
          <w:right w:w="108" w:type="dxa"/>
        </w:tblCellMar>
      </w:tblPr>
      <w:tblGrid>
        <w:gridCol w:w="3756"/>
        <w:gridCol w:w="244"/>
        <w:gridCol w:w="244"/>
        <w:gridCol w:w="2899"/>
        <w:gridCol w:w="847"/>
        <w:gridCol w:w="847"/>
        <w:gridCol w:w="1783"/>
      </w:tblGrid>
      <w:tr>
        <w:tblPrEx>
          <w:tblCellMar>
            <w:top w:w="0" w:type="dxa"/>
            <w:left w:w="108" w:type="dxa"/>
            <w:bottom w:w="0" w:type="dxa"/>
            <w:right w:w="108" w:type="dxa"/>
          </w:tblCellMar>
        </w:tblPrEx>
        <w:trPr>
          <w:trHeight w:val="447" w:hRule="atLeast"/>
        </w:trPr>
        <w:tc>
          <w:tcPr>
            <w:tcW w:w="10620" w:type="dxa"/>
            <w:gridSpan w:val="7"/>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一般公共预算财政拨款支出决算表</w:t>
            </w:r>
          </w:p>
        </w:tc>
      </w:tr>
      <w:tr>
        <w:tblPrEx>
          <w:tblCellMar>
            <w:top w:w="0" w:type="dxa"/>
            <w:left w:w="108" w:type="dxa"/>
            <w:bottom w:w="0" w:type="dxa"/>
            <w:right w:w="108" w:type="dxa"/>
          </w:tblCellMar>
        </w:tblPrEx>
        <w:trPr>
          <w:trHeight w:val="297" w:hRule="atLeast"/>
        </w:trPr>
        <w:tc>
          <w:tcPr>
            <w:tcW w:w="375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89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3"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公开05表</w:t>
            </w:r>
          </w:p>
        </w:tc>
      </w:tr>
      <w:tr>
        <w:tblPrEx>
          <w:tblCellMar>
            <w:top w:w="0" w:type="dxa"/>
            <w:left w:w="108" w:type="dxa"/>
            <w:bottom w:w="0" w:type="dxa"/>
            <w:right w:w="108" w:type="dxa"/>
          </w:tblCellMar>
        </w:tblPrEx>
        <w:trPr>
          <w:trHeight w:val="297" w:hRule="atLeast"/>
        </w:trPr>
        <w:tc>
          <w:tcPr>
            <w:tcW w:w="3756"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89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3"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75" w:hRule="atLeast"/>
        </w:trPr>
        <w:tc>
          <w:tcPr>
            <w:tcW w:w="71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347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w:t>
            </w:r>
          </w:p>
        </w:tc>
      </w:tr>
      <w:tr>
        <w:tblPrEx>
          <w:tblCellMar>
            <w:top w:w="0" w:type="dxa"/>
            <w:left w:w="108" w:type="dxa"/>
            <w:bottom w:w="0" w:type="dxa"/>
            <w:right w:w="108" w:type="dxa"/>
          </w:tblCellMar>
        </w:tblPrEx>
        <w:trPr>
          <w:trHeight w:val="375" w:hRule="atLeast"/>
        </w:trPr>
        <w:tc>
          <w:tcPr>
            <w:tcW w:w="424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2899"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84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小计</w:t>
            </w:r>
          </w:p>
        </w:tc>
        <w:tc>
          <w:tcPr>
            <w:tcW w:w="84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178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r>
      <w:tr>
        <w:tblPrEx>
          <w:tblCellMar>
            <w:top w:w="0" w:type="dxa"/>
            <w:left w:w="108" w:type="dxa"/>
            <w:bottom w:w="0" w:type="dxa"/>
            <w:right w:w="108" w:type="dxa"/>
          </w:tblCellMar>
        </w:tblPrEx>
        <w:trPr>
          <w:trHeight w:val="340" w:hRule="atLeast"/>
        </w:trPr>
        <w:tc>
          <w:tcPr>
            <w:tcW w:w="424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89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3"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89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3"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75" w:hRule="atLeast"/>
        </w:trPr>
        <w:tc>
          <w:tcPr>
            <w:tcW w:w="714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r>
      <w:tr>
        <w:tblPrEx>
          <w:tblCellMar>
            <w:top w:w="0" w:type="dxa"/>
            <w:left w:w="108" w:type="dxa"/>
            <w:bottom w:w="0" w:type="dxa"/>
            <w:right w:w="108" w:type="dxa"/>
          </w:tblCellMar>
        </w:tblPrEx>
        <w:trPr>
          <w:trHeight w:val="375" w:hRule="atLeast"/>
        </w:trPr>
        <w:tc>
          <w:tcPr>
            <w:tcW w:w="714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bCs/>
                <w:color w:val="000000"/>
                <w:sz w:val="18"/>
                <w:szCs w:val="18"/>
                <w:lang w:val="en-US" w:eastAsia="zh-CN"/>
              </w:rPr>
            </w:pPr>
            <w:r>
              <w:rPr>
                <w:rFonts w:hint="eastAsia"/>
                <w:b/>
                <w:bCs/>
                <w:color w:val="000000"/>
                <w:sz w:val="18"/>
                <w:szCs w:val="18"/>
                <w:lang w:val="en-US" w:eastAsia="zh-CN"/>
              </w:rPr>
              <w:t>57.79</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bCs/>
                <w:color w:val="000000"/>
                <w:sz w:val="18"/>
                <w:szCs w:val="18"/>
                <w:lang w:val="en-US" w:eastAsia="zh-CN"/>
              </w:rPr>
            </w:pPr>
            <w:r>
              <w:rPr>
                <w:rFonts w:hint="eastAsia"/>
                <w:b/>
                <w:bCs/>
                <w:color w:val="000000"/>
                <w:sz w:val="18"/>
                <w:szCs w:val="18"/>
                <w:lang w:val="en-US" w:eastAsia="zh-CN"/>
              </w:rPr>
              <w:t>11.98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b/>
                <w:bCs/>
                <w:color w:val="000000"/>
                <w:sz w:val="18"/>
                <w:szCs w:val="18"/>
                <w:lang w:val="en-US" w:eastAsia="zh-CN"/>
              </w:rPr>
            </w:pPr>
            <w:r>
              <w:rPr>
                <w:rFonts w:hint="eastAsia"/>
                <w:b/>
                <w:bCs/>
                <w:color w:val="000000"/>
                <w:sz w:val="18"/>
                <w:szCs w:val="18"/>
                <w:lang w:val="en-US" w:eastAsia="zh-CN"/>
              </w:rPr>
              <w:t>45.81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灾害防治及应急管理支出</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57.79</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11.98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45.81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消防救援事务</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57.79</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11.98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45.81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2240201</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行政运行</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11.98</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11.98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2240204</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消防应急救援</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8"/>
                <w:szCs w:val="18"/>
                <w:lang w:val="en-US" w:eastAsia="zh-CN"/>
              </w:rPr>
            </w:pPr>
            <w:r>
              <w:rPr>
                <w:rFonts w:hint="eastAsia"/>
                <w:color w:val="000000"/>
                <w:sz w:val="18"/>
                <w:szCs w:val="18"/>
                <w:lang w:val="en-US" w:eastAsia="zh-CN"/>
              </w:rPr>
              <w:t>45.81</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eastAsia="zh-CN"/>
              </w:rPr>
              <w:t>45.81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10620" w:type="dxa"/>
            <w:gridSpan w:val="7"/>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注：本表反映部门本年度一般公共预算财政拨款支出情况。</w:t>
            </w:r>
          </w:p>
        </w:tc>
      </w:tr>
    </w:tbl>
    <w:p>
      <w:pPr>
        <w:pStyle w:val="2"/>
        <w:ind w:firstLine="0" w:firstLineChars="0"/>
        <w:sectPr>
          <w:pgSz w:w="11910" w:h="16840"/>
          <w:pgMar w:top="1380" w:right="80" w:bottom="380" w:left="200" w:header="0" w:footer="850" w:gutter="0"/>
          <w:cols w:space="720" w:num="1"/>
        </w:sectPr>
      </w:pPr>
    </w:p>
    <w:tbl>
      <w:tblPr>
        <w:tblStyle w:val="10"/>
        <w:tblW w:w="10676" w:type="dxa"/>
        <w:jc w:val="center"/>
        <w:tblLayout w:type="fixed"/>
        <w:tblCellMar>
          <w:top w:w="0" w:type="dxa"/>
          <w:left w:w="108" w:type="dxa"/>
          <w:bottom w:w="0" w:type="dxa"/>
          <w:right w:w="108" w:type="dxa"/>
        </w:tblCellMar>
      </w:tblPr>
      <w:tblGrid>
        <w:gridCol w:w="1285"/>
        <w:gridCol w:w="2098"/>
        <w:gridCol w:w="708"/>
        <w:gridCol w:w="709"/>
        <w:gridCol w:w="1418"/>
        <w:gridCol w:w="719"/>
        <w:gridCol w:w="537"/>
        <w:gridCol w:w="2035"/>
        <w:gridCol w:w="1167"/>
      </w:tblGrid>
      <w:tr>
        <w:tblPrEx>
          <w:tblCellMar>
            <w:top w:w="0" w:type="dxa"/>
            <w:left w:w="108" w:type="dxa"/>
            <w:bottom w:w="0" w:type="dxa"/>
            <w:right w:w="108" w:type="dxa"/>
          </w:tblCellMar>
        </w:tblPrEx>
        <w:trPr>
          <w:trHeight w:val="260" w:hRule="atLeast"/>
          <w:jc w:val="center"/>
        </w:trPr>
        <w:tc>
          <w:tcPr>
            <w:tcW w:w="10676" w:type="dxa"/>
            <w:gridSpan w:val="9"/>
            <w:tcBorders>
              <w:top w:val="nil"/>
              <w:left w:val="nil"/>
              <w:bottom w:val="nil"/>
              <w:right w:val="nil"/>
            </w:tcBorders>
            <w:shd w:val="clear" w:color="auto" w:fill="auto"/>
            <w:noWrap/>
            <w:vAlign w:val="bottom"/>
          </w:tcPr>
          <w:p>
            <w:pPr>
              <w:widowControl/>
              <w:jc w:val="center"/>
              <w:textAlignment w:val="bottom"/>
              <w:rPr>
                <w:color w:val="000000"/>
                <w:sz w:val="21"/>
                <w:szCs w:val="21"/>
              </w:rPr>
            </w:pPr>
            <w:r>
              <w:rPr>
                <w:rFonts w:hint="eastAsia"/>
                <w:color w:val="000000"/>
                <w:sz w:val="21"/>
                <w:szCs w:val="21"/>
                <w:lang w:val="en-US"/>
              </w:rPr>
              <w:t>一般公共预算财政拨款基本支出决算明细表</w:t>
            </w:r>
          </w:p>
        </w:tc>
      </w:tr>
      <w:tr>
        <w:tblPrEx>
          <w:tblCellMar>
            <w:top w:w="0" w:type="dxa"/>
            <w:left w:w="108" w:type="dxa"/>
            <w:bottom w:w="0" w:type="dxa"/>
            <w:right w:w="108" w:type="dxa"/>
          </w:tblCellMar>
        </w:tblPrEx>
        <w:trPr>
          <w:trHeight w:val="256" w:hRule="atLeast"/>
          <w:jc w:val="center"/>
        </w:trPr>
        <w:tc>
          <w:tcPr>
            <w:tcW w:w="1285"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209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41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1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2035"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167" w:type="dxa"/>
            <w:tcBorders>
              <w:top w:val="nil"/>
              <w:left w:val="nil"/>
              <w:bottom w:val="nil"/>
              <w:right w:val="nil"/>
            </w:tcBorders>
            <w:shd w:val="clear" w:color="auto" w:fill="auto"/>
            <w:noWrap/>
            <w:vAlign w:val="bottom"/>
          </w:tcPr>
          <w:p>
            <w:pPr>
              <w:widowControl/>
              <w:jc w:val="right"/>
              <w:textAlignment w:val="bottom"/>
              <w:rPr>
                <w:color w:val="000000"/>
                <w:sz w:val="11"/>
                <w:szCs w:val="11"/>
              </w:rPr>
            </w:pPr>
            <w:r>
              <w:rPr>
                <w:rFonts w:hint="eastAsia"/>
                <w:color w:val="000000"/>
                <w:sz w:val="11"/>
                <w:szCs w:val="11"/>
                <w:lang w:val="en-US"/>
              </w:rPr>
              <w:t>公开06表</w:t>
            </w:r>
          </w:p>
        </w:tc>
      </w:tr>
      <w:tr>
        <w:tblPrEx>
          <w:tblCellMar>
            <w:top w:w="0" w:type="dxa"/>
            <w:left w:w="108" w:type="dxa"/>
            <w:bottom w:w="0" w:type="dxa"/>
            <w:right w:w="108" w:type="dxa"/>
          </w:tblCellMar>
        </w:tblPrEx>
        <w:trPr>
          <w:trHeight w:val="322" w:hRule="atLeast"/>
          <w:jc w:val="center"/>
        </w:trPr>
        <w:tc>
          <w:tcPr>
            <w:tcW w:w="1285" w:type="dxa"/>
            <w:tcBorders>
              <w:top w:val="nil"/>
              <w:left w:val="nil"/>
              <w:bottom w:val="nil"/>
              <w:right w:val="nil"/>
            </w:tcBorders>
            <w:shd w:val="clear" w:color="auto" w:fill="auto"/>
            <w:noWrap/>
            <w:vAlign w:val="bottom"/>
          </w:tcPr>
          <w:p>
            <w:pPr>
              <w:widowControl/>
              <w:textAlignment w:val="bottom"/>
              <w:rPr>
                <w:color w:val="000000"/>
                <w:sz w:val="13"/>
                <w:szCs w:val="13"/>
              </w:rPr>
            </w:pPr>
            <w:r>
              <w:rPr>
                <w:rFonts w:hint="eastAsia"/>
                <w:color w:val="000000"/>
                <w:sz w:val="13"/>
                <w:szCs w:val="13"/>
                <w:lang w:val="en-US"/>
              </w:rPr>
              <w:t>部门：益阳市资阳区消防救援大队</w:t>
            </w:r>
          </w:p>
        </w:tc>
        <w:tc>
          <w:tcPr>
            <w:tcW w:w="209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41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1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2035"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167" w:type="dxa"/>
            <w:tcBorders>
              <w:top w:val="nil"/>
              <w:left w:val="nil"/>
              <w:bottom w:val="nil"/>
              <w:right w:val="nil"/>
            </w:tcBorders>
            <w:shd w:val="clear" w:color="auto" w:fill="auto"/>
            <w:noWrap/>
            <w:vAlign w:val="bottom"/>
          </w:tcPr>
          <w:p>
            <w:pPr>
              <w:widowControl/>
              <w:jc w:val="right"/>
              <w:textAlignment w:val="bottom"/>
              <w:rPr>
                <w:color w:val="000000"/>
                <w:sz w:val="11"/>
                <w:szCs w:val="11"/>
              </w:rPr>
            </w:pPr>
            <w:r>
              <w:rPr>
                <w:rFonts w:hint="eastAsia"/>
                <w:color w:val="000000"/>
                <w:sz w:val="11"/>
                <w:szCs w:val="11"/>
                <w:lang w:val="en-US"/>
              </w:rPr>
              <w:t>金额单位：万元</w:t>
            </w:r>
          </w:p>
        </w:tc>
      </w:tr>
      <w:tr>
        <w:tblPrEx>
          <w:tblCellMar>
            <w:top w:w="0" w:type="dxa"/>
            <w:left w:w="108" w:type="dxa"/>
            <w:bottom w:w="0" w:type="dxa"/>
            <w:right w:w="108" w:type="dxa"/>
          </w:tblCellMar>
        </w:tblPrEx>
        <w:trPr>
          <w:trHeight w:val="282" w:hRule="atLeast"/>
          <w:jc w:val="center"/>
        </w:trPr>
        <w:tc>
          <w:tcPr>
            <w:tcW w:w="4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人员经费</w:t>
            </w:r>
          </w:p>
        </w:tc>
        <w:tc>
          <w:tcPr>
            <w:tcW w:w="6585"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公用经费</w:t>
            </w:r>
          </w:p>
        </w:tc>
      </w:tr>
      <w:tr>
        <w:tblPrEx>
          <w:tblCellMar>
            <w:top w:w="0" w:type="dxa"/>
            <w:left w:w="108" w:type="dxa"/>
            <w:bottom w:w="0" w:type="dxa"/>
            <w:right w:w="108" w:type="dxa"/>
          </w:tblCellMar>
        </w:tblPrEx>
        <w:trPr>
          <w:trHeight w:val="313" w:hRule="atLeast"/>
          <w:jc w:val="center"/>
        </w:trPr>
        <w:tc>
          <w:tcPr>
            <w:tcW w:w="12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科目代码</w:t>
            </w:r>
          </w:p>
        </w:tc>
        <w:tc>
          <w:tcPr>
            <w:tcW w:w="209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科目名称</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科目代码</w:t>
            </w:r>
          </w:p>
        </w:tc>
        <w:tc>
          <w:tcPr>
            <w:tcW w:w="14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科目名称</w:t>
            </w:r>
          </w:p>
        </w:tc>
        <w:tc>
          <w:tcPr>
            <w:tcW w:w="71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c>
          <w:tcPr>
            <w:tcW w:w="5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科目代码</w:t>
            </w:r>
          </w:p>
        </w:tc>
        <w:tc>
          <w:tcPr>
            <w:tcW w:w="2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科目名称</w:t>
            </w:r>
          </w:p>
        </w:tc>
        <w:tc>
          <w:tcPr>
            <w:tcW w:w="116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r>
      <w:tr>
        <w:tblPrEx>
          <w:tblCellMar>
            <w:top w:w="0" w:type="dxa"/>
            <w:left w:w="108" w:type="dxa"/>
            <w:bottom w:w="0" w:type="dxa"/>
            <w:right w:w="108" w:type="dxa"/>
          </w:tblCellMar>
        </w:tblPrEx>
        <w:trPr>
          <w:trHeight w:val="313" w:hRule="atLeast"/>
          <w:jc w:val="center"/>
        </w:trPr>
        <w:tc>
          <w:tcPr>
            <w:tcW w:w="12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p>
        </w:tc>
        <w:tc>
          <w:tcPr>
            <w:tcW w:w="209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70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70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141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71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3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2035"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116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工资福利支出</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商品和服务支出</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6"/>
                <w:szCs w:val="16"/>
                <w:lang w:val="en-US" w:eastAsia="zh-CN"/>
              </w:rPr>
            </w:pPr>
            <w:r>
              <w:rPr>
                <w:rFonts w:hint="eastAsia"/>
                <w:color w:val="000000"/>
                <w:sz w:val="16"/>
                <w:szCs w:val="16"/>
                <w:lang w:val="en-US" w:eastAsia="zh-CN"/>
              </w:rPr>
              <w:t>11.98</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307</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债务利息及费用支出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基本工资</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30201</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办公费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6"/>
                <w:szCs w:val="16"/>
                <w:lang w:val="en-US" w:eastAsia="zh-CN"/>
              </w:rPr>
            </w:pPr>
            <w:r>
              <w:rPr>
                <w:rFonts w:hint="eastAsia"/>
                <w:color w:val="000000"/>
                <w:sz w:val="16"/>
                <w:szCs w:val="16"/>
                <w:lang w:val="en-US" w:eastAsia="zh-CN"/>
              </w:rPr>
              <w:t>2.67</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30701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国内债务付息</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30102</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津贴补贴</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30202</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印刷费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30702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国外债务付息</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奖金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30203</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咨询费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资本性支出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30106</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伙食补助费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30204</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手续费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房屋建筑物购建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30107</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绩效工资</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30205</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水费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办公设备购置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30108</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机关事业单位基本养老保险缴费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30206</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电费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31003</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专用设备购置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职业年金缴费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30207</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邮电费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31005</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基础设施建设</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30110</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职工基本医疗保险缴费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30208</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取暖费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31006</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大型修缮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公务员医疗补助缴费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物业管理费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31007</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信息网络及软件购置更新</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30112</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其他社会保障缴费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30211</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差旅费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31008</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物资储备</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住房公积金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30212</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因公出国（境）费用</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土地补偿</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30114</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医疗费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30213</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维修（护）费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31010</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安置补助</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30199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其他工资福利支出</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30214</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租赁费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地上附着物和青苗补偿</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对个人和家庭的补助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30215</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会议费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拆迁补偿</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离休费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30216</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培训费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31013</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公务用车购置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30302</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退休费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30217</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公务接待费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其他交通工具购置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退职（役）费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30218</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专用材料费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31021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文物和陈列品购置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30304</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抚恤金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30224</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被装购置费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31022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无形资产购置</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30305</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生活补助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30225</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专用燃料费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31099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其他资本性支出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30306</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救济费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30226</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劳务费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6"/>
                <w:szCs w:val="16"/>
                <w:lang w:val="en-US" w:eastAsia="zh-CN"/>
              </w:rPr>
            </w:pPr>
            <w:r>
              <w:rPr>
                <w:rFonts w:hint="eastAsia"/>
                <w:color w:val="000000"/>
                <w:sz w:val="16"/>
                <w:szCs w:val="16"/>
                <w:lang w:val="en-US" w:eastAsia="zh-CN"/>
              </w:rPr>
              <w:t>4.00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rFonts w:hint="default"/>
                <w:color w:val="000000"/>
                <w:sz w:val="16"/>
                <w:szCs w:val="16"/>
                <w:lang w:val="en-US"/>
              </w:rPr>
            </w:pP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其他支出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30307</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医疗费补助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30227</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委托业务费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39907</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国家赔偿费用支出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30308</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助学金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30228</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工会经费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39908</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对民间非营利组织和群众性自治组织补贴</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奖励金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福利费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39909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经常性赠与</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30310</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个人农业生产补贴</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30231</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公务用车运行维护费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39910</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资本性赠与</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30311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代缴社会保险费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30239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其他交通费用</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39999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其他支出</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30399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其他对个人和家庭的补助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30240</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税金及附加费用</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2035"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1167"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6"/>
                <w:szCs w:val="16"/>
              </w:rPr>
            </w:pPr>
          </w:p>
        </w:tc>
        <w:tc>
          <w:tcPr>
            <w:tcW w:w="2098"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708"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30299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其他商品和服务支出</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eastAsia="宋体"/>
                <w:color w:val="000000"/>
                <w:sz w:val="16"/>
                <w:szCs w:val="16"/>
                <w:lang w:val="en-US" w:eastAsia="zh-CN"/>
              </w:rPr>
            </w:pPr>
            <w:r>
              <w:rPr>
                <w:rFonts w:hint="eastAsia"/>
                <w:color w:val="000000"/>
                <w:sz w:val="16"/>
                <w:szCs w:val="16"/>
                <w:lang w:val="en-US" w:eastAsia="zh-CN"/>
              </w:rPr>
              <w:t>5.31</w:t>
            </w:r>
          </w:p>
        </w:tc>
        <w:tc>
          <w:tcPr>
            <w:tcW w:w="537"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2035"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1167"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r>
      <w:tr>
        <w:tblPrEx>
          <w:tblCellMar>
            <w:top w:w="0" w:type="dxa"/>
            <w:left w:w="108" w:type="dxa"/>
            <w:bottom w:w="0" w:type="dxa"/>
            <w:right w:w="108" w:type="dxa"/>
          </w:tblCellMar>
        </w:tblPrEx>
        <w:trPr>
          <w:trHeight w:val="282" w:hRule="atLeast"/>
          <w:jc w:val="center"/>
        </w:trPr>
        <w:tc>
          <w:tcPr>
            <w:tcW w:w="338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人员经费合计</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418" w:type="dxa"/>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公用经费合计</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13.38</w:t>
            </w:r>
          </w:p>
        </w:tc>
      </w:tr>
      <w:tr>
        <w:tblPrEx>
          <w:tblCellMar>
            <w:top w:w="0" w:type="dxa"/>
            <w:left w:w="108" w:type="dxa"/>
            <w:bottom w:w="0" w:type="dxa"/>
            <w:right w:w="108" w:type="dxa"/>
          </w:tblCellMar>
        </w:tblPrEx>
        <w:trPr>
          <w:trHeight w:val="282" w:hRule="atLeast"/>
          <w:jc w:val="center"/>
        </w:trPr>
        <w:tc>
          <w:tcPr>
            <w:tcW w:w="10676" w:type="dxa"/>
            <w:gridSpan w:val="9"/>
            <w:tcBorders>
              <w:top w:val="nil"/>
              <w:left w:val="nil"/>
              <w:bottom w:val="nil"/>
              <w:right w:val="nil"/>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注：本表反映部门本年度一般公共预算财政拨款基本支出明细情况。</w:t>
            </w:r>
          </w:p>
        </w:tc>
      </w:tr>
    </w:tbl>
    <w:p>
      <w:pPr>
        <w:pStyle w:val="5"/>
        <w:ind w:left="1228"/>
        <w:rPr>
          <w:rFonts w:ascii="黑体"/>
          <w:sz w:val="20"/>
        </w:rPr>
      </w:pPr>
    </w:p>
    <w:p>
      <w:pPr>
        <w:rPr>
          <w:rFonts w:ascii="黑体"/>
          <w:sz w:val="20"/>
        </w:rPr>
      </w:pPr>
    </w:p>
    <w:p>
      <w:pPr>
        <w:pStyle w:val="2"/>
        <w:ind w:firstLine="400"/>
        <w:rPr>
          <w:rFonts w:ascii="黑体"/>
          <w:sz w:val="20"/>
        </w:rPr>
      </w:pPr>
    </w:p>
    <w:tbl>
      <w:tblPr>
        <w:tblStyle w:val="10"/>
        <w:tblpPr w:leftFromText="180" w:rightFromText="180" w:vertAnchor="text" w:horzAnchor="page" w:tblpXSpec="center" w:tblpY="347"/>
        <w:tblOverlap w:val="never"/>
        <w:tblW w:w="10769" w:type="dxa"/>
        <w:jc w:val="center"/>
        <w:tblLayout w:type="fixed"/>
        <w:tblCellMar>
          <w:top w:w="0" w:type="dxa"/>
          <w:left w:w="108" w:type="dxa"/>
          <w:bottom w:w="0" w:type="dxa"/>
          <w:right w:w="108" w:type="dxa"/>
        </w:tblCellMar>
      </w:tblPr>
      <w:tblGrid>
        <w:gridCol w:w="2733"/>
        <w:gridCol w:w="236"/>
        <w:gridCol w:w="236"/>
        <w:gridCol w:w="1017"/>
        <w:gridCol w:w="1111"/>
        <w:gridCol w:w="1050"/>
        <w:gridCol w:w="807"/>
        <w:gridCol w:w="1056"/>
        <w:gridCol w:w="1035"/>
        <w:gridCol w:w="1488"/>
      </w:tblGrid>
      <w:tr>
        <w:tblPrEx>
          <w:tblCellMar>
            <w:top w:w="0" w:type="dxa"/>
            <w:left w:w="108" w:type="dxa"/>
            <w:bottom w:w="0" w:type="dxa"/>
            <w:right w:w="108" w:type="dxa"/>
          </w:tblCellMar>
        </w:tblPrEx>
        <w:trPr>
          <w:trHeight w:val="371" w:hRule="atLeast"/>
          <w:jc w:val="center"/>
        </w:trPr>
        <w:tc>
          <w:tcPr>
            <w:tcW w:w="10769" w:type="dxa"/>
            <w:gridSpan w:val="10"/>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政府性基金预算财政拨款收入支出决算表</w:t>
            </w:r>
          </w:p>
        </w:tc>
      </w:tr>
      <w:tr>
        <w:tblPrEx>
          <w:tblCellMar>
            <w:top w:w="0" w:type="dxa"/>
            <w:left w:w="108" w:type="dxa"/>
            <w:bottom w:w="0" w:type="dxa"/>
            <w:right w:w="108" w:type="dxa"/>
          </w:tblCellMar>
        </w:tblPrEx>
        <w:trPr>
          <w:trHeight w:val="243" w:hRule="atLeast"/>
          <w:jc w:val="center"/>
        </w:trPr>
        <w:tc>
          <w:tcPr>
            <w:tcW w:w="273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1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1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3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488"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公开07表</w:t>
            </w:r>
          </w:p>
        </w:tc>
      </w:tr>
      <w:tr>
        <w:tblPrEx>
          <w:tblCellMar>
            <w:top w:w="0" w:type="dxa"/>
            <w:left w:w="108" w:type="dxa"/>
            <w:bottom w:w="0" w:type="dxa"/>
            <w:right w:w="108" w:type="dxa"/>
          </w:tblCellMar>
        </w:tblPrEx>
        <w:trPr>
          <w:trHeight w:val="243" w:hRule="atLeast"/>
          <w:jc w:val="center"/>
        </w:trPr>
        <w:tc>
          <w:tcPr>
            <w:tcW w:w="2733"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1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1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3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488"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03" w:hRule="atLeast"/>
          <w:jc w:val="center"/>
        </w:trPr>
        <w:tc>
          <w:tcPr>
            <w:tcW w:w="42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111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年初结转和结余</w:t>
            </w: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本年收入</w:t>
            </w:r>
          </w:p>
        </w:tc>
        <w:tc>
          <w:tcPr>
            <w:tcW w:w="289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w:t>
            </w:r>
          </w:p>
        </w:tc>
        <w:tc>
          <w:tcPr>
            <w:tcW w:w="148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年末结转和结余</w:t>
            </w:r>
          </w:p>
        </w:tc>
      </w:tr>
      <w:tr>
        <w:tblPrEx>
          <w:tblCellMar>
            <w:top w:w="0" w:type="dxa"/>
            <w:left w:w="108" w:type="dxa"/>
            <w:bottom w:w="0" w:type="dxa"/>
            <w:right w:w="108" w:type="dxa"/>
          </w:tblCellMar>
        </w:tblPrEx>
        <w:trPr>
          <w:trHeight w:val="312" w:hRule="atLeast"/>
          <w:jc w:val="center"/>
        </w:trPr>
        <w:tc>
          <w:tcPr>
            <w:tcW w:w="320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1017"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11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小计</w:t>
            </w:r>
          </w:p>
        </w:tc>
        <w:tc>
          <w:tcPr>
            <w:tcW w:w="105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c>
          <w:tcPr>
            <w:tcW w:w="14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20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017"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1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20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017"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1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03" w:hRule="atLeast"/>
          <w:jc w:val="center"/>
        </w:trPr>
        <w:tc>
          <w:tcPr>
            <w:tcW w:w="422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111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105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w:t>
            </w:r>
          </w:p>
        </w:tc>
      </w:tr>
      <w:tr>
        <w:tblPrEx>
          <w:tblCellMar>
            <w:top w:w="0" w:type="dxa"/>
            <w:left w:w="108" w:type="dxa"/>
            <w:bottom w:w="0" w:type="dxa"/>
            <w:right w:w="108" w:type="dxa"/>
          </w:tblCellMar>
        </w:tblPrEx>
        <w:trPr>
          <w:trHeight w:val="303" w:hRule="atLeast"/>
          <w:jc w:val="center"/>
        </w:trPr>
        <w:tc>
          <w:tcPr>
            <w:tcW w:w="422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1111"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r>
      <w:tr>
        <w:tblPrEx>
          <w:tblCellMar>
            <w:top w:w="0" w:type="dxa"/>
            <w:left w:w="108" w:type="dxa"/>
            <w:bottom w:w="0" w:type="dxa"/>
            <w:right w:w="108" w:type="dxa"/>
          </w:tblCellMar>
        </w:tblPrEx>
        <w:trPr>
          <w:trHeight w:val="303" w:hRule="atLeast"/>
          <w:jc w:val="center"/>
        </w:trPr>
        <w:tc>
          <w:tcPr>
            <w:tcW w:w="320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7"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20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7"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20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7"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20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7"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20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7"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205"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7"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10769" w:type="dxa"/>
            <w:gridSpan w:val="10"/>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注：本表反映部门本年度政府性基金预算财政拨款收入、支出及结转和结余情况。</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tbl>
      <w:tblPr>
        <w:tblStyle w:val="10"/>
        <w:tblpPr w:leftFromText="180" w:rightFromText="180" w:vertAnchor="text" w:horzAnchor="page" w:tblpX="603" w:tblpY="259"/>
        <w:tblOverlap w:val="never"/>
        <w:tblW w:w="10840" w:type="dxa"/>
        <w:tblInd w:w="0" w:type="dxa"/>
        <w:tblLayout w:type="fixed"/>
        <w:tblCellMar>
          <w:top w:w="0" w:type="dxa"/>
          <w:left w:w="108" w:type="dxa"/>
          <w:bottom w:w="0" w:type="dxa"/>
          <w:right w:w="108" w:type="dxa"/>
        </w:tblCellMar>
      </w:tblPr>
      <w:tblGrid>
        <w:gridCol w:w="3716"/>
        <w:gridCol w:w="240"/>
        <w:gridCol w:w="240"/>
        <w:gridCol w:w="1192"/>
        <w:gridCol w:w="1828"/>
        <w:gridCol w:w="1788"/>
        <w:gridCol w:w="1836"/>
      </w:tblGrid>
      <w:tr>
        <w:tblPrEx>
          <w:tblCellMar>
            <w:top w:w="0" w:type="dxa"/>
            <w:left w:w="108" w:type="dxa"/>
            <w:bottom w:w="0" w:type="dxa"/>
            <w:right w:w="108" w:type="dxa"/>
          </w:tblCellMar>
        </w:tblPrEx>
        <w:trPr>
          <w:trHeight w:val="387" w:hRule="atLeast"/>
        </w:trPr>
        <w:tc>
          <w:tcPr>
            <w:tcW w:w="10840" w:type="dxa"/>
            <w:gridSpan w:val="7"/>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国有资本经营预算财政拨款支出决算表</w:t>
            </w:r>
          </w:p>
        </w:tc>
      </w:tr>
      <w:tr>
        <w:tblPrEx>
          <w:tblCellMar>
            <w:top w:w="0" w:type="dxa"/>
            <w:left w:w="108" w:type="dxa"/>
            <w:bottom w:w="0" w:type="dxa"/>
            <w:right w:w="108" w:type="dxa"/>
          </w:tblCellMar>
        </w:tblPrEx>
        <w:trPr>
          <w:trHeight w:val="253" w:hRule="atLeast"/>
        </w:trPr>
        <w:tc>
          <w:tcPr>
            <w:tcW w:w="371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9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2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36"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公开08表</w:t>
            </w:r>
          </w:p>
        </w:tc>
      </w:tr>
      <w:tr>
        <w:tblPrEx>
          <w:tblCellMar>
            <w:top w:w="0" w:type="dxa"/>
            <w:left w:w="108" w:type="dxa"/>
            <w:bottom w:w="0" w:type="dxa"/>
            <w:right w:w="108" w:type="dxa"/>
          </w:tblCellMar>
        </w:tblPrEx>
        <w:trPr>
          <w:trHeight w:val="253" w:hRule="atLeast"/>
        </w:trPr>
        <w:tc>
          <w:tcPr>
            <w:tcW w:w="3716"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9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2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36"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25" w:hRule="atLeast"/>
        </w:trPr>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54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w:t>
            </w:r>
          </w:p>
        </w:tc>
      </w:tr>
      <w:tr>
        <w:tblPrEx>
          <w:tblCellMar>
            <w:top w:w="0" w:type="dxa"/>
            <w:left w:w="108" w:type="dxa"/>
            <w:bottom w:w="0" w:type="dxa"/>
            <w:right w:w="108" w:type="dxa"/>
          </w:tblCellMar>
        </w:tblPrEx>
        <w:trPr>
          <w:trHeight w:val="325" w:hRule="atLeast"/>
        </w:trPr>
        <w:tc>
          <w:tcPr>
            <w:tcW w:w="41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1192"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182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合计</w:t>
            </w:r>
          </w:p>
        </w:tc>
        <w:tc>
          <w:tcPr>
            <w:tcW w:w="178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18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r>
      <w:tr>
        <w:tblPrEx>
          <w:tblCellMar>
            <w:top w:w="0" w:type="dxa"/>
            <w:left w:w="108" w:type="dxa"/>
            <w:bottom w:w="0" w:type="dxa"/>
            <w:right w:w="108" w:type="dxa"/>
          </w:tblCellMar>
        </w:tblPrEx>
        <w:trPr>
          <w:trHeight w:val="325" w:hRule="atLeast"/>
        </w:trPr>
        <w:tc>
          <w:tcPr>
            <w:tcW w:w="41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192"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82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83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192"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82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83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25" w:hRule="atLeast"/>
        </w:trPr>
        <w:tc>
          <w:tcPr>
            <w:tcW w:w="538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182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178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183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r>
      <w:tr>
        <w:tblPrEx>
          <w:tblCellMar>
            <w:top w:w="0" w:type="dxa"/>
            <w:left w:w="108" w:type="dxa"/>
            <w:bottom w:w="0" w:type="dxa"/>
            <w:right w:w="108" w:type="dxa"/>
          </w:tblCellMar>
        </w:tblPrEx>
        <w:trPr>
          <w:trHeight w:val="325" w:hRule="atLeast"/>
        </w:trPr>
        <w:tc>
          <w:tcPr>
            <w:tcW w:w="538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1828"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10840" w:type="dxa"/>
            <w:gridSpan w:val="7"/>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注：本表反映部门本年度国有资本经营预算财政拨款支出情况。</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tbl>
      <w:tblPr>
        <w:tblStyle w:val="10"/>
        <w:tblpPr w:leftFromText="180" w:rightFromText="180" w:vertAnchor="text" w:horzAnchor="page" w:tblpXSpec="center" w:tblpY="371"/>
        <w:tblOverlap w:val="never"/>
        <w:tblW w:w="10795" w:type="dxa"/>
        <w:jc w:val="center"/>
        <w:tblLayout w:type="fixed"/>
        <w:tblCellMar>
          <w:top w:w="0" w:type="dxa"/>
          <w:left w:w="108" w:type="dxa"/>
          <w:bottom w:w="0" w:type="dxa"/>
          <w:right w:w="108" w:type="dxa"/>
        </w:tblCellMar>
      </w:tblPr>
      <w:tblGrid>
        <w:gridCol w:w="2653"/>
        <w:gridCol w:w="1037"/>
        <w:gridCol w:w="554"/>
        <w:gridCol w:w="682"/>
        <w:gridCol w:w="682"/>
        <w:gridCol w:w="626"/>
        <w:gridCol w:w="551"/>
        <w:gridCol w:w="967"/>
        <w:gridCol w:w="554"/>
        <w:gridCol w:w="682"/>
        <w:gridCol w:w="682"/>
        <w:gridCol w:w="1125"/>
      </w:tblGrid>
      <w:tr>
        <w:tblPrEx>
          <w:tblCellMar>
            <w:top w:w="0" w:type="dxa"/>
            <w:left w:w="108" w:type="dxa"/>
            <w:bottom w:w="0" w:type="dxa"/>
            <w:right w:w="108" w:type="dxa"/>
          </w:tblCellMar>
        </w:tblPrEx>
        <w:trPr>
          <w:trHeight w:val="466" w:hRule="atLeast"/>
          <w:jc w:val="center"/>
        </w:trPr>
        <w:tc>
          <w:tcPr>
            <w:tcW w:w="10795" w:type="dxa"/>
            <w:gridSpan w:val="12"/>
            <w:tcBorders>
              <w:top w:val="nil"/>
              <w:left w:val="nil"/>
              <w:bottom w:val="nil"/>
              <w:right w:val="nil"/>
            </w:tcBorders>
            <w:shd w:val="clear" w:color="auto" w:fill="auto"/>
            <w:noWrap/>
            <w:vAlign w:val="bottom"/>
          </w:tcPr>
          <w:p>
            <w:pPr>
              <w:widowControl/>
              <w:jc w:val="center"/>
              <w:textAlignment w:val="bottom"/>
              <w:rPr>
                <w:color w:val="000000"/>
                <w:sz w:val="28"/>
                <w:szCs w:val="28"/>
              </w:rPr>
            </w:pPr>
            <w:r>
              <w:rPr>
                <w:rFonts w:hint="eastAsia"/>
                <w:color w:val="000000"/>
                <w:sz w:val="21"/>
                <w:szCs w:val="21"/>
                <w:lang w:val="en-US"/>
              </w:rPr>
              <w:t>财政拨款“三公”经费支出决算表</w:t>
            </w:r>
          </w:p>
        </w:tc>
      </w:tr>
      <w:tr>
        <w:tblPrEx>
          <w:tblCellMar>
            <w:top w:w="0" w:type="dxa"/>
            <w:left w:w="108" w:type="dxa"/>
            <w:bottom w:w="0" w:type="dxa"/>
            <w:right w:w="108" w:type="dxa"/>
          </w:tblCellMar>
        </w:tblPrEx>
        <w:trPr>
          <w:trHeight w:val="221" w:hRule="atLeast"/>
          <w:jc w:val="center"/>
        </w:trPr>
        <w:tc>
          <w:tcPr>
            <w:tcW w:w="2653"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0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26"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1"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96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125" w:type="dxa"/>
            <w:tcBorders>
              <w:top w:val="nil"/>
              <w:left w:val="nil"/>
              <w:bottom w:val="nil"/>
              <w:right w:val="nil"/>
            </w:tcBorders>
            <w:shd w:val="clear" w:color="auto" w:fill="auto"/>
            <w:noWrap/>
            <w:vAlign w:val="bottom"/>
          </w:tcPr>
          <w:p>
            <w:pPr>
              <w:widowControl/>
              <w:jc w:val="right"/>
              <w:textAlignment w:val="bottom"/>
              <w:rPr>
                <w:color w:val="000000"/>
                <w:sz w:val="13"/>
                <w:szCs w:val="13"/>
              </w:rPr>
            </w:pPr>
            <w:r>
              <w:rPr>
                <w:rFonts w:hint="eastAsia"/>
                <w:color w:val="000000"/>
                <w:sz w:val="13"/>
                <w:szCs w:val="13"/>
                <w:lang w:val="en-US"/>
              </w:rPr>
              <w:t>公开09表</w:t>
            </w:r>
          </w:p>
        </w:tc>
      </w:tr>
      <w:tr>
        <w:tblPrEx>
          <w:tblCellMar>
            <w:top w:w="0" w:type="dxa"/>
            <w:left w:w="108" w:type="dxa"/>
            <w:bottom w:w="0" w:type="dxa"/>
            <w:right w:w="108" w:type="dxa"/>
          </w:tblCellMar>
        </w:tblPrEx>
        <w:trPr>
          <w:trHeight w:val="221" w:hRule="atLeast"/>
          <w:jc w:val="center"/>
        </w:trPr>
        <w:tc>
          <w:tcPr>
            <w:tcW w:w="2653" w:type="dxa"/>
            <w:tcBorders>
              <w:top w:val="nil"/>
              <w:left w:val="nil"/>
              <w:bottom w:val="nil"/>
              <w:right w:val="nil"/>
            </w:tcBorders>
            <w:shd w:val="clear" w:color="auto" w:fill="auto"/>
            <w:noWrap/>
            <w:vAlign w:val="bottom"/>
          </w:tcPr>
          <w:p>
            <w:pPr>
              <w:widowControl/>
              <w:textAlignment w:val="bottom"/>
              <w:rPr>
                <w:color w:val="000000"/>
                <w:sz w:val="13"/>
                <w:szCs w:val="13"/>
              </w:rPr>
            </w:pPr>
            <w:r>
              <w:rPr>
                <w:rFonts w:hint="eastAsia"/>
                <w:color w:val="000000"/>
                <w:sz w:val="13"/>
                <w:szCs w:val="13"/>
                <w:lang w:val="en-US"/>
              </w:rPr>
              <w:t>部门：益阳市资阳区消防救援大队</w:t>
            </w:r>
          </w:p>
        </w:tc>
        <w:tc>
          <w:tcPr>
            <w:tcW w:w="10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26"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1"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96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125" w:type="dxa"/>
            <w:tcBorders>
              <w:top w:val="nil"/>
              <w:left w:val="nil"/>
              <w:bottom w:val="nil"/>
              <w:right w:val="nil"/>
            </w:tcBorders>
            <w:shd w:val="clear" w:color="auto" w:fill="auto"/>
            <w:noWrap/>
            <w:vAlign w:val="bottom"/>
          </w:tcPr>
          <w:p>
            <w:pPr>
              <w:widowControl/>
              <w:jc w:val="right"/>
              <w:textAlignment w:val="bottom"/>
              <w:rPr>
                <w:color w:val="000000"/>
                <w:sz w:val="13"/>
                <w:szCs w:val="13"/>
              </w:rPr>
            </w:pPr>
            <w:r>
              <w:rPr>
                <w:rFonts w:hint="eastAsia"/>
                <w:color w:val="000000"/>
                <w:sz w:val="13"/>
                <w:szCs w:val="13"/>
                <w:lang w:val="en-US"/>
              </w:rPr>
              <w:t>金额单位：万元</w:t>
            </w:r>
          </w:p>
        </w:tc>
      </w:tr>
      <w:tr>
        <w:tblPrEx>
          <w:tblCellMar>
            <w:top w:w="0" w:type="dxa"/>
            <w:left w:w="108" w:type="dxa"/>
            <w:bottom w:w="0" w:type="dxa"/>
            <w:right w:w="108" w:type="dxa"/>
          </w:tblCellMar>
        </w:tblPrEx>
        <w:trPr>
          <w:trHeight w:val="295" w:hRule="atLeast"/>
          <w:jc w:val="center"/>
        </w:trPr>
        <w:tc>
          <w:tcPr>
            <w:tcW w:w="6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预算数</w:t>
            </w:r>
          </w:p>
        </w:tc>
        <w:tc>
          <w:tcPr>
            <w:tcW w:w="456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r>
      <w:tr>
        <w:tblPrEx>
          <w:tblCellMar>
            <w:top w:w="0" w:type="dxa"/>
            <w:left w:w="108" w:type="dxa"/>
            <w:bottom w:w="0" w:type="dxa"/>
            <w:right w:w="108" w:type="dxa"/>
          </w:tblCellMar>
        </w:tblPrEx>
        <w:trPr>
          <w:trHeight w:val="447" w:hRule="atLeast"/>
          <w:jc w:val="center"/>
        </w:trPr>
        <w:tc>
          <w:tcPr>
            <w:tcW w:w="26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合计</w:t>
            </w:r>
          </w:p>
        </w:tc>
        <w:tc>
          <w:tcPr>
            <w:tcW w:w="10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因公出国（境）费</w:t>
            </w:r>
          </w:p>
        </w:tc>
        <w:tc>
          <w:tcPr>
            <w:tcW w:w="1918"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公务用车购置及运行维护费</w:t>
            </w:r>
          </w:p>
        </w:tc>
        <w:tc>
          <w:tcPr>
            <w:tcW w:w="62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公务接待费</w:t>
            </w:r>
          </w:p>
        </w:tc>
        <w:tc>
          <w:tcPr>
            <w:tcW w:w="55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合计</w:t>
            </w:r>
          </w:p>
        </w:tc>
        <w:tc>
          <w:tcPr>
            <w:tcW w:w="96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因公出国（境）费</w:t>
            </w:r>
          </w:p>
        </w:tc>
        <w:tc>
          <w:tcPr>
            <w:tcW w:w="1918"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公务用车购置及运行维护费</w:t>
            </w:r>
          </w:p>
        </w:tc>
        <w:tc>
          <w:tcPr>
            <w:tcW w:w="11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公务接待费</w:t>
            </w:r>
          </w:p>
        </w:tc>
      </w:tr>
      <w:tr>
        <w:tblPrEx>
          <w:tblCellMar>
            <w:top w:w="0" w:type="dxa"/>
            <w:left w:w="108" w:type="dxa"/>
            <w:bottom w:w="0" w:type="dxa"/>
            <w:right w:w="108" w:type="dxa"/>
          </w:tblCellMar>
        </w:tblPrEx>
        <w:trPr>
          <w:trHeight w:val="1090" w:hRule="atLeast"/>
          <w:jc w:val="center"/>
        </w:trPr>
        <w:tc>
          <w:tcPr>
            <w:tcW w:w="26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p>
        </w:tc>
        <w:tc>
          <w:tcPr>
            <w:tcW w:w="103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小计</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公务用车购置费</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公务用车运行维护费</w:t>
            </w:r>
          </w:p>
        </w:tc>
        <w:tc>
          <w:tcPr>
            <w:tcW w:w="62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51"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96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小计</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公务用车购置费</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公务用车运行维护费</w:t>
            </w:r>
          </w:p>
        </w:tc>
        <w:tc>
          <w:tcPr>
            <w:tcW w:w="1125"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r>
      <w:tr>
        <w:tblPrEx>
          <w:tblCellMar>
            <w:top w:w="0" w:type="dxa"/>
            <w:left w:w="108" w:type="dxa"/>
            <w:bottom w:w="0" w:type="dxa"/>
            <w:right w:w="108" w:type="dxa"/>
          </w:tblCellMar>
        </w:tblPrEx>
        <w:trPr>
          <w:trHeight w:val="295" w:hRule="atLeast"/>
          <w:jc w:val="center"/>
        </w:trPr>
        <w:tc>
          <w:tcPr>
            <w:tcW w:w="265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w:t>
            </w:r>
          </w:p>
        </w:tc>
        <w:tc>
          <w:tcPr>
            <w:tcW w:w="1037"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2</w:t>
            </w: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3</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4</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5</w:t>
            </w:r>
          </w:p>
        </w:tc>
        <w:tc>
          <w:tcPr>
            <w:tcW w:w="62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6</w:t>
            </w:r>
          </w:p>
        </w:tc>
        <w:tc>
          <w:tcPr>
            <w:tcW w:w="551"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7</w:t>
            </w:r>
          </w:p>
        </w:tc>
        <w:tc>
          <w:tcPr>
            <w:tcW w:w="9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8</w:t>
            </w: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9</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10</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11</w:t>
            </w:r>
          </w:p>
        </w:tc>
        <w:tc>
          <w:tcPr>
            <w:tcW w:w="11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12</w:t>
            </w:r>
          </w:p>
        </w:tc>
      </w:tr>
      <w:tr>
        <w:tblPrEx>
          <w:tblCellMar>
            <w:top w:w="0" w:type="dxa"/>
            <w:left w:w="108" w:type="dxa"/>
            <w:bottom w:w="0" w:type="dxa"/>
            <w:right w:w="108" w:type="dxa"/>
          </w:tblCellMar>
        </w:tblPrEx>
        <w:trPr>
          <w:trHeight w:val="295" w:hRule="atLeast"/>
          <w:jc w:val="center"/>
        </w:trPr>
        <w:tc>
          <w:tcPr>
            <w:tcW w:w="2653" w:type="dxa"/>
            <w:tcBorders>
              <w:top w:val="nil"/>
              <w:left w:val="single" w:color="000000" w:sz="4" w:space="0"/>
              <w:bottom w:val="single" w:color="000000" w:sz="4" w:space="0"/>
              <w:right w:val="single" w:color="000000" w:sz="4" w:space="0"/>
            </w:tcBorders>
            <w:shd w:val="clear" w:color="auto" w:fill="auto"/>
            <w:noWrap/>
            <w:vAlign w:val="center"/>
          </w:tcPr>
          <w:p>
            <w:pPr>
              <w:jc w:val="right"/>
              <w:rPr>
                <w:color w:val="000000"/>
                <w:sz w:val="16"/>
                <w:szCs w:val="16"/>
              </w:rPr>
            </w:pPr>
          </w:p>
        </w:tc>
        <w:tc>
          <w:tcPr>
            <w:tcW w:w="1037"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554"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26"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551"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967"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554"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1125"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r>
      <w:tr>
        <w:tblPrEx>
          <w:tblCellMar>
            <w:top w:w="0" w:type="dxa"/>
            <w:left w:w="108" w:type="dxa"/>
            <w:bottom w:w="0" w:type="dxa"/>
            <w:right w:w="108" w:type="dxa"/>
          </w:tblCellMar>
        </w:tblPrEx>
        <w:trPr>
          <w:trHeight w:val="558" w:hRule="atLeast"/>
          <w:jc w:val="center"/>
        </w:trPr>
        <w:tc>
          <w:tcPr>
            <w:tcW w:w="10795" w:type="dxa"/>
            <w:gridSpan w:val="12"/>
            <w:tcBorders>
              <w:top w:val="nil"/>
              <w:left w:val="nil"/>
              <w:bottom w:val="nil"/>
              <w:right w:val="nil"/>
            </w:tcBorders>
            <w:shd w:val="clear" w:color="auto" w:fill="auto"/>
            <w:vAlign w:val="center"/>
          </w:tcPr>
          <w:p>
            <w:pPr>
              <w:widowControl/>
              <w:textAlignment w:val="center"/>
              <w:rPr>
                <w:color w:val="000000"/>
                <w:sz w:val="16"/>
                <w:szCs w:val="16"/>
              </w:rPr>
            </w:pPr>
            <w:r>
              <w:rPr>
                <w:rFonts w:hint="eastAsia"/>
                <w:color w:val="000000"/>
                <w:sz w:val="16"/>
                <w:szCs w:val="16"/>
                <w:lang w:val="en-US"/>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sectPr>
          <w:pgSz w:w="11910" w:h="16840"/>
          <w:pgMar w:top="1520" w:right="80" w:bottom="380" w:left="200" w:header="0" w:footer="850" w:gutter="0"/>
          <w:cols w:space="720" w:num="1"/>
        </w:sectPr>
      </w:pPr>
    </w:p>
    <w:p>
      <w:pPr>
        <w:pStyle w:val="5"/>
        <w:rPr>
          <w:rFonts w:ascii="黑体"/>
          <w:b/>
          <w:sz w:val="20"/>
        </w:rPr>
      </w:pPr>
      <w: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8890</wp:posOffset>
                </wp:positionV>
                <wp:extent cx="7616825" cy="10683240"/>
                <wp:effectExtent l="0" t="0" r="0" b="0"/>
                <wp:wrapNone/>
                <wp:docPr id="18" name="组合 12"/>
                <wp:cNvGraphicFramePr/>
                <a:graphic xmlns:a="http://schemas.openxmlformats.org/drawingml/2006/main">
                  <a:graphicData uri="http://schemas.microsoft.com/office/word/2010/wordprocessingGroup">
                    <wpg:wgp>
                      <wpg:cNvGrpSpPr/>
                      <wpg:grpSpPr>
                        <a:xfrm>
                          <a:off x="0" y="0"/>
                          <a:ext cx="7616825" cy="10683240"/>
                          <a:chOff x="0" y="14"/>
                          <a:chExt cx="11557" cy="0"/>
                        </a:xfrm>
                      </wpg:grpSpPr>
                      <wps:wsp>
                        <wps:cNvPr id="13" name="自选图形 17"/>
                        <wps:cNvSpPr/>
                        <wps:spPr>
                          <a:xfrm>
                            <a:off x="3555" y="14"/>
                            <a:ext cx="2" cy="16824"/>
                          </a:xfrm>
                          <a:custGeom>
                            <a:avLst/>
                            <a:gdLst>
                              <a:gd name="A1" fmla="val 0"/>
                              <a:gd name="A2" fmla="val 0"/>
                              <a:gd name="A3" fmla="val 0"/>
                            </a:gdLst>
                            <a:ahLst/>
                            <a:cxnLst/>
                            <a:pathLst>
                              <a:path w="1" h="16824">
                                <a:moveTo>
                                  <a:pt x="0" y="0"/>
                                </a:moveTo>
                                <a:lnTo>
                                  <a:pt x="0" y="5928"/>
                                </a:lnTo>
                                <a:moveTo>
                                  <a:pt x="0" y="9516"/>
                                </a:moveTo>
                                <a:lnTo>
                                  <a:pt x="0" y="16824"/>
                                </a:lnTo>
                              </a:path>
                            </a:pathLst>
                          </a:custGeom>
                          <a:solidFill>
                            <a:srgbClr val="0070C0"/>
                          </a:solidFill>
                          <a:ln w="13968" cap="flat" cmpd="sng">
                            <a:solidFill>
                              <a:srgbClr val="CCCC00"/>
                            </a:solidFill>
                            <a:prstDash val="solid"/>
                            <a:round/>
                            <a:headEnd type="none" w="med" len="med"/>
                            <a:tailEnd type="none" w="med" len="med"/>
                          </a:ln>
                        </wps:spPr>
                        <wps:bodyPr upright="1"/>
                      </wps:wsp>
                      <wps:wsp>
                        <wps:cNvPr id="14" name="自选图形 16"/>
                        <wps:cNvSpPr/>
                        <wps:spPr>
                          <a:xfrm>
                            <a:off x="3399" y="14"/>
                            <a:ext cx="420" cy="16824"/>
                          </a:xfrm>
                          <a:custGeom>
                            <a:avLst/>
                            <a:gdLst>
                              <a:gd name="A1" fmla="val 0"/>
                              <a:gd name="A2" fmla="val 0"/>
                              <a:gd name="A3" fmla="val 0"/>
                            </a:gdLst>
                            <a:ahLst/>
                            <a:cxnLst/>
                            <a:pathLst>
                              <a:path w="420" h="16824">
                                <a:moveTo>
                                  <a:pt x="420" y="0"/>
                                </a:moveTo>
                                <a:lnTo>
                                  <a:pt x="420" y="5928"/>
                                </a:lnTo>
                                <a:moveTo>
                                  <a:pt x="420" y="9516"/>
                                </a:moveTo>
                                <a:lnTo>
                                  <a:pt x="420" y="16824"/>
                                </a:lnTo>
                                <a:moveTo>
                                  <a:pt x="0" y="0"/>
                                </a:moveTo>
                                <a:lnTo>
                                  <a:pt x="0" y="5928"/>
                                </a:lnTo>
                                <a:moveTo>
                                  <a:pt x="0" y="9516"/>
                                </a:moveTo>
                                <a:lnTo>
                                  <a:pt x="0" y="16824"/>
                                </a:lnTo>
                              </a:path>
                            </a:pathLst>
                          </a:custGeom>
                          <a:solidFill>
                            <a:srgbClr val="0070C0"/>
                          </a:solidFill>
                          <a:ln w="13968" cap="flat" cmpd="sng">
                            <a:solidFill>
                              <a:srgbClr val="CCCC00"/>
                            </a:solidFill>
                            <a:prstDash val="solid"/>
                            <a:round/>
                            <a:headEnd type="none" w="med" len="med"/>
                            <a:tailEnd type="none" w="med" len="med"/>
                          </a:ln>
                        </wps:spPr>
                        <wps:bodyPr upright="1"/>
                      </wps:wsp>
                      <wps:wsp>
                        <wps:cNvPr id="15" name="自选图形 15"/>
                        <wps:cNvSpPr/>
                        <wps:spPr>
                          <a:xfrm>
                            <a:off x="3678" y="14"/>
                            <a:ext cx="2" cy="16824"/>
                          </a:xfrm>
                          <a:custGeom>
                            <a:avLst/>
                            <a:gdLst>
                              <a:gd name="A1" fmla="val 0"/>
                              <a:gd name="A2" fmla="val 0"/>
                              <a:gd name="A3" fmla="val 0"/>
                            </a:gdLst>
                            <a:ahLst/>
                            <a:cxnLst/>
                            <a:pathLst>
                              <a:path w="1" h="16824">
                                <a:moveTo>
                                  <a:pt x="0" y="0"/>
                                </a:moveTo>
                                <a:lnTo>
                                  <a:pt x="0" y="5928"/>
                                </a:lnTo>
                                <a:moveTo>
                                  <a:pt x="0" y="9516"/>
                                </a:moveTo>
                                <a:lnTo>
                                  <a:pt x="0" y="16824"/>
                                </a:lnTo>
                              </a:path>
                            </a:pathLst>
                          </a:custGeom>
                          <a:solidFill>
                            <a:srgbClr val="0070C0"/>
                          </a:solidFill>
                          <a:ln w="13334" cap="flat" cmpd="sng">
                            <a:solidFill>
                              <a:srgbClr val="CCCC00"/>
                            </a:solidFill>
                            <a:prstDash val="solid"/>
                            <a:round/>
                            <a:headEnd type="none" w="med" len="med"/>
                            <a:tailEnd type="none" w="med" len="med"/>
                          </a:ln>
                        </wps:spPr>
                        <wps:bodyPr upright="1"/>
                      </wps:wsp>
                      <wps:wsp>
                        <wps:cNvPr id="16" name="矩形 14"/>
                        <wps:cNvSpPr/>
                        <wps:spPr>
                          <a:xfrm>
                            <a:off x="0" y="5942"/>
                            <a:ext cx="11549" cy="3588"/>
                          </a:xfrm>
                          <a:prstGeom prst="rect">
                            <a:avLst/>
                          </a:prstGeom>
                          <a:solidFill>
                            <a:srgbClr val="0070C0"/>
                          </a:solidFill>
                          <a:ln>
                            <a:noFill/>
                          </a:ln>
                        </wps:spPr>
                        <wps:bodyPr upright="1"/>
                      </wps:wsp>
                      <wps:wsp>
                        <wps:cNvPr id="17" name="自选图形 13"/>
                        <wps:cNvSpPr/>
                        <wps:spPr>
                          <a:xfrm>
                            <a:off x="0" y="5934"/>
                            <a:ext cx="11557" cy="3603"/>
                          </a:xfrm>
                          <a:custGeom>
                            <a:avLst/>
                            <a:gdLst>
                              <a:gd name="A1" fmla="val 0"/>
                              <a:gd name="A2" fmla="val 0"/>
                              <a:gd name="A3" fmla="val 0"/>
                            </a:gdLst>
                            <a:ahLst/>
                            <a:cxnLst/>
                            <a:pathLst>
                              <a:path w="11557" h="3603">
                                <a:moveTo>
                                  <a:pt x="11542" y="15"/>
                                </a:moveTo>
                                <a:lnTo>
                                  <a:pt x="0" y="15"/>
                                </a:lnTo>
                                <a:lnTo>
                                  <a:pt x="0" y="0"/>
                                </a:lnTo>
                                <a:lnTo>
                                  <a:pt x="11557" y="0"/>
                                </a:lnTo>
                                <a:lnTo>
                                  <a:pt x="11557" y="7"/>
                                </a:lnTo>
                                <a:lnTo>
                                  <a:pt x="11542" y="7"/>
                                </a:lnTo>
                                <a:lnTo>
                                  <a:pt x="11542" y="15"/>
                                </a:lnTo>
                                <a:close/>
                                <a:moveTo>
                                  <a:pt x="11542" y="3595"/>
                                </a:moveTo>
                                <a:lnTo>
                                  <a:pt x="11542" y="7"/>
                                </a:lnTo>
                                <a:lnTo>
                                  <a:pt x="11549" y="15"/>
                                </a:lnTo>
                                <a:lnTo>
                                  <a:pt x="11557" y="15"/>
                                </a:lnTo>
                                <a:lnTo>
                                  <a:pt x="11557" y="3588"/>
                                </a:lnTo>
                                <a:lnTo>
                                  <a:pt x="11549" y="3588"/>
                                </a:lnTo>
                                <a:lnTo>
                                  <a:pt x="11542" y="3595"/>
                                </a:lnTo>
                                <a:close/>
                                <a:moveTo>
                                  <a:pt x="11557" y="15"/>
                                </a:moveTo>
                                <a:lnTo>
                                  <a:pt x="11549" y="15"/>
                                </a:lnTo>
                                <a:lnTo>
                                  <a:pt x="11542" y="7"/>
                                </a:lnTo>
                                <a:lnTo>
                                  <a:pt x="11557" y="7"/>
                                </a:lnTo>
                                <a:lnTo>
                                  <a:pt x="11557" y="15"/>
                                </a:lnTo>
                                <a:close/>
                                <a:moveTo>
                                  <a:pt x="11557" y="3603"/>
                                </a:moveTo>
                                <a:lnTo>
                                  <a:pt x="0" y="3603"/>
                                </a:lnTo>
                                <a:lnTo>
                                  <a:pt x="0" y="3588"/>
                                </a:lnTo>
                                <a:lnTo>
                                  <a:pt x="11542" y="3588"/>
                                </a:lnTo>
                                <a:lnTo>
                                  <a:pt x="11542" y="3595"/>
                                </a:lnTo>
                                <a:lnTo>
                                  <a:pt x="11557" y="3595"/>
                                </a:lnTo>
                                <a:lnTo>
                                  <a:pt x="11557" y="3603"/>
                                </a:lnTo>
                                <a:close/>
                                <a:moveTo>
                                  <a:pt x="11557" y="3595"/>
                                </a:moveTo>
                                <a:lnTo>
                                  <a:pt x="11542" y="3595"/>
                                </a:lnTo>
                                <a:lnTo>
                                  <a:pt x="11549" y="3588"/>
                                </a:lnTo>
                                <a:lnTo>
                                  <a:pt x="11557" y="3588"/>
                                </a:lnTo>
                                <a:lnTo>
                                  <a:pt x="11557" y="3595"/>
                                </a:lnTo>
                                <a:close/>
                              </a:path>
                            </a:pathLst>
                          </a:custGeom>
                          <a:solidFill>
                            <a:srgbClr val="0070C0"/>
                          </a:solidFill>
                          <a:ln>
                            <a:noFill/>
                          </a:ln>
                        </wps:spPr>
                        <wps:bodyPr upright="1"/>
                      </wps:wsp>
                    </wpg:wgp>
                  </a:graphicData>
                </a:graphic>
              </wp:anchor>
            </w:drawing>
          </mc:Choice>
          <mc:Fallback>
            <w:pict>
              <v:group id="组合 12" o:spid="_x0000_s1026" o:spt="203" style="position:absolute;left:0pt;margin-left:0pt;margin-top:0.7pt;height:841.2pt;width:599.75pt;mso-position-horizontal-relative:page;mso-position-vertical-relative:page;z-index:-251655168;mso-width-relative:page;mso-height-relative:page;" coordorigin="0,14" coordsize="11557,0" o:gfxdata="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AAAAAZHJzL1BLAQIUABQAAAAIAIdO&#10;4kDcQCo62QAAAAgBAAAPAAAAAAAAAAEAIAAAACIAAABkcnMvZG93bnJldi54bWxQSwECFAAUAAAA&#10;CACHTuJAEn+R0tIEAAB8FwAADgAAAAAAAAABACAAAAAoAQAAZHJzL2Uyb0RvYy54bWxQSwUGAAAA&#10;AAYABgBZAQAAbAgAAAAA&#10;">
                <o:lock v:ext="edit" aspectratio="f"/>
                <v:shape id="自选图形 17" o:spid="_x0000_s1026" o:spt="100" style="position:absolute;left:3555;top:14;height:16824;width:2;" fillcolor="#0070C0" filled="t" stroked="t" coordsize="1,16824" o:gfxdata="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u1oW8AAAA&#10;2wAAAA8AAAAAAAAAAQAgAAAAIgAAAGRycy9kb3ducmV2LnhtbFBLAQIUABQAAAAIAIdO4kAzLwWe&#10;OwAAADkAAAAQAAAAAAAAAAEAIAAAAAsBAABkcnMvc2hhcGV4bWwueG1sUEsFBgAAAAAGAAYAWwEA&#10;ALUDAAAAAA==&#10;" path="m0,0l0,5928m0,9516l0,16824e">
                  <v:fill on="t" focussize="0,0"/>
                  <v:stroke weight="1.09984251968504pt" color="#CCCC00" joinstyle="round"/>
                  <v:imagedata o:title=""/>
                  <o:lock v:ext="edit" aspectratio="f"/>
                </v:shape>
                <v:shape id="自选图形 16" o:spid="_x0000_s1026" o:spt="100" style="position:absolute;left:3399;top:14;height:16824;width:420;" fillcolor="#0070C0" filled="t" stroked="t" coordsize="420,16824" o:gfxdata="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MNTO8AAAA&#10;2wAAAA8AAAAAAAAAAQAgAAAAIgAAAGRycy9kb3ducmV2LnhtbFBLAQIUABQAAAAIAIdO4kAzLwWe&#10;OwAAADkAAAAQAAAAAAAAAAEAIAAAAAsBAABkcnMvc2hhcGV4bWwueG1sUEsFBgAAAAAGAAYAWwEA&#10;ALUDAAAAAA==&#10;" path="m420,0l420,5928m420,9516l420,16824m0,0l0,5928m0,9516l0,16824e">
                  <v:fill on="t" focussize="0,0"/>
                  <v:stroke weight="1.09984251968504pt" color="#CCCC00" joinstyle="round"/>
                  <v:imagedata o:title=""/>
                  <o:lock v:ext="edit" aspectratio="f"/>
                </v:shape>
                <v:shape id="自选图形 15" o:spid="_x0000_s1026" o:spt="100" style="position:absolute;left:3678;top:14;height:16824;width:2;" fillcolor="#0070C0" filled="t" stroked="t" coordsize="1,16824" o:gfxdata="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QeRe5AAAA2wAA&#10;AA8AAAAAAAAAAQAgAAAAIgAAAGRycy9kb3ducmV2LnhtbFBLAQIUABQAAAAIAIdO4kAzLwWeOwAA&#10;ADkAAAAQAAAAAAAAAAEAIAAAAAgBAABkcnMvc2hhcGV4bWwueG1sUEsFBgAAAAAGAAYAWwEAALID&#10;AAAAAA==&#10;" path="m0,0l0,5928m0,9516l0,16824e">
                  <v:fill on="t" focussize="0,0"/>
                  <v:stroke weight="1.04992125984252pt" color="#CCCC00" joinstyle="round"/>
                  <v:imagedata o:title=""/>
                  <o:lock v:ext="edit" aspectratio="f"/>
                </v:shape>
                <v:rect id="矩形 14" o:spid="_x0000_s1026" o:spt="1" style="position:absolute;left:0;top:5942;height:3588;width:11549;" fillcolor="#0070C0" filled="t" stroked="f" coordsize="21600,21600" o:gfxdata="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FUMugAAANsA&#10;AAAPAAAAAAAAAAEAIAAAACIAAABkcnMvZG93bnJldi54bWxQSwECFAAUAAAACACHTuJAMy8FnjsA&#10;AAA5AAAAEAAAAAAAAAABACAAAAAJAQAAZHJzL3NoYXBleG1sLnhtbFBLBQYAAAAABgAGAFsBAACz&#10;AwAAAAA=&#10;">
                  <v:fill on="t" focussize="0,0"/>
                  <v:stroke on="f"/>
                  <v:imagedata o:title=""/>
                  <o:lock v:ext="edit" aspectratio="f"/>
                </v:rect>
                <v:shape id="自选图形 13" o:spid="_x0000_s1026" o:spt="100" style="position:absolute;left:0;top:5934;height:3603;width:11557;" fillcolor="#0070C0" filled="t" stroked="f" coordsize="11557,3603" o:gfxdata="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BM7bgAAADbAAAA&#10;DwAAAAAAAAABACAAAAAiAAAAZHJzL2Rvd25yZXYueG1sUEsBAhQAFAAAAAgAh07iQDMvBZ47AAAA&#10;OQAAABAAAAAAAAAAAQAgAAAABwEAAGRycy9zaGFwZXhtbC54bWxQSwUGAAAAAAYABgBbAQAAsQMA&#10;AAAA&#10;" path="m11542,15l0,15,0,0,11557,0,11557,7,11542,7,11542,15xm11542,3595l11542,7,11549,15,11557,15,11557,3588,11549,3588,11542,3595xm11557,15l11549,15,11542,7,11557,7,11557,15xm11557,3603l0,3603,0,3588,11542,3588,11542,3595,11557,3595,11557,3603xm11557,3595l11542,3595,11549,3588,11557,3588,11557,3595xe">
                  <v:fill on="t" focussize="0,0"/>
                  <v:stroke on="f"/>
                  <v:imagedata o:title=""/>
                  <o:lock v:ext="edit" aspectratio="f"/>
                </v:shape>
              </v:group>
            </w:pict>
          </mc:Fallback>
        </mc:AlternateContent>
      </w: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spacing w:before="10"/>
        <w:rPr>
          <w:rFonts w:ascii="黑体"/>
          <w:b/>
          <w:sz w:val="16"/>
        </w:rPr>
      </w:pPr>
    </w:p>
    <w:p>
      <w:pPr>
        <w:spacing w:before="28"/>
        <w:ind w:left="2873" w:leftChars="594" w:hanging="1566" w:hangingChars="300"/>
        <w:rPr>
          <w:rFonts w:hint="eastAsia" w:ascii="宋体" w:hAnsi="宋体" w:eastAsia="宋体" w:cs="宋体"/>
          <w:b/>
          <w:bCs/>
          <w:sz w:val="52"/>
          <w:szCs w:val="52"/>
          <w:lang w:val="en-US" w:eastAsia="zh-CN" w:bidi="zh-CN"/>
        </w:rPr>
      </w:pPr>
    </w:p>
    <w:p>
      <w:pPr>
        <w:spacing w:before="28"/>
        <w:ind w:left="2870" w:leftChars="830" w:hanging="1044" w:hangingChars="200"/>
        <w:rPr>
          <w:rFonts w:hint="eastAsia" w:ascii="宋体" w:hAnsi="宋体" w:eastAsia="宋体" w:cs="宋体"/>
          <w:b/>
          <w:bCs/>
          <w:sz w:val="52"/>
          <w:szCs w:val="52"/>
          <w:lang w:val="en-US" w:eastAsia="zh-CN" w:bidi="zh-CN"/>
        </w:rPr>
      </w:pPr>
      <w:r>
        <w:rPr>
          <w:rFonts w:hint="eastAsia" w:ascii="宋体" w:hAnsi="宋体" w:eastAsia="宋体" w:cs="宋体"/>
          <w:b/>
          <w:bCs/>
          <w:sz w:val="52"/>
          <w:szCs w:val="52"/>
          <w:lang w:val="en-US" w:eastAsia="zh-CN" w:bidi="zh-CN"/>
        </w:rPr>
        <w:t>第三部分益阳市资阳区消防救援大队</w:t>
      </w:r>
    </w:p>
    <w:p>
      <w:pPr>
        <w:spacing w:before="28"/>
        <w:ind w:left="2864" w:leftChars="1302" w:firstLine="522" w:firstLineChars="100"/>
        <w:rPr>
          <w:rFonts w:hint="eastAsia" w:ascii="宋体" w:hAnsi="宋体" w:eastAsia="宋体" w:cs="宋体"/>
          <w:b/>
          <w:bCs/>
          <w:sz w:val="52"/>
          <w:szCs w:val="52"/>
          <w:lang w:val="en-US" w:eastAsia="zh-CN" w:bidi="zh-CN"/>
        </w:rPr>
        <w:sectPr>
          <w:pgSz w:w="11910" w:h="16840"/>
          <w:pgMar w:top="0" w:right="80" w:bottom="380" w:left="200" w:header="0" w:footer="850" w:gutter="0"/>
          <w:cols w:space="720" w:num="1"/>
        </w:sectPr>
      </w:pPr>
      <w:r>
        <w:rPr>
          <w:rFonts w:hint="eastAsia" w:ascii="宋体" w:hAnsi="宋体" w:eastAsia="宋体" w:cs="宋体"/>
          <w:b/>
          <w:bCs/>
          <w:sz w:val="52"/>
          <w:szCs w:val="52"/>
          <w:lang w:val="en-US" w:eastAsia="zh-CN" w:bidi="zh-CN"/>
        </w:rPr>
        <w:t>2023年度决算情况说明</w:t>
      </w:r>
    </w:p>
    <w:p>
      <w:pPr>
        <w:pStyle w:val="9"/>
        <w:widowControl/>
        <w:shd w:val="clear" w:color="auto" w:fill="FFFFFF"/>
        <w:spacing w:beforeAutospacing="0" w:afterAutospacing="0" w:line="360" w:lineRule="auto"/>
        <w:ind w:firstLine="640"/>
        <w:rPr>
          <w:rFonts w:hint="eastAsia" w:ascii="宋体" w:hAnsi="宋体" w:eastAsia="宋体" w:cs="宋体"/>
          <w:b/>
          <w:bCs/>
          <w:color w:val="333333"/>
          <w:sz w:val="32"/>
          <w:szCs w:val="32"/>
          <w:shd w:val="clear" w:color="auto" w:fill="FFFFFF"/>
        </w:rPr>
      </w:pPr>
    </w:p>
    <w:p>
      <w:pPr>
        <w:pStyle w:val="9"/>
        <w:widowControl/>
        <w:numPr>
          <w:ilvl w:val="0"/>
          <w:numId w:val="1"/>
        </w:numPr>
        <w:shd w:val="clear" w:color="auto" w:fill="FFFFFF"/>
        <w:spacing w:beforeAutospacing="0" w:afterAutospacing="0" w:line="360" w:lineRule="auto"/>
        <w:ind w:firstLine="640"/>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收入支出决算总体情况说明</w:t>
      </w:r>
    </w:p>
    <w:p>
      <w:pPr>
        <w:pStyle w:val="9"/>
        <w:widowControl/>
        <w:numPr>
          <w:numId w:val="0"/>
        </w:numPr>
        <w:shd w:val="clear" w:color="auto" w:fill="FFFFFF"/>
        <w:spacing w:beforeAutospacing="0" w:afterAutospacing="0" w:line="360" w:lineRule="auto"/>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202</w:t>
      </w:r>
      <w:r>
        <w:rPr>
          <w:rFonts w:hint="eastAsia" w:ascii="宋体" w:hAnsi="宋体" w:eastAsia="宋体" w:cs="宋体"/>
          <w:color w:val="000000"/>
          <w:sz w:val="32"/>
          <w:szCs w:val="32"/>
          <w:shd w:val="clear" w:color="auto" w:fill="FFFFFF"/>
          <w:lang w:val="en-US" w:eastAsia="zh-CN"/>
        </w:rPr>
        <w:t>3</w:t>
      </w:r>
      <w:r>
        <w:rPr>
          <w:rFonts w:hint="eastAsia" w:ascii="宋体" w:hAnsi="宋体" w:eastAsia="宋体" w:cs="宋体"/>
          <w:color w:val="000000"/>
          <w:sz w:val="32"/>
          <w:szCs w:val="32"/>
          <w:shd w:val="clear" w:color="auto" w:fill="FFFFFF"/>
        </w:rPr>
        <w:t>年度益阳市资阳区消防救援大队收、支总计</w:t>
      </w:r>
      <w:r>
        <w:rPr>
          <w:rFonts w:hint="eastAsia" w:ascii="宋体" w:hAnsi="宋体" w:eastAsia="宋体" w:cs="宋体"/>
          <w:color w:val="000000"/>
          <w:sz w:val="32"/>
          <w:szCs w:val="32"/>
          <w:shd w:val="clear" w:color="auto" w:fill="FFFFFF"/>
          <w:lang w:val="en-US" w:eastAsia="zh-CN"/>
        </w:rPr>
        <w:t>750.39</w:t>
      </w:r>
      <w:r>
        <w:rPr>
          <w:rFonts w:hint="eastAsia" w:ascii="宋体" w:hAnsi="宋体" w:eastAsia="宋体" w:cs="宋体"/>
          <w:color w:val="000000"/>
          <w:sz w:val="32"/>
          <w:szCs w:val="32"/>
          <w:shd w:val="clear" w:color="auto" w:fill="FFFFFF"/>
        </w:rPr>
        <w:t>万元，与202</w:t>
      </w:r>
      <w:r>
        <w:rPr>
          <w:rFonts w:hint="eastAsia" w:ascii="宋体" w:hAnsi="宋体" w:eastAsia="宋体" w:cs="宋体"/>
          <w:color w:val="000000"/>
          <w:sz w:val="32"/>
          <w:szCs w:val="32"/>
          <w:shd w:val="clear" w:color="auto" w:fill="FFFFFF"/>
          <w:lang w:val="en-US" w:eastAsia="zh-CN"/>
        </w:rPr>
        <w:t>2</w:t>
      </w:r>
      <w:r>
        <w:rPr>
          <w:rFonts w:hint="eastAsia" w:ascii="宋体" w:hAnsi="宋体" w:eastAsia="宋体" w:cs="宋体"/>
          <w:color w:val="000000"/>
          <w:sz w:val="32"/>
          <w:szCs w:val="32"/>
          <w:shd w:val="clear" w:color="auto" w:fill="FFFFFF"/>
        </w:rPr>
        <w:t>年度相比，收、支总计</w:t>
      </w:r>
      <w:r>
        <w:rPr>
          <w:rFonts w:hint="eastAsia" w:ascii="宋体" w:hAnsi="宋体" w:eastAsia="宋体" w:cs="宋体"/>
          <w:color w:val="000000"/>
          <w:sz w:val="32"/>
          <w:szCs w:val="32"/>
          <w:shd w:val="clear" w:color="auto" w:fill="FFFFFF"/>
          <w:lang w:val="en-US" w:eastAsia="zh-CN"/>
        </w:rPr>
        <w:t>增加97.23</w:t>
      </w:r>
      <w:r>
        <w:rPr>
          <w:rFonts w:hint="eastAsia" w:ascii="宋体" w:hAnsi="宋体" w:eastAsia="宋体" w:cs="宋体"/>
          <w:color w:val="000000"/>
          <w:sz w:val="32"/>
          <w:szCs w:val="32"/>
          <w:shd w:val="clear" w:color="auto" w:fill="FFFFFF"/>
        </w:rPr>
        <w:t>万元，</w:t>
      </w:r>
      <w:r>
        <w:rPr>
          <w:rFonts w:hint="eastAsia" w:ascii="宋体" w:hAnsi="宋体" w:eastAsia="宋体" w:cs="宋体"/>
          <w:color w:val="000000"/>
          <w:sz w:val="32"/>
          <w:szCs w:val="32"/>
          <w:shd w:val="clear" w:color="auto" w:fill="FFFFFF"/>
          <w:lang w:val="en-US" w:eastAsia="zh-CN"/>
        </w:rPr>
        <w:t>增加14.9</w:t>
      </w:r>
      <w:r>
        <w:rPr>
          <w:rFonts w:hint="eastAsia" w:ascii="宋体" w:hAnsi="宋体" w:eastAsia="宋体" w:cs="宋体"/>
          <w:color w:val="000000"/>
          <w:sz w:val="32"/>
          <w:szCs w:val="32"/>
          <w:shd w:val="clear" w:color="auto" w:fill="FFFFFF"/>
        </w:rPr>
        <w:t>%。</w:t>
      </w:r>
    </w:p>
    <w:p>
      <w:pPr>
        <w:spacing w:before="100" w:beforeAutospacing="1" w:line="241" w:lineRule="auto"/>
        <w:ind w:left="880" w:leftChars="400"/>
        <w:rPr>
          <w:lang w:val="en-US"/>
        </w:rPr>
      </w:pPr>
      <w:r>
        <w:drawing>
          <wp:inline distT="0" distB="0" distL="114300" distR="114300">
            <wp:extent cx="4572000" cy="2743200"/>
            <wp:effectExtent l="4445" t="4445" r="14605" b="14605"/>
            <wp:docPr id="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numPr>
          <w:ilvl w:val="0"/>
          <w:numId w:val="1"/>
        </w:numPr>
        <w:spacing w:before="100" w:beforeAutospacing="1" w:line="360" w:lineRule="auto"/>
        <w:ind w:left="0" w:leftChars="0" w:firstLine="640" w:firstLineChars="0"/>
        <w:rPr>
          <w:rFonts w:hint="eastAsia" w:ascii="宋体" w:hAnsi="宋体" w:eastAsia="宋体" w:cs="宋体"/>
          <w:color w:val="000000"/>
          <w:sz w:val="32"/>
          <w:szCs w:val="32"/>
          <w:shd w:val="clear" w:color="auto" w:fill="FFFFFF"/>
        </w:rPr>
      </w:pPr>
      <w:r>
        <w:rPr>
          <w:rFonts w:hint="eastAsia" w:ascii="宋体" w:hAnsi="宋体" w:eastAsia="宋体" w:cs="宋体"/>
          <w:b/>
          <w:bCs/>
          <w:spacing w:val="-6"/>
          <w:sz w:val="32"/>
          <w:szCs w:val="32"/>
          <w:lang w:val="en-US"/>
        </w:rPr>
        <w:t>收入预算情况说明</w:t>
      </w:r>
    </w:p>
    <w:p>
      <w:pPr>
        <w:numPr>
          <w:numId w:val="0"/>
        </w:numPr>
        <w:spacing w:before="100" w:beforeAutospacing="1" w:line="360" w:lineRule="auto"/>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val="en-US" w:eastAsia="zh-CN" w:bidi="ar-SA"/>
        </w:rPr>
        <w:t>本年收入合计742.46万元，其中：财政拨款收入56.4万元，占7.6%；其他收入686.06万元,占92.4%。</w:t>
      </w:r>
    </w:p>
    <w:p>
      <w:pPr>
        <w:pStyle w:val="2"/>
        <w:spacing w:line="360" w:lineRule="auto"/>
        <w:ind w:firstLine="640"/>
        <w:jc w:val="both"/>
        <w:rPr>
          <w:rFonts w:hint="eastAsia" w:ascii="仿宋" w:hAnsi="仿宋" w:eastAsia="仿宋" w:cs="仿宋"/>
          <w:color w:val="333333"/>
          <w:sz w:val="32"/>
          <w:szCs w:val="32"/>
          <w:shd w:val="clear" w:color="auto" w:fill="FFFFFF"/>
        </w:rPr>
      </w:pPr>
      <w:r>
        <w:rPr>
          <w:rFonts w:hint="eastAsia"/>
          <w:lang w:val="en-US" w:eastAsia="zh-CN"/>
        </w:rPr>
        <w:t xml:space="preserve">   </w:t>
      </w:r>
      <w:r>
        <w:drawing>
          <wp:inline distT="0" distB="0" distL="114300" distR="114300">
            <wp:extent cx="4572000" cy="2743200"/>
            <wp:effectExtent l="4445" t="4445" r="14605" b="14605"/>
            <wp:docPr id="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
        <w:spacing w:line="360" w:lineRule="auto"/>
        <w:ind w:firstLine="640"/>
        <w:jc w:val="both"/>
        <w:rPr>
          <w:rFonts w:hint="eastAsia" w:ascii="仿宋" w:hAnsi="仿宋" w:eastAsia="仿宋" w:cs="仿宋"/>
          <w:color w:val="333333"/>
          <w:sz w:val="32"/>
          <w:szCs w:val="32"/>
          <w:shd w:val="clear" w:color="auto" w:fill="FFFFFF"/>
        </w:rPr>
      </w:pPr>
    </w:p>
    <w:p>
      <w:pPr>
        <w:spacing w:before="100" w:beforeAutospacing="1" w:line="360" w:lineRule="auto"/>
        <w:rPr>
          <w:rFonts w:ascii="仿宋" w:hAnsi="仿宋" w:eastAsia="仿宋" w:cs="仿宋"/>
          <w:b/>
          <w:bCs/>
          <w:spacing w:val="-6"/>
          <w:sz w:val="32"/>
          <w:szCs w:val="32"/>
        </w:rPr>
      </w:pPr>
    </w:p>
    <w:p>
      <w:pPr>
        <w:pStyle w:val="2"/>
        <w:rPr>
          <w:rFonts w:hint="eastAsia" w:ascii="宋体" w:hAnsi="宋体" w:eastAsia="宋体" w:cs="宋体"/>
        </w:rPr>
      </w:pPr>
    </w:p>
    <w:p>
      <w:pPr>
        <w:numPr>
          <w:ilvl w:val="0"/>
          <w:numId w:val="2"/>
        </w:numPr>
        <w:spacing w:beforeAutospacing="0" w:line="240" w:lineRule="auto"/>
        <w:ind w:firstLine="619" w:firstLineChars="200"/>
        <w:rPr>
          <w:rFonts w:hint="eastAsia" w:ascii="宋体" w:hAnsi="宋体" w:eastAsia="宋体" w:cs="宋体"/>
          <w:color w:val="000000"/>
          <w:sz w:val="32"/>
          <w:szCs w:val="32"/>
          <w:shd w:val="clear" w:color="auto" w:fill="FFFFFF"/>
          <w:lang w:val="en-US" w:eastAsia="zh-CN" w:bidi="ar-SA"/>
        </w:rPr>
      </w:pPr>
      <w:r>
        <w:rPr>
          <w:rFonts w:hint="eastAsia" w:ascii="宋体" w:hAnsi="宋体" w:eastAsia="宋体" w:cs="宋体"/>
          <w:b/>
          <w:bCs/>
          <w:spacing w:val="-6"/>
          <w:sz w:val="32"/>
          <w:szCs w:val="32"/>
        </w:rPr>
        <w:t>支出</w:t>
      </w:r>
      <w:r>
        <w:rPr>
          <w:rFonts w:hint="eastAsia" w:ascii="宋体" w:hAnsi="宋体" w:eastAsia="宋体" w:cs="宋体"/>
          <w:b/>
          <w:bCs/>
          <w:spacing w:val="-6"/>
          <w:sz w:val="32"/>
          <w:szCs w:val="32"/>
          <w:lang w:val="en-US"/>
        </w:rPr>
        <w:t>决算</w:t>
      </w:r>
      <w:r>
        <w:rPr>
          <w:rFonts w:hint="eastAsia" w:ascii="宋体" w:hAnsi="宋体" w:eastAsia="宋体" w:cs="宋体"/>
          <w:b/>
          <w:bCs/>
          <w:spacing w:val="-6"/>
          <w:sz w:val="32"/>
          <w:szCs w:val="32"/>
        </w:rPr>
        <w:t>情况说明</w:t>
      </w:r>
    </w:p>
    <w:p>
      <w:pPr>
        <w:numPr>
          <w:numId w:val="0"/>
        </w:numPr>
        <w:spacing w:beforeAutospacing="0" w:line="240" w:lineRule="auto"/>
        <w:ind w:firstLine="640" w:firstLineChars="200"/>
        <w:rPr>
          <w:rFonts w:hint="eastAsia" w:ascii="宋体" w:hAnsi="宋体" w:eastAsia="宋体" w:cs="宋体"/>
          <w:color w:val="000000"/>
          <w:sz w:val="32"/>
          <w:szCs w:val="32"/>
          <w:shd w:val="clear" w:color="auto" w:fill="FFFFFF"/>
          <w:lang w:val="en-US" w:eastAsia="zh-CN" w:bidi="ar-SA"/>
        </w:rPr>
      </w:pPr>
    </w:p>
    <w:p>
      <w:pPr>
        <w:numPr>
          <w:numId w:val="0"/>
        </w:numPr>
        <w:spacing w:beforeAutospacing="0" w:line="240" w:lineRule="auto"/>
        <w:ind w:firstLine="640" w:firstLineChars="200"/>
        <w:rPr>
          <w:rFonts w:hint="eastAsia" w:ascii="宋体" w:hAnsi="宋体" w:eastAsia="宋体" w:cs="宋体"/>
          <w:color w:val="000000"/>
          <w:sz w:val="32"/>
          <w:szCs w:val="32"/>
          <w:shd w:val="clear" w:color="auto" w:fill="FFFFFF"/>
          <w:lang w:val="en-US" w:eastAsia="zh-CN" w:bidi="ar-SA"/>
        </w:rPr>
      </w:pPr>
      <w:r>
        <w:rPr>
          <w:rFonts w:hint="eastAsia" w:ascii="宋体" w:hAnsi="宋体" w:eastAsia="宋体" w:cs="宋体"/>
          <w:color w:val="000000"/>
          <w:sz w:val="32"/>
          <w:szCs w:val="32"/>
          <w:shd w:val="clear" w:color="auto" w:fill="FFFFFF"/>
          <w:lang w:val="en-US" w:eastAsia="zh-CN" w:bidi="ar-SA"/>
        </w:rPr>
        <w:t>本年支出合计670.41万元，其中：基本支出582.77万元，占86.93%；项目支出87.64万元，占13.07%。</w:t>
      </w:r>
    </w:p>
    <w:p>
      <w:pPr>
        <w:spacing w:before="100" w:beforeAutospacing="1" w:line="360" w:lineRule="auto"/>
        <w:ind w:left="550" w:leftChars="250" w:right="660" w:rightChars="300" w:firstLine="440" w:firstLineChars="200"/>
        <w:jc w:val="center"/>
        <w:rPr>
          <w:rFonts w:ascii="方正黑体_GBK" w:hAnsi="方正黑体_GBK" w:eastAsia="方正黑体_GBK" w:cs="方正黑体_GBK"/>
          <w:spacing w:val="-6"/>
          <w:sz w:val="32"/>
          <w:szCs w:val="32"/>
        </w:rPr>
      </w:pPr>
      <w:r>
        <w:drawing>
          <wp:inline distT="0" distB="0" distL="114300" distR="114300">
            <wp:extent cx="4572000" cy="2743200"/>
            <wp:effectExtent l="4445" t="4445" r="14605" b="14605"/>
            <wp:docPr id="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numPr>
          <w:ilvl w:val="0"/>
          <w:numId w:val="3"/>
        </w:numPr>
        <w:spacing w:before="100" w:beforeAutospacing="1" w:line="360" w:lineRule="auto"/>
        <w:ind w:firstLine="619" w:firstLineChars="200"/>
        <w:rPr>
          <w:rFonts w:hint="eastAsia" w:ascii="宋体" w:hAnsi="宋体" w:eastAsia="宋体" w:cs="宋体"/>
          <w:color w:val="000000"/>
          <w:sz w:val="32"/>
          <w:szCs w:val="32"/>
          <w:shd w:val="clear" w:color="auto" w:fill="FFFFFF"/>
          <w:lang w:val="en-US" w:eastAsia="zh-CN"/>
        </w:rPr>
      </w:pPr>
      <w:r>
        <w:rPr>
          <w:rFonts w:hint="eastAsia" w:ascii="宋体" w:hAnsi="宋体" w:eastAsia="宋体" w:cs="宋体"/>
          <w:b/>
          <w:bCs/>
          <w:spacing w:val="-6"/>
          <w:sz w:val="32"/>
          <w:szCs w:val="32"/>
        </w:rPr>
        <w:t>财政拨款收</w:t>
      </w:r>
      <w:r>
        <w:rPr>
          <w:rFonts w:hint="eastAsia" w:ascii="宋体" w:hAnsi="宋体" w:eastAsia="宋体" w:cs="宋体"/>
          <w:b/>
          <w:bCs/>
          <w:spacing w:val="-6"/>
          <w:sz w:val="32"/>
          <w:szCs w:val="32"/>
          <w:lang w:val="en-US"/>
        </w:rPr>
        <w:t>入</w:t>
      </w:r>
      <w:r>
        <w:rPr>
          <w:rFonts w:hint="eastAsia" w:ascii="宋体" w:hAnsi="宋体" w:eastAsia="宋体" w:cs="宋体"/>
          <w:b/>
          <w:bCs/>
          <w:spacing w:val="-6"/>
          <w:sz w:val="32"/>
          <w:szCs w:val="32"/>
        </w:rPr>
        <w:t>支</w:t>
      </w:r>
      <w:r>
        <w:rPr>
          <w:rFonts w:hint="eastAsia" w:ascii="宋体" w:hAnsi="宋体" w:eastAsia="宋体" w:cs="宋体"/>
          <w:b/>
          <w:bCs/>
          <w:spacing w:val="-6"/>
          <w:sz w:val="32"/>
          <w:szCs w:val="32"/>
          <w:lang w:val="en-US"/>
        </w:rPr>
        <w:t>出决算</w:t>
      </w:r>
      <w:r>
        <w:rPr>
          <w:rFonts w:hint="eastAsia" w:ascii="宋体" w:hAnsi="宋体" w:eastAsia="宋体" w:cs="宋体"/>
          <w:b/>
          <w:bCs/>
          <w:spacing w:val="-6"/>
          <w:sz w:val="32"/>
          <w:szCs w:val="32"/>
        </w:rPr>
        <w:t>总体情况说明</w:t>
      </w:r>
    </w:p>
    <w:p>
      <w:pPr>
        <w:numPr>
          <w:numId w:val="0"/>
        </w:numPr>
        <w:spacing w:before="100" w:beforeAutospacing="1" w:line="360" w:lineRule="auto"/>
        <w:ind w:firstLine="640" w:firstLineChars="200"/>
        <w:rPr>
          <w:rFonts w:hint="eastAsia" w:ascii="宋体" w:hAnsi="宋体" w:eastAsia="宋体" w:cs="宋体"/>
          <w:color w:val="000000"/>
          <w:sz w:val="32"/>
          <w:szCs w:val="32"/>
          <w:shd w:val="clear" w:color="auto" w:fill="FFFFFF"/>
          <w:lang w:val="en-US" w:eastAsia="zh-CN"/>
        </w:rPr>
      </w:pPr>
      <w:r>
        <w:rPr>
          <w:rFonts w:hint="eastAsia" w:ascii="宋体" w:hAnsi="宋体" w:eastAsia="宋体" w:cs="宋体"/>
          <w:color w:val="000000"/>
          <w:sz w:val="32"/>
          <w:szCs w:val="32"/>
          <w:shd w:val="clear" w:color="auto" w:fill="FFFFFF"/>
          <w:lang w:val="en-US" w:eastAsia="zh-CN"/>
        </w:rPr>
        <w:t>2023年度财政拨款收、支总计62.42万元。与2022年度相比，财政拨款收、支总计增加22.62万元，主要是当年财政拨款收入增加24.01万元，年初财政拨款结转和结余减少1.39万元。</w:t>
      </w:r>
    </w:p>
    <w:p>
      <w:pPr>
        <w:pStyle w:val="2"/>
        <w:spacing w:line="240" w:lineRule="auto"/>
        <w:ind w:firstLine="440"/>
        <w:rPr>
          <w:lang w:val="en-US"/>
        </w:rPr>
      </w:pPr>
      <w:r>
        <w:rPr>
          <w:rFonts w:hint="eastAsia"/>
          <w:lang w:val="en-US" w:eastAsia="zh-CN"/>
        </w:rPr>
        <w:t xml:space="preserve">     </w:t>
      </w:r>
      <w:r>
        <w:drawing>
          <wp:inline distT="0" distB="0" distL="114300" distR="114300">
            <wp:extent cx="4572000" cy="2743200"/>
            <wp:effectExtent l="4445" t="4445" r="14605" b="14605"/>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00" w:beforeAutospacing="1" w:line="360" w:lineRule="auto"/>
        <w:ind w:firstLine="619" w:firstLineChars="200"/>
        <w:rPr>
          <w:rFonts w:ascii="仿宋" w:hAnsi="仿宋" w:eastAsia="仿宋" w:cs="仿宋"/>
          <w:b/>
          <w:bCs/>
          <w:spacing w:val="-6"/>
          <w:sz w:val="32"/>
          <w:szCs w:val="32"/>
        </w:rPr>
      </w:pPr>
    </w:p>
    <w:p>
      <w:pPr>
        <w:numPr>
          <w:ilvl w:val="0"/>
          <w:numId w:val="3"/>
        </w:numPr>
        <w:spacing w:before="100" w:beforeAutospacing="1" w:line="360" w:lineRule="auto"/>
        <w:ind w:left="0" w:leftChars="0" w:firstLine="619" w:firstLineChars="200"/>
        <w:rPr>
          <w:rFonts w:hint="eastAsia" w:ascii="宋体" w:hAnsi="宋体" w:eastAsia="宋体" w:cs="宋体"/>
          <w:b/>
          <w:bCs/>
          <w:spacing w:val="-6"/>
          <w:sz w:val="32"/>
          <w:szCs w:val="32"/>
        </w:rPr>
      </w:pPr>
      <w:r>
        <w:rPr>
          <w:rFonts w:hint="eastAsia" w:ascii="宋体" w:hAnsi="宋体" w:eastAsia="宋体" w:cs="宋体"/>
          <w:b/>
          <w:bCs/>
          <w:spacing w:val="-6"/>
          <w:sz w:val="32"/>
          <w:szCs w:val="32"/>
        </w:rPr>
        <w:t>一般公共预算</w:t>
      </w:r>
      <w:r>
        <w:rPr>
          <w:rFonts w:hint="eastAsia" w:ascii="宋体" w:hAnsi="宋体" w:eastAsia="宋体" w:cs="宋体"/>
          <w:b/>
          <w:bCs/>
          <w:spacing w:val="-6"/>
          <w:sz w:val="32"/>
          <w:szCs w:val="32"/>
          <w:lang w:val="en-US"/>
        </w:rPr>
        <w:t>财政拨款</w:t>
      </w:r>
      <w:r>
        <w:rPr>
          <w:rFonts w:hint="eastAsia" w:ascii="宋体" w:hAnsi="宋体" w:eastAsia="宋体" w:cs="宋体"/>
          <w:b/>
          <w:bCs/>
          <w:spacing w:val="-6"/>
          <w:sz w:val="32"/>
          <w:szCs w:val="32"/>
        </w:rPr>
        <w:t>支出</w:t>
      </w:r>
      <w:r>
        <w:rPr>
          <w:rFonts w:hint="eastAsia" w:ascii="宋体" w:hAnsi="宋体" w:eastAsia="宋体" w:cs="宋体"/>
          <w:b/>
          <w:bCs/>
          <w:spacing w:val="-6"/>
          <w:sz w:val="32"/>
          <w:szCs w:val="32"/>
          <w:lang w:val="en-US"/>
        </w:rPr>
        <w:t>决算</w:t>
      </w:r>
      <w:r>
        <w:rPr>
          <w:rFonts w:hint="eastAsia" w:ascii="宋体" w:hAnsi="宋体" w:eastAsia="宋体" w:cs="宋体"/>
          <w:b/>
          <w:bCs/>
          <w:spacing w:val="-6"/>
          <w:sz w:val="32"/>
          <w:szCs w:val="32"/>
        </w:rPr>
        <w:t>情况说明</w:t>
      </w:r>
    </w:p>
    <w:p>
      <w:pPr>
        <w:numPr>
          <w:ilvl w:val="0"/>
          <w:numId w:val="4"/>
        </w:numPr>
        <w:spacing w:before="100" w:beforeAutospacing="1" w:line="360" w:lineRule="auto"/>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财政拨款支出决算总体情况</w:t>
      </w:r>
    </w:p>
    <w:p>
      <w:pPr>
        <w:numPr>
          <w:ilvl w:val="0"/>
          <w:numId w:val="0"/>
        </w:numPr>
        <w:spacing w:before="100" w:beforeAutospacing="1" w:line="360" w:lineRule="auto"/>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年度财政拨款支出</w:t>
      </w:r>
      <w:r>
        <w:rPr>
          <w:rFonts w:hint="eastAsia" w:ascii="宋体" w:hAnsi="宋体" w:eastAsia="宋体" w:cs="宋体"/>
          <w:color w:val="000000"/>
          <w:sz w:val="32"/>
          <w:szCs w:val="32"/>
          <w:shd w:val="clear" w:color="auto" w:fill="FFFFFF"/>
          <w:lang w:val="en-US" w:eastAsia="zh-CN"/>
        </w:rPr>
        <w:t>57.79</w:t>
      </w:r>
      <w:r>
        <w:rPr>
          <w:rFonts w:hint="eastAsia" w:ascii="宋体" w:hAnsi="宋体" w:eastAsia="宋体" w:cs="宋体"/>
          <w:color w:val="000000"/>
          <w:sz w:val="32"/>
          <w:szCs w:val="32"/>
          <w:shd w:val="clear" w:color="auto" w:fill="FFFFFF"/>
        </w:rPr>
        <w:t>万元，占本年支出的</w:t>
      </w:r>
      <w:r>
        <w:rPr>
          <w:rFonts w:hint="eastAsia" w:ascii="宋体" w:hAnsi="宋体" w:eastAsia="宋体" w:cs="宋体"/>
          <w:color w:val="000000"/>
          <w:sz w:val="32"/>
          <w:szCs w:val="32"/>
          <w:shd w:val="clear" w:color="auto" w:fill="FFFFFF"/>
          <w:lang w:val="en-US" w:eastAsia="zh-CN"/>
        </w:rPr>
        <w:t xml:space="preserve">8.62 </w:t>
      </w:r>
      <w:r>
        <w:rPr>
          <w:rFonts w:hint="eastAsia" w:ascii="宋体" w:hAnsi="宋体" w:eastAsia="宋体" w:cs="宋体"/>
          <w:color w:val="000000"/>
          <w:sz w:val="32"/>
          <w:szCs w:val="32"/>
          <w:shd w:val="clear" w:color="auto" w:fill="FFFFFF"/>
        </w:rPr>
        <w:t>%。与202</w:t>
      </w:r>
      <w:r>
        <w:rPr>
          <w:rFonts w:hint="eastAsia" w:ascii="宋体" w:hAnsi="宋体" w:eastAsia="宋体" w:cs="宋体"/>
          <w:color w:val="000000"/>
          <w:sz w:val="32"/>
          <w:szCs w:val="32"/>
          <w:shd w:val="clear" w:color="auto" w:fill="FFFFFF"/>
          <w:lang w:val="en-US" w:eastAsia="zh-CN"/>
        </w:rPr>
        <w:t>2</w:t>
      </w:r>
      <w:r>
        <w:rPr>
          <w:rFonts w:hint="eastAsia" w:ascii="宋体" w:hAnsi="宋体" w:eastAsia="宋体" w:cs="宋体"/>
          <w:color w:val="000000"/>
          <w:sz w:val="32"/>
          <w:szCs w:val="32"/>
          <w:shd w:val="clear" w:color="auto" w:fill="FFFFFF"/>
        </w:rPr>
        <w:t>年度相比，财政拨款支出增加了</w:t>
      </w:r>
      <w:r>
        <w:rPr>
          <w:rFonts w:hint="eastAsia" w:ascii="宋体" w:hAnsi="宋体" w:eastAsia="宋体" w:cs="宋体"/>
          <w:color w:val="000000"/>
          <w:sz w:val="32"/>
          <w:szCs w:val="32"/>
          <w:shd w:val="clear" w:color="auto" w:fill="FFFFFF"/>
          <w:lang w:val="en-US" w:eastAsia="zh-CN"/>
        </w:rPr>
        <w:t>24.01</w:t>
      </w:r>
      <w:r>
        <w:rPr>
          <w:rFonts w:hint="eastAsia" w:ascii="宋体" w:hAnsi="宋体" w:eastAsia="宋体" w:cs="宋体"/>
          <w:color w:val="000000"/>
          <w:sz w:val="32"/>
          <w:szCs w:val="32"/>
          <w:shd w:val="clear" w:color="auto" w:fill="FFFFFF"/>
        </w:rPr>
        <w:t>万元，</w:t>
      </w:r>
      <w:r>
        <w:rPr>
          <w:rFonts w:hint="eastAsia" w:ascii="宋体" w:hAnsi="宋体" w:eastAsia="宋体" w:cs="宋体"/>
          <w:color w:val="000000"/>
          <w:sz w:val="32"/>
          <w:szCs w:val="32"/>
          <w:shd w:val="clear" w:color="auto" w:fill="FFFFFF"/>
          <w:lang w:val="en-US" w:eastAsia="zh-CN"/>
        </w:rPr>
        <w:t>增加71.08</w:t>
      </w:r>
      <w:r>
        <w:rPr>
          <w:rFonts w:hint="eastAsia" w:ascii="宋体" w:hAnsi="宋体" w:eastAsia="宋体" w:cs="宋体"/>
          <w:color w:val="000000"/>
          <w:sz w:val="32"/>
          <w:szCs w:val="32"/>
          <w:shd w:val="clear" w:color="auto" w:fill="FFFFFF"/>
        </w:rPr>
        <w:t>%，主要是</w:t>
      </w: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年基本支出</w:t>
      </w:r>
      <w:r>
        <w:rPr>
          <w:rFonts w:hint="eastAsia" w:ascii="宋体" w:hAnsi="宋体" w:eastAsia="宋体" w:cs="宋体"/>
          <w:color w:val="000000"/>
          <w:sz w:val="32"/>
          <w:szCs w:val="32"/>
          <w:shd w:val="clear" w:color="auto" w:fill="FFFFFF"/>
          <w:lang w:val="en-US" w:eastAsia="zh-CN"/>
        </w:rPr>
        <w:t>减少</w:t>
      </w:r>
      <w:r>
        <w:rPr>
          <w:rFonts w:hint="eastAsia" w:ascii="宋体" w:hAnsi="宋体" w:eastAsia="宋体" w:cs="宋体"/>
          <w:color w:val="000000"/>
          <w:sz w:val="32"/>
          <w:szCs w:val="32"/>
          <w:shd w:val="clear" w:color="auto" w:fill="FFFFFF"/>
        </w:rPr>
        <w:t>1.4万元，项目支出</w:t>
      </w:r>
      <w:r>
        <w:rPr>
          <w:rFonts w:hint="eastAsia" w:ascii="宋体" w:hAnsi="宋体" w:eastAsia="宋体" w:cs="宋体"/>
          <w:color w:val="000000"/>
          <w:sz w:val="32"/>
          <w:szCs w:val="32"/>
          <w:shd w:val="clear" w:color="auto" w:fill="FFFFFF"/>
          <w:lang w:val="en-US" w:eastAsia="zh-CN"/>
        </w:rPr>
        <w:t>增加25.41</w:t>
      </w:r>
      <w:r>
        <w:rPr>
          <w:rFonts w:hint="eastAsia" w:ascii="宋体" w:hAnsi="宋体" w:eastAsia="宋体" w:cs="宋体"/>
          <w:color w:val="000000"/>
          <w:sz w:val="32"/>
          <w:szCs w:val="32"/>
          <w:shd w:val="clear" w:color="auto" w:fill="FFFFFF"/>
        </w:rPr>
        <w:t>万元。</w:t>
      </w:r>
    </w:p>
    <w:p>
      <w:pPr>
        <w:spacing w:before="100" w:beforeAutospacing="1" w:line="360" w:lineRule="auto"/>
        <w:ind w:left="550" w:leftChars="250" w:right="660" w:rightChars="300" w:firstLine="640" w:firstLineChars="200"/>
        <w:jc w:val="center"/>
        <w:rPr>
          <w:rFonts w:ascii="方正楷体_GBK" w:hAnsi="方正楷体_GBK" w:eastAsia="方正楷体_GBK" w:cs="方正楷体_GBK"/>
          <w:sz w:val="32"/>
          <w:szCs w:val="32"/>
        </w:rPr>
      </w:pPr>
      <w:r>
        <w:rPr>
          <w:rFonts w:hint="eastAsia" w:ascii="仿宋" w:hAnsi="仿宋" w:eastAsia="仿宋" w:cs="仿宋"/>
          <w:color w:val="333333"/>
          <w:sz w:val="32"/>
          <w:szCs w:val="32"/>
          <w:shd w:val="clear" w:color="auto" w:fill="FFFFFF"/>
        </w:rPr>
        <w:t>图5：财政拨款支出决算变动情况（单位：万元）</w:t>
      </w:r>
      <w:r>
        <w:rPr>
          <w:rFonts w:hint="eastAsia" w:eastAsia="方正仿宋_GBK"/>
          <w:lang w:val="en-US" w:bidi="ar-SA"/>
        </w:rPr>
        <w:drawing>
          <wp:inline distT="0" distB="0" distL="114300" distR="114300">
            <wp:extent cx="4151630" cy="1892935"/>
            <wp:effectExtent l="19050" t="0" r="2032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before="100" w:beforeAutospacing="1" w:line="360" w:lineRule="auto"/>
        <w:ind w:right="660" w:rightChars="300" w:firstLine="640" w:firstLineChars="200"/>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val="en-US"/>
        </w:rPr>
        <w:t>财政拨款支出决算</w:t>
      </w:r>
      <w:r>
        <w:rPr>
          <w:rFonts w:hint="eastAsia" w:ascii="宋体" w:hAnsi="宋体" w:eastAsia="宋体" w:cs="宋体"/>
          <w:sz w:val="32"/>
          <w:szCs w:val="32"/>
        </w:rPr>
        <w:t>结构情况。</w:t>
      </w:r>
    </w:p>
    <w:p>
      <w:pPr>
        <w:spacing w:before="100" w:beforeAutospacing="1" w:line="360" w:lineRule="auto"/>
        <w:ind w:right="660" w:rightChars="300" w:firstLine="640" w:firstLineChars="200"/>
        <w:rPr>
          <w:rFonts w:hint="eastAsia" w:ascii="宋体" w:hAnsi="宋体" w:eastAsia="宋体" w:cs="宋体"/>
          <w:sz w:val="32"/>
          <w:szCs w:val="32"/>
          <w:lang w:val="en-US"/>
        </w:rPr>
      </w:pP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年度财政拨款支出</w:t>
      </w:r>
      <w:r>
        <w:rPr>
          <w:rFonts w:hint="eastAsia" w:ascii="宋体" w:hAnsi="宋体" w:eastAsia="宋体" w:cs="宋体"/>
          <w:color w:val="000000"/>
          <w:sz w:val="32"/>
          <w:szCs w:val="32"/>
          <w:shd w:val="clear" w:color="auto" w:fill="FFFFFF"/>
          <w:lang w:val="en-US" w:eastAsia="zh-CN"/>
        </w:rPr>
        <w:t>57.79</w:t>
      </w:r>
      <w:r>
        <w:rPr>
          <w:rFonts w:hint="eastAsia" w:ascii="宋体" w:hAnsi="宋体" w:eastAsia="宋体" w:cs="宋体"/>
          <w:color w:val="000000"/>
          <w:sz w:val="32"/>
          <w:szCs w:val="32"/>
          <w:shd w:val="clear" w:color="auto" w:fill="FFFFFF"/>
        </w:rPr>
        <w:t>万元，主要用于以下方面：灾害防治及应急管理（类）支出</w:t>
      </w:r>
      <w:r>
        <w:rPr>
          <w:rFonts w:hint="eastAsia" w:ascii="宋体" w:hAnsi="宋体" w:eastAsia="宋体" w:cs="宋体"/>
          <w:color w:val="000000"/>
          <w:sz w:val="32"/>
          <w:szCs w:val="32"/>
          <w:shd w:val="clear" w:color="auto" w:fill="FFFFFF"/>
          <w:lang w:val="en-US" w:eastAsia="zh-CN"/>
        </w:rPr>
        <w:t>57.79</w:t>
      </w:r>
      <w:r>
        <w:rPr>
          <w:rFonts w:hint="eastAsia" w:ascii="宋体" w:hAnsi="宋体" w:eastAsia="宋体" w:cs="宋体"/>
          <w:color w:val="000000"/>
          <w:sz w:val="32"/>
          <w:szCs w:val="32"/>
          <w:shd w:val="clear" w:color="auto" w:fill="FFFFFF"/>
        </w:rPr>
        <w:t>万元，占100%。</w:t>
      </w:r>
    </w:p>
    <w:p>
      <w:pPr>
        <w:spacing w:before="100" w:beforeAutospacing="1" w:line="360" w:lineRule="auto"/>
        <w:ind w:right="660" w:rightChars="300" w:firstLine="640" w:firstLineChars="200"/>
        <w:rPr>
          <w:rFonts w:hint="eastAsia" w:ascii="宋体" w:hAnsi="宋体" w:eastAsia="宋体" w:cs="宋体"/>
          <w:sz w:val="32"/>
          <w:szCs w:val="32"/>
          <w:lang w:val="en-US"/>
        </w:rPr>
      </w:pPr>
      <w:r>
        <w:rPr>
          <w:rFonts w:hint="eastAsia" w:ascii="宋体" w:hAnsi="宋体" w:eastAsia="宋体" w:cs="宋体"/>
          <w:sz w:val="32"/>
          <w:szCs w:val="32"/>
        </w:rPr>
        <w:t>（三）</w:t>
      </w:r>
      <w:r>
        <w:rPr>
          <w:rFonts w:hint="eastAsia" w:ascii="宋体" w:hAnsi="宋体" w:eastAsia="宋体" w:cs="宋体"/>
          <w:sz w:val="32"/>
          <w:szCs w:val="32"/>
          <w:lang w:val="en-US"/>
        </w:rPr>
        <w:t>财政拨款支出决算具体情况</w:t>
      </w:r>
    </w:p>
    <w:p>
      <w:pPr>
        <w:spacing w:before="100" w:beforeAutospacing="1" w:line="360" w:lineRule="auto"/>
        <w:ind w:right="660" w:rightChars="300" w:firstLine="640" w:firstLineChars="200"/>
        <w:rPr>
          <w:rFonts w:hint="eastAsia" w:ascii="宋体" w:hAnsi="宋体" w:eastAsia="宋体" w:cs="宋体"/>
        </w:rPr>
      </w:pP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年度财政拨款支出年初预算</w:t>
      </w:r>
      <w:r>
        <w:rPr>
          <w:rFonts w:hint="eastAsia" w:ascii="宋体" w:hAnsi="宋体" w:eastAsia="宋体" w:cs="宋体"/>
          <w:sz w:val="32"/>
          <w:szCs w:val="32"/>
          <w:shd w:val="clear" w:color="auto" w:fill="FFFFFF"/>
        </w:rPr>
        <w:t>为</w:t>
      </w:r>
      <w:r>
        <w:rPr>
          <w:rFonts w:hint="eastAsia" w:ascii="宋体" w:hAnsi="宋体" w:eastAsia="宋体" w:cs="宋体"/>
          <w:sz w:val="32"/>
          <w:szCs w:val="32"/>
          <w:shd w:val="clear" w:color="auto" w:fill="FFFFFF"/>
          <w:lang w:val="en-US" w:eastAsia="zh-CN"/>
        </w:rPr>
        <w:t>62.42</w:t>
      </w:r>
      <w:r>
        <w:rPr>
          <w:rFonts w:hint="eastAsia" w:ascii="宋体" w:hAnsi="宋体" w:eastAsia="宋体" w:cs="宋体"/>
          <w:sz w:val="32"/>
          <w:szCs w:val="32"/>
          <w:shd w:val="clear" w:color="auto" w:fill="FFFFFF"/>
        </w:rPr>
        <w:t>万</w:t>
      </w:r>
      <w:r>
        <w:rPr>
          <w:rFonts w:hint="eastAsia" w:ascii="宋体" w:hAnsi="宋体" w:eastAsia="宋体" w:cs="宋体"/>
          <w:color w:val="000000"/>
          <w:sz w:val="32"/>
          <w:szCs w:val="32"/>
          <w:shd w:val="clear" w:color="auto" w:fill="FFFFFF"/>
        </w:rPr>
        <w:t>元，支出决算为</w:t>
      </w:r>
      <w:r>
        <w:rPr>
          <w:rFonts w:hint="eastAsia" w:ascii="宋体" w:hAnsi="宋体" w:eastAsia="宋体" w:cs="宋体"/>
          <w:color w:val="000000"/>
          <w:sz w:val="32"/>
          <w:szCs w:val="32"/>
          <w:shd w:val="clear" w:color="auto" w:fill="FFFFFF"/>
          <w:lang w:val="en-US" w:eastAsia="zh-CN"/>
        </w:rPr>
        <w:t>57.79</w:t>
      </w:r>
      <w:r>
        <w:rPr>
          <w:rFonts w:hint="eastAsia" w:ascii="宋体" w:hAnsi="宋体" w:eastAsia="宋体" w:cs="宋体"/>
          <w:color w:val="000000"/>
          <w:sz w:val="32"/>
          <w:szCs w:val="32"/>
          <w:shd w:val="clear" w:color="auto" w:fill="FFFFFF"/>
        </w:rPr>
        <w:t>万元，完成年初预算的</w:t>
      </w:r>
      <w:r>
        <w:rPr>
          <w:rFonts w:hint="eastAsia" w:ascii="宋体" w:hAnsi="宋体" w:eastAsia="宋体" w:cs="宋体"/>
          <w:color w:val="000000"/>
          <w:sz w:val="32"/>
          <w:szCs w:val="32"/>
          <w:shd w:val="clear" w:color="auto" w:fill="FFFFFF"/>
          <w:lang w:val="en-US" w:eastAsia="zh-CN"/>
        </w:rPr>
        <w:t>92.58</w:t>
      </w:r>
      <w:r>
        <w:rPr>
          <w:rFonts w:hint="eastAsia" w:ascii="宋体" w:hAnsi="宋体" w:eastAsia="宋体" w:cs="宋体"/>
          <w:color w:val="000000"/>
          <w:sz w:val="32"/>
          <w:szCs w:val="32"/>
          <w:shd w:val="clear" w:color="auto" w:fill="FFFFFF"/>
        </w:rPr>
        <w:t>%，全部用于灾害防治及应急管理（类）支出。决算数小于年初预算数的主要原因是部分资金未用完结转下年。</w:t>
      </w:r>
    </w:p>
    <w:p>
      <w:pPr>
        <w:spacing w:before="100" w:beforeAutospacing="1" w:line="360" w:lineRule="auto"/>
        <w:ind w:right="660" w:rightChars="300" w:firstLine="643" w:firstLineChars="200"/>
        <w:rPr>
          <w:rFonts w:hint="eastAsia" w:ascii="宋体" w:hAnsi="宋体" w:eastAsia="宋体" w:cs="宋体"/>
          <w:b/>
          <w:bCs/>
          <w:sz w:val="32"/>
          <w:szCs w:val="32"/>
        </w:rPr>
      </w:pPr>
      <w:r>
        <w:rPr>
          <w:rFonts w:hint="eastAsia" w:ascii="宋体" w:hAnsi="宋体" w:eastAsia="宋体" w:cs="宋体"/>
          <w:b/>
          <w:bCs/>
          <w:sz w:val="32"/>
          <w:szCs w:val="32"/>
        </w:rPr>
        <w:t>六、</w:t>
      </w:r>
      <w:r>
        <w:rPr>
          <w:rFonts w:hint="eastAsia" w:ascii="宋体" w:hAnsi="宋体" w:eastAsia="宋体" w:cs="宋体"/>
          <w:b/>
          <w:bCs/>
          <w:color w:val="333333"/>
          <w:sz w:val="32"/>
          <w:szCs w:val="32"/>
          <w:shd w:val="clear" w:color="auto" w:fill="FFFFFF"/>
        </w:rPr>
        <w:t>一般公共预算财政拨款基本支出决算情况说明</w:t>
      </w:r>
    </w:p>
    <w:p>
      <w:pPr>
        <w:spacing w:before="100" w:beforeAutospacing="1" w:line="360" w:lineRule="auto"/>
        <w:ind w:right="660" w:rightChars="300"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年度财政拨款基本支出</w:t>
      </w:r>
      <w:r>
        <w:rPr>
          <w:rFonts w:hint="eastAsia" w:ascii="宋体" w:hAnsi="宋体" w:eastAsia="宋体" w:cs="宋体"/>
          <w:color w:val="000000"/>
          <w:sz w:val="32"/>
          <w:szCs w:val="32"/>
          <w:shd w:val="clear" w:color="auto" w:fill="FFFFFF"/>
          <w:lang w:val="en-US" w:eastAsia="zh-CN"/>
        </w:rPr>
        <w:t>11.98</w:t>
      </w:r>
      <w:r>
        <w:rPr>
          <w:rFonts w:hint="eastAsia" w:ascii="宋体" w:hAnsi="宋体" w:eastAsia="宋体" w:cs="宋体"/>
          <w:color w:val="000000"/>
          <w:sz w:val="32"/>
          <w:szCs w:val="32"/>
          <w:shd w:val="clear" w:color="auto" w:fill="FFFFFF"/>
        </w:rPr>
        <w:t>万元，其中：人员经费0万元；公用经费</w:t>
      </w:r>
      <w:r>
        <w:rPr>
          <w:rFonts w:hint="eastAsia" w:ascii="宋体" w:hAnsi="宋体" w:eastAsia="宋体" w:cs="宋体"/>
          <w:color w:val="000000"/>
          <w:sz w:val="32"/>
          <w:szCs w:val="32"/>
          <w:shd w:val="clear" w:color="auto" w:fill="FFFFFF"/>
          <w:lang w:val="en-US" w:eastAsia="zh-CN"/>
        </w:rPr>
        <w:t>11.98</w:t>
      </w:r>
      <w:r>
        <w:rPr>
          <w:rFonts w:hint="eastAsia" w:ascii="宋体" w:hAnsi="宋体" w:eastAsia="宋体" w:cs="宋体"/>
          <w:color w:val="000000"/>
          <w:sz w:val="32"/>
          <w:szCs w:val="32"/>
          <w:shd w:val="clear" w:color="auto" w:fill="FFFFFF"/>
        </w:rPr>
        <w:t>万元，主要包括其他商品和服务支出。</w:t>
      </w:r>
    </w:p>
    <w:p>
      <w:pPr>
        <w:spacing w:before="100" w:beforeAutospacing="1" w:line="360" w:lineRule="auto"/>
        <w:ind w:right="660" w:rightChars="300" w:firstLine="643" w:firstLineChars="200"/>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lang w:val="en-US"/>
        </w:rPr>
        <w:t>七、</w:t>
      </w:r>
      <w:r>
        <w:rPr>
          <w:rFonts w:hint="eastAsia" w:ascii="宋体" w:hAnsi="宋体" w:eastAsia="宋体" w:cs="宋体"/>
          <w:b/>
          <w:bCs/>
          <w:color w:val="333333"/>
          <w:sz w:val="32"/>
          <w:szCs w:val="32"/>
          <w:shd w:val="clear" w:color="auto" w:fill="FFFFFF"/>
        </w:rPr>
        <w:t>一般公共预算财政拨款“三公”经费支出决算情况说明</w:t>
      </w:r>
    </w:p>
    <w:p>
      <w:pPr>
        <w:pStyle w:val="2"/>
        <w:numPr>
          <w:ilvl w:val="0"/>
          <w:numId w:val="5"/>
        </w:numPr>
        <w:spacing w:line="360" w:lineRule="auto"/>
        <w:ind w:firstLine="64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“三公”经费财政拨款支出决算总体情况说明</w:t>
      </w:r>
    </w:p>
    <w:p>
      <w:pPr>
        <w:pStyle w:val="2"/>
        <w:spacing w:line="360" w:lineRule="auto"/>
        <w:ind w:left="528" w:leftChars="240" w:right="550" w:rightChars="250" w:firstLine="320" w:firstLineChars="1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lang w:eastAsia="zh-CN"/>
        </w:rPr>
        <w:t>2023</w:t>
      </w:r>
      <w:r>
        <w:rPr>
          <w:rFonts w:hint="eastAsia" w:ascii="宋体" w:hAnsi="宋体" w:eastAsia="宋体" w:cs="宋体"/>
          <w:color w:val="333333"/>
          <w:sz w:val="32"/>
          <w:szCs w:val="32"/>
          <w:shd w:val="clear" w:color="auto" w:fill="FFFFFF"/>
        </w:rPr>
        <w:t>年度“三公”经费财政拨款支出预算为0万元，支出决算为0万元。</w:t>
      </w:r>
    </w:p>
    <w:p>
      <w:pPr>
        <w:pStyle w:val="2"/>
        <w:numPr>
          <w:ilvl w:val="0"/>
          <w:numId w:val="5"/>
        </w:numPr>
        <w:spacing w:line="360" w:lineRule="auto"/>
        <w:ind w:firstLine="64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“三公”经费财政拨款支出决算具体情况说明</w:t>
      </w:r>
    </w:p>
    <w:p>
      <w:pPr>
        <w:pStyle w:val="9"/>
        <w:widowControl/>
        <w:shd w:val="clear" w:color="auto" w:fill="FFFFFF"/>
        <w:spacing w:beforeAutospacing="0" w:afterAutospacing="0" w:line="540" w:lineRule="atLeast"/>
        <w:ind w:firstLine="643"/>
        <w:rPr>
          <w:rFonts w:hint="eastAsia" w:ascii="宋体" w:hAnsi="宋体" w:eastAsia="宋体" w:cs="宋体"/>
          <w:color w:val="333333"/>
          <w:sz w:val="32"/>
          <w:szCs w:val="32"/>
        </w:rPr>
      </w:pPr>
      <w:r>
        <w:rPr>
          <w:rFonts w:hint="eastAsia" w:ascii="宋体" w:hAnsi="宋体" w:eastAsia="宋体" w:cs="宋体"/>
          <w:color w:val="333333"/>
          <w:sz w:val="32"/>
          <w:szCs w:val="32"/>
          <w:shd w:val="clear" w:color="auto" w:fill="FFFFFF"/>
        </w:rPr>
        <w:t>1.因公出国（境）费预算为0万元，支出决算0万元。</w:t>
      </w:r>
    </w:p>
    <w:p>
      <w:pPr>
        <w:pStyle w:val="9"/>
        <w:widowControl/>
        <w:shd w:val="clear" w:color="auto" w:fill="FFFFFF"/>
        <w:spacing w:beforeAutospacing="0" w:afterAutospacing="0" w:line="540" w:lineRule="atLeast"/>
        <w:ind w:firstLine="643"/>
        <w:rPr>
          <w:rFonts w:hint="eastAsia" w:ascii="宋体" w:hAnsi="宋体" w:eastAsia="宋体" w:cs="宋体"/>
          <w:color w:val="333333"/>
          <w:sz w:val="32"/>
          <w:szCs w:val="32"/>
        </w:rPr>
      </w:pPr>
      <w:r>
        <w:rPr>
          <w:rFonts w:hint="eastAsia" w:ascii="宋体" w:hAnsi="宋体" w:eastAsia="宋体" w:cs="宋体"/>
          <w:color w:val="333333"/>
          <w:sz w:val="32"/>
          <w:szCs w:val="32"/>
          <w:shd w:val="clear" w:color="auto" w:fill="FFFFFF"/>
        </w:rPr>
        <w:t>2.公务用车购置及运行费预算为0万元，支出决算为0万元。</w:t>
      </w:r>
    </w:p>
    <w:p>
      <w:pPr>
        <w:pStyle w:val="9"/>
        <w:widowControl/>
        <w:shd w:val="clear" w:color="auto" w:fill="FFFFFF"/>
        <w:spacing w:beforeAutospacing="0" w:afterAutospacing="0" w:line="540" w:lineRule="atLeast"/>
        <w:ind w:firstLine="643"/>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3.公务接待费预算为0万元，支出决算为0万元。</w:t>
      </w:r>
    </w:p>
    <w:p>
      <w:pPr>
        <w:pStyle w:val="9"/>
        <w:widowControl/>
        <w:shd w:val="clear" w:color="auto" w:fill="FFFFFF"/>
        <w:spacing w:beforeAutospacing="0" w:afterAutospacing="0" w:line="540" w:lineRule="atLeast"/>
        <w:ind w:firstLine="643"/>
        <w:rPr>
          <w:rFonts w:hint="eastAsia"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lang w:val="en-US"/>
        </w:rPr>
        <w:t>八、</w:t>
      </w:r>
      <w:r>
        <w:rPr>
          <w:rFonts w:hint="eastAsia" w:ascii="宋体" w:hAnsi="宋体" w:eastAsia="宋体" w:cs="宋体"/>
          <w:b/>
          <w:bCs/>
          <w:color w:val="000000"/>
          <w:sz w:val="32"/>
          <w:szCs w:val="32"/>
          <w:shd w:val="clear" w:color="auto" w:fill="FFFFFF"/>
        </w:rPr>
        <w:t>机关运行经费支出说明</w:t>
      </w:r>
    </w:p>
    <w:p>
      <w:pPr>
        <w:spacing w:before="100" w:beforeAutospacing="1" w:line="317" w:lineRule="auto"/>
        <w:ind w:right="660" w:rightChars="300"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益阳市资阳区消防救援大队</w:t>
      </w: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年度机关运行经费支出</w:t>
      </w:r>
      <w:r>
        <w:rPr>
          <w:rFonts w:hint="eastAsia" w:ascii="宋体" w:hAnsi="宋体" w:eastAsia="宋体" w:cs="宋体"/>
          <w:color w:val="000000"/>
          <w:sz w:val="32"/>
          <w:szCs w:val="32"/>
          <w:shd w:val="clear" w:color="auto" w:fill="FFFFFF"/>
          <w:lang w:val="en-US" w:eastAsia="zh-CN"/>
        </w:rPr>
        <w:t>11.98</w:t>
      </w:r>
      <w:r>
        <w:rPr>
          <w:rFonts w:hint="eastAsia" w:ascii="宋体" w:hAnsi="宋体" w:eastAsia="宋体" w:cs="宋体"/>
          <w:color w:val="000000"/>
          <w:sz w:val="32"/>
          <w:szCs w:val="32"/>
          <w:shd w:val="clear" w:color="auto" w:fill="FFFFFF"/>
        </w:rPr>
        <w:t>万元，比202</w:t>
      </w:r>
      <w:r>
        <w:rPr>
          <w:rFonts w:hint="eastAsia" w:ascii="宋体" w:hAnsi="宋体" w:eastAsia="宋体" w:cs="宋体"/>
          <w:color w:val="000000"/>
          <w:sz w:val="32"/>
          <w:szCs w:val="32"/>
          <w:shd w:val="clear" w:color="auto" w:fill="FFFFFF"/>
          <w:lang w:val="en-US" w:eastAsia="zh-CN"/>
        </w:rPr>
        <w:t>2</w:t>
      </w:r>
      <w:r>
        <w:rPr>
          <w:rFonts w:hint="eastAsia" w:ascii="宋体" w:hAnsi="宋体" w:eastAsia="宋体" w:cs="宋体"/>
          <w:color w:val="000000"/>
          <w:sz w:val="32"/>
          <w:szCs w:val="32"/>
          <w:shd w:val="clear" w:color="auto" w:fill="FFFFFF"/>
        </w:rPr>
        <w:t>年减少</w:t>
      </w:r>
      <w:r>
        <w:rPr>
          <w:rFonts w:hint="eastAsia" w:ascii="宋体" w:hAnsi="宋体" w:eastAsia="宋体" w:cs="宋体"/>
          <w:color w:val="000000"/>
          <w:sz w:val="32"/>
          <w:szCs w:val="32"/>
          <w:shd w:val="clear" w:color="auto" w:fill="FFFFFF"/>
          <w:lang w:val="en-US" w:eastAsia="zh-CN"/>
        </w:rPr>
        <w:t>1.4</w:t>
      </w:r>
      <w:r>
        <w:rPr>
          <w:rFonts w:hint="eastAsia" w:ascii="宋体" w:hAnsi="宋体" w:eastAsia="宋体" w:cs="宋体"/>
          <w:color w:val="000000"/>
          <w:sz w:val="32"/>
          <w:szCs w:val="32"/>
          <w:shd w:val="clear" w:color="auto" w:fill="FFFFFF"/>
        </w:rPr>
        <w:t>万元。原因：人员调整导致机关运行经费调减。</w:t>
      </w:r>
    </w:p>
    <w:p>
      <w:pPr>
        <w:spacing w:before="100" w:beforeAutospacing="1" w:line="317" w:lineRule="auto"/>
        <w:ind w:right="660" w:rightChars="300" w:firstLine="643" w:firstLineChars="200"/>
        <w:rPr>
          <w:rFonts w:hint="eastAsia"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lang w:val="en-US"/>
        </w:rPr>
        <w:t>九、</w:t>
      </w:r>
      <w:r>
        <w:rPr>
          <w:rFonts w:hint="eastAsia" w:ascii="宋体" w:hAnsi="宋体" w:eastAsia="宋体" w:cs="宋体"/>
          <w:b/>
          <w:bCs/>
          <w:color w:val="000000"/>
          <w:sz w:val="32"/>
          <w:szCs w:val="32"/>
          <w:shd w:val="clear" w:color="auto" w:fill="FFFFFF"/>
        </w:rPr>
        <w:t>政府采购支出说明</w:t>
      </w:r>
    </w:p>
    <w:p>
      <w:pPr>
        <w:spacing w:before="100" w:beforeAutospacing="1" w:line="317" w:lineRule="auto"/>
        <w:ind w:right="660" w:rightChars="300" w:firstLine="640" w:firstLineChars="200"/>
        <w:rPr>
          <w:rFonts w:hint="eastAsia" w:ascii="宋体" w:hAnsi="宋体" w:eastAsia="宋体" w:cs="宋体"/>
          <w:b/>
          <w:bCs/>
          <w:color w:val="000000"/>
          <w:sz w:val="32"/>
          <w:szCs w:val="32"/>
          <w:shd w:val="clear" w:color="auto" w:fill="FFFFFF"/>
          <w:lang w:val="en-US"/>
        </w:rPr>
      </w:pPr>
      <w:r>
        <w:rPr>
          <w:rFonts w:hint="eastAsia" w:ascii="宋体" w:hAnsi="宋体" w:eastAsia="宋体" w:cs="宋体"/>
          <w:color w:val="000000"/>
          <w:sz w:val="32"/>
          <w:szCs w:val="32"/>
          <w:shd w:val="clear" w:color="auto" w:fill="FFFFFF"/>
        </w:rPr>
        <w:t>益阳市资阳区消防救援大队</w:t>
      </w: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年度政府采购支出总额0万元</w:t>
      </w:r>
      <w:r>
        <w:rPr>
          <w:rFonts w:hint="eastAsia" w:ascii="宋体" w:hAnsi="宋体" w:eastAsia="宋体" w:cs="宋体"/>
          <w:color w:val="333333"/>
          <w:sz w:val="32"/>
          <w:szCs w:val="32"/>
          <w:shd w:val="clear" w:color="auto" w:fill="FFFFFF"/>
        </w:rPr>
        <w:t>。</w:t>
      </w:r>
    </w:p>
    <w:p>
      <w:pPr>
        <w:spacing w:before="100" w:beforeAutospacing="1" w:line="360" w:lineRule="auto"/>
        <w:ind w:right="660" w:rightChars="300" w:firstLine="643" w:firstLineChars="200"/>
        <w:rPr>
          <w:rFonts w:hint="eastAsia"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lang w:val="en-US"/>
        </w:rPr>
        <w:t>十、</w:t>
      </w:r>
      <w:r>
        <w:rPr>
          <w:rFonts w:hint="eastAsia" w:ascii="宋体" w:hAnsi="宋体" w:eastAsia="宋体" w:cs="宋体"/>
          <w:b/>
          <w:bCs/>
          <w:color w:val="000000"/>
          <w:sz w:val="32"/>
          <w:szCs w:val="32"/>
          <w:shd w:val="clear" w:color="auto" w:fill="FFFFFF"/>
        </w:rPr>
        <w:t>国有资产占用情况说明</w:t>
      </w:r>
    </w:p>
    <w:p>
      <w:pPr>
        <w:spacing w:before="100" w:beforeAutospacing="1" w:line="360" w:lineRule="auto"/>
        <w:ind w:right="550" w:rightChars="250"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highlight w:val="none"/>
          <w:shd w:val="clear" w:color="auto" w:fill="FFFFFF"/>
        </w:rPr>
        <w:t>截至</w:t>
      </w:r>
      <w:r>
        <w:rPr>
          <w:rFonts w:hint="eastAsia" w:ascii="宋体" w:hAnsi="宋体" w:eastAsia="宋体" w:cs="宋体"/>
          <w:color w:val="000000"/>
          <w:sz w:val="32"/>
          <w:szCs w:val="32"/>
          <w:highlight w:val="none"/>
          <w:shd w:val="clear" w:color="auto" w:fill="FFFFFF"/>
          <w:lang w:eastAsia="zh-CN"/>
        </w:rPr>
        <w:t>2023</w:t>
      </w:r>
      <w:r>
        <w:rPr>
          <w:rFonts w:hint="eastAsia" w:ascii="宋体" w:hAnsi="宋体" w:eastAsia="宋体" w:cs="宋体"/>
          <w:color w:val="000000"/>
          <w:sz w:val="32"/>
          <w:szCs w:val="32"/>
          <w:highlight w:val="none"/>
          <w:shd w:val="clear" w:color="auto" w:fill="FFFFFF"/>
        </w:rPr>
        <w:t>年12月31日，益阳市资阳区消防救援大队共有车辆</w:t>
      </w:r>
      <w:r>
        <w:rPr>
          <w:rFonts w:hint="eastAsia" w:ascii="宋体" w:hAnsi="宋体" w:eastAsia="宋体" w:cs="宋体"/>
          <w:color w:val="000000"/>
          <w:sz w:val="32"/>
          <w:szCs w:val="32"/>
          <w:highlight w:val="none"/>
          <w:shd w:val="clear" w:color="auto" w:fill="FFFFFF"/>
          <w:lang w:val="en-US" w:eastAsia="zh-CN"/>
        </w:rPr>
        <w:t>12</w:t>
      </w:r>
      <w:r>
        <w:rPr>
          <w:rFonts w:hint="eastAsia" w:ascii="宋体" w:hAnsi="宋体" w:eastAsia="宋体" w:cs="宋体"/>
          <w:color w:val="000000"/>
          <w:sz w:val="32"/>
          <w:szCs w:val="32"/>
          <w:highlight w:val="none"/>
          <w:shd w:val="clear" w:color="auto" w:fill="FFFFFF"/>
        </w:rPr>
        <w:t>辆，其中：机要通信用车0辆、应急保障用车0辆、执法执勤用车</w:t>
      </w:r>
      <w:r>
        <w:rPr>
          <w:rFonts w:hint="eastAsia" w:ascii="宋体" w:hAnsi="宋体" w:eastAsia="宋体" w:cs="宋体"/>
          <w:color w:val="000000"/>
          <w:sz w:val="32"/>
          <w:szCs w:val="32"/>
          <w:highlight w:val="none"/>
          <w:shd w:val="clear" w:color="auto" w:fill="FFFFFF"/>
          <w:lang w:val="en-US" w:eastAsia="zh-CN"/>
        </w:rPr>
        <w:t>3</w:t>
      </w:r>
      <w:r>
        <w:rPr>
          <w:rFonts w:hint="eastAsia" w:ascii="宋体" w:hAnsi="宋体" w:eastAsia="宋体" w:cs="宋体"/>
          <w:color w:val="000000"/>
          <w:sz w:val="32"/>
          <w:szCs w:val="32"/>
          <w:highlight w:val="none"/>
          <w:shd w:val="clear" w:color="auto" w:fill="FFFFFF"/>
        </w:rPr>
        <w:t>辆、特种专业技术用车</w:t>
      </w:r>
      <w:r>
        <w:rPr>
          <w:rFonts w:hint="eastAsia" w:ascii="宋体" w:hAnsi="宋体" w:eastAsia="宋体" w:cs="宋体"/>
          <w:color w:val="000000"/>
          <w:sz w:val="32"/>
          <w:szCs w:val="32"/>
          <w:highlight w:val="none"/>
          <w:shd w:val="clear" w:color="auto" w:fill="FFFFFF"/>
          <w:lang w:val="en-US" w:eastAsia="zh-CN"/>
        </w:rPr>
        <w:t>8</w:t>
      </w:r>
      <w:r>
        <w:rPr>
          <w:rFonts w:hint="eastAsia" w:ascii="宋体" w:hAnsi="宋体" w:eastAsia="宋体" w:cs="宋体"/>
          <w:color w:val="000000"/>
          <w:sz w:val="32"/>
          <w:szCs w:val="32"/>
          <w:highlight w:val="none"/>
          <w:shd w:val="clear" w:color="auto" w:fill="FFFFFF"/>
        </w:rPr>
        <w:t>辆、其他用车</w:t>
      </w:r>
      <w:r>
        <w:rPr>
          <w:rFonts w:hint="eastAsia" w:ascii="宋体" w:hAnsi="宋体" w:eastAsia="宋体" w:cs="宋体"/>
          <w:color w:val="000000"/>
          <w:sz w:val="32"/>
          <w:szCs w:val="32"/>
          <w:highlight w:val="none"/>
          <w:shd w:val="clear" w:color="auto" w:fill="FFFFFF"/>
          <w:lang w:val="en-US" w:eastAsia="zh-CN"/>
        </w:rPr>
        <w:t>1</w:t>
      </w:r>
      <w:r>
        <w:rPr>
          <w:rFonts w:hint="eastAsia" w:ascii="宋体" w:hAnsi="宋体" w:eastAsia="宋体" w:cs="宋体"/>
          <w:color w:val="000000"/>
          <w:sz w:val="32"/>
          <w:szCs w:val="32"/>
          <w:highlight w:val="none"/>
          <w:shd w:val="clear" w:color="auto" w:fill="FFFFFF"/>
        </w:rPr>
        <w:t>辆，其他用车主要是消防救援业务用车；单价50万元以上通用</w:t>
      </w:r>
      <w:r>
        <w:rPr>
          <w:rFonts w:hint="eastAsia" w:ascii="宋体" w:hAnsi="宋体" w:eastAsia="宋体" w:cs="宋体"/>
          <w:color w:val="000000"/>
          <w:sz w:val="32"/>
          <w:szCs w:val="32"/>
          <w:shd w:val="clear" w:color="auto" w:fill="FFFFFF"/>
        </w:rPr>
        <w:t>设备0台（套），单价100万以上的专用设备0（套）。</w:t>
      </w:r>
    </w:p>
    <w:p>
      <w:pPr>
        <w:spacing w:before="100" w:beforeAutospacing="1" w:line="360" w:lineRule="auto"/>
        <w:ind w:right="550" w:rightChars="250" w:firstLine="643" w:firstLineChars="200"/>
        <w:rPr>
          <w:rFonts w:hint="eastAsia"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lang w:val="en-US"/>
        </w:rPr>
        <w:t>十一、</w:t>
      </w:r>
      <w:r>
        <w:rPr>
          <w:rFonts w:hint="eastAsia" w:ascii="宋体" w:hAnsi="宋体" w:eastAsia="宋体" w:cs="宋体"/>
          <w:b/>
          <w:bCs/>
          <w:color w:val="000000"/>
          <w:sz w:val="32"/>
          <w:szCs w:val="32"/>
          <w:shd w:val="clear" w:color="auto" w:fill="FFFFFF"/>
        </w:rPr>
        <w:t>预算绩效情况说明</w:t>
      </w:r>
    </w:p>
    <w:p>
      <w:pPr>
        <w:pStyle w:val="2"/>
        <w:spacing w:line="360" w:lineRule="auto"/>
        <w:ind w:left="0" w:leftChars="0" w:right="550" w:rightChars="250" w:firstLine="640" w:firstLineChars="200"/>
        <w:rPr>
          <w:rFonts w:hint="eastAsia" w:ascii="宋体" w:hAnsi="宋体" w:eastAsia="宋体" w:cs="宋体"/>
          <w:sz w:val="32"/>
          <w:szCs w:val="32"/>
        </w:rPr>
      </w:pPr>
      <w:r>
        <w:rPr>
          <w:rFonts w:hint="eastAsia" w:ascii="宋体" w:hAnsi="宋体" w:eastAsia="宋体" w:cs="宋体"/>
          <w:color w:val="000000"/>
          <w:sz w:val="32"/>
          <w:szCs w:val="32"/>
          <w:shd w:val="clear" w:color="auto" w:fill="FFFFFF"/>
        </w:rPr>
        <w:t>（</w:t>
      </w:r>
      <w:r>
        <w:rPr>
          <w:rFonts w:hint="eastAsia" w:ascii="宋体" w:hAnsi="宋体" w:eastAsia="宋体" w:cs="宋体"/>
          <w:color w:val="000000"/>
          <w:sz w:val="32"/>
          <w:szCs w:val="32"/>
          <w:shd w:val="clear" w:color="auto" w:fill="FFFFFF"/>
          <w:lang w:val="en-US"/>
        </w:rPr>
        <w:t>一</w:t>
      </w:r>
      <w:r>
        <w:rPr>
          <w:rFonts w:hint="eastAsia" w:ascii="宋体" w:hAnsi="宋体" w:eastAsia="宋体" w:cs="宋体"/>
          <w:color w:val="000000"/>
          <w:sz w:val="32"/>
          <w:szCs w:val="32"/>
          <w:shd w:val="clear" w:color="auto" w:fill="FFFFFF"/>
        </w:rPr>
        <w:t>）预算绩效管理工作开展情况</w:t>
      </w:r>
    </w:p>
    <w:p>
      <w:pPr>
        <w:pStyle w:val="2"/>
        <w:spacing w:line="360" w:lineRule="auto"/>
        <w:ind w:left="0" w:leftChars="0" w:right="550" w:rightChars="250"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000000"/>
          <w:sz w:val="32"/>
          <w:szCs w:val="32"/>
          <w:shd w:val="clear" w:color="auto" w:fill="FFFFFF"/>
        </w:rPr>
        <w:t>根据预算绩效管理要求，我</w:t>
      </w:r>
      <w:r>
        <w:rPr>
          <w:rFonts w:hint="eastAsia" w:ascii="宋体" w:hAnsi="宋体" w:eastAsia="宋体" w:cs="宋体"/>
          <w:color w:val="000000"/>
          <w:sz w:val="32"/>
          <w:szCs w:val="32"/>
          <w:shd w:val="clear" w:color="auto" w:fill="FFFFFF"/>
          <w:lang w:val="en-US" w:eastAsia="zh-CN"/>
        </w:rPr>
        <w:t>大</w:t>
      </w:r>
      <w:r>
        <w:rPr>
          <w:rFonts w:hint="eastAsia" w:ascii="宋体" w:hAnsi="宋体" w:eastAsia="宋体" w:cs="宋体"/>
          <w:color w:val="000000"/>
          <w:sz w:val="32"/>
          <w:szCs w:val="32"/>
          <w:shd w:val="clear" w:color="auto" w:fill="FFFFFF"/>
        </w:rPr>
        <w:t>队组织对</w:t>
      </w:r>
      <w:r>
        <w:rPr>
          <w:rFonts w:hint="eastAsia" w:ascii="宋体" w:hAnsi="宋体" w:eastAsia="宋体" w:cs="宋体"/>
          <w:color w:val="000000"/>
          <w:sz w:val="32"/>
          <w:szCs w:val="32"/>
          <w:shd w:val="clear" w:color="auto" w:fill="FFFFFF"/>
          <w:lang w:eastAsia="zh-CN"/>
        </w:rPr>
        <w:t>2023</w:t>
      </w:r>
      <w:r>
        <w:rPr>
          <w:rFonts w:hint="eastAsia" w:ascii="宋体" w:hAnsi="宋体" w:eastAsia="宋体" w:cs="宋体"/>
          <w:color w:val="000000"/>
          <w:sz w:val="32"/>
          <w:szCs w:val="32"/>
          <w:shd w:val="clear" w:color="auto" w:fill="FFFFFF"/>
        </w:rPr>
        <w:t>年度一般公共预算项目支出开展绩效自评，其中，一级项目1个，共涉及资金</w:t>
      </w:r>
      <w:r>
        <w:rPr>
          <w:rFonts w:hint="eastAsia" w:ascii="宋体" w:hAnsi="宋体" w:eastAsia="宋体" w:cs="宋体"/>
          <w:color w:val="000000"/>
          <w:sz w:val="32"/>
          <w:szCs w:val="32"/>
          <w:shd w:val="clear" w:color="auto" w:fill="FFFFFF"/>
          <w:lang w:val="en-US" w:eastAsia="zh-CN"/>
        </w:rPr>
        <w:t>45.81</w:t>
      </w:r>
      <w:r>
        <w:rPr>
          <w:rFonts w:hint="eastAsia" w:ascii="宋体" w:hAnsi="宋体" w:eastAsia="宋体" w:cs="宋体"/>
          <w:color w:val="000000"/>
          <w:sz w:val="32"/>
          <w:szCs w:val="32"/>
          <w:shd w:val="clear" w:color="auto" w:fill="FFFFFF"/>
        </w:rPr>
        <w:t>万元，占</w:t>
      </w:r>
      <w:r>
        <w:rPr>
          <w:rFonts w:hint="eastAsia" w:ascii="宋体" w:hAnsi="宋体" w:eastAsia="宋体" w:cs="宋体"/>
          <w:color w:val="333333"/>
          <w:sz w:val="32"/>
          <w:szCs w:val="32"/>
          <w:shd w:val="clear" w:color="auto" w:fill="FFFFFF"/>
        </w:rPr>
        <w:t>一般公共预算项目支出总额的</w:t>
      </w:r>
      <w:r>
        <w:rPr>
          <w:rFonts w:hint="eastAsia" w:ascii="宋体" w:hAnsi="宋体" w:eastAsia="宋体" w:cs="宋体"/>
          <w:color w:val="333333"/>
          <w:sz w:val="32"/>
          <w:szCs w:val="32"/>
          <w:shd w:val="clear" w:color="auto" w:fill="FFFFFF"/>
          <w:lang w:val="en-US" w:eastAsia="zh-CN"/>
        </w:rPr>
        <w:t>79.23</w:t>
      </w:r>
      <w:r>
        <w:rPr>
          <w:rFonts w:hint="eastAsia" w:ascii="宋体" w:hAnsi="宋体" w:eastAsia="宋体" w:cs="宋体"/>
          <w:color w:val="333333"/>
          <w:sz w:val="32"/>
          <w:szCs w:val="32"/>
          <w:shd w:val="clear" w:color="auto" w:fill="FFFFFF"/>
        </w:rPr>
        <w:t>%。</w:t>
      </w:r>
    </w:p>
    <w:p>
      <w:pPr>
        <w:pStyle w:val="2"/>
        <w:spacing w:line="360" w:lineRule="auto"/>
        <w:ind w:right="550" w:rightChars="250"/>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w:t>
      </w:r>
      <w:r>
        <w:rPr>
          <w:rFonts w:hint="eastAsia" w:ascii="宋体" w:hAnsi="宋体" w:eastAsia="宋体" w:cs="宋体"/>
          <w:b/>
          <w:bCs/>
          <w:color w:val="333333"/>
          <w:sz w:val="32"/>
          <w:szCs w:val="32"/>
          <w:shd w:val="clear" w:color="auto" w:fill="FFFFFF"/>
          <w:lang w:val="en-US"/>
        </w:rPr>
        <w:t>二</w:t>
      </w:r>
      <w:r>
        <w:rPr>
          <w:rFonts w:hint="eastAsia" w:ascii="宋体" w:hAnsi="宋体" w:eastAsia="宋体" w:cs="宋体"/>
          <w:b/>
          <w:bCs/>
          <w:color w:val="333333"/>
          <w:sz w:val="32"/>
          <w:szCs w:val="32"/>
          <w:shd w:val="clear" w:color="auto" w:fill="FFFFFF"/>
        </w:rPr>
        <w:t>）部门决算中项目绩效自评结果</w:t>
      </w:r>
    </w:p>
    <w:p>
      <w:pPr>
        <w:pStyle w:val="9"/>
        <w:widowControl/>
        <w:shd w:val="clear" w:color="auto" w:fill="FFFFFF"/>
        <w:spacing w:beforeAutospacing="0" w:afterAutospacing="0" w:line="360" w:lineRule="auto"/>
        <w:ind w:right="550" w:rightChars="250" w:firstLine="640" w:firstLineChars="200"/>
        <w:rPr>
          <w:rFonts w:hint="eastAsia" w:ascii="宋体" w:hAnsi="宋体" w:eastAsia="宋体" w:cs="宋体"/>
          <w:color w:val="333333"/>
          <w:sz w:val="32"/>
          <w:szCs w:val="32"/>
        </w:rPr>
      </w:pPr>
      <w:r>
        <w:rPr>
          <w:rFonts w:hint="eastAsia" w:ascii="宋体" w:hAnsi="宋体" w:eastAsia="宋体" w:cs="宋体"/>
          <w:color w:val="333333"/>
          <w:sz w:val="32"/>
          <w:szCs w:val="32"/>
          <w:shd w:val="clear" w:color="auto" w:fill="FFFFFF"/>
        </w:rPr>
        <w:t>伙食费项目绩效自评综述：根据年初设定的绩效目标，项目自评得分在90分以上，评价等级为“优”。项目全年预算</w:t>
      </w:r>
      <w:r>
        <w:rPr>
          <w:rFonts w:hint="eastAsia" w:ascii="宋体" w:hAnsi="宋体" w:eastAsia="宋体" w:cs="宋体"/>
          <w:color w:val="000000"/>
          <w:sz w:val="32"/>
          <w:szCs w:val="32"/>
          <w:shd w:val="clear" w:color="auto" w:fill="FFFFFF"/>
          <w:lang w:val="zh-CN" w:bidi="zh-CN"/>
        </w:rPr>
        <w:t>数</w:t>
      </w:r>
      <w:r>
        <w:rPr>
          <w:rFonts w:hint="eastAsia" w:ascii="宋体" w:hAnsi="宋体" w:eastAsia="宋体" w:cs="宋体"/>
          <w:color w:val="000000"/>
          <w:sz w:val="32"/>
          <w:szCs w:val="32"/>
          <w:shd w:val="clear" w:color="auto" w:fill="FFFFFF"/>
          <w:lang w:val="en-US" w:bidi="zh-CN"/>
        </w:rPr>
        <w:t>49</w:t>
      </w:r>
      <w:r>
        <w:rPr>
          <w:rFonts w:hint="eastAsia" w:ascii="宋体" w:hAnsi="宋体" w:eastAsia="宋体" w:cs="宋体"/>
          <w:color w:val="000000"/>
          <w:sz w:val="32"/>
          <w:szCs w:val="32"/>
          <w:shd w:val="clear" w:color="auto" w:fill="FFFFFF"/>
          <w:lang w:val="zh-CN" w:bidi="zh-CN"/>
        </w:rPr>
        <w:t>万元，执行数为</w:t>
      </w:r>
      <w:r>
        <w:rPr>
          <w:rFonts w:hint="eastAsia" w:ascii="宋体" w:hAnsi="宋体" w:eastAsia="宋体" w:cs="宋体"/>
          <w:color w:val="000000"/>
          <w:sz w:val="32"/>
          <w:szCs w:val="32"/>
          <w:shd w:val="clear" w:color="auto" w:fill="FFFFFF"/>
          <w:lang w:val="en-US" w:bidi="zh-CN"/>
        </w:rPr>
        <w:t>45.81</w:t>
      </w:r>
      <w:r>
        <w:rPr>
          <w:rFonts w:hint="eastAsia" w:ascii="宋体" w:hAnsi="宋体" w:eastAsia="宋体" w:cs="宋体"/>
          <w:color w:val="333333"/>
          <w:sz w:val="32"/>
          <w:szCs w:val="32"/>
          <w:shd w:val="clear" w:color="auto" w:fill="FFFFFF"/>
        </w:rPr>
        <w:t>万元，完成预算的</w:t>
      </w:r>
      <w:r>
        <w:rPr>
          <w:rFonts w:hint="eastAsia" w:ascii="宋体" w:hAnsi="宋体" w:eastAsia="宋体" w:cs="宋体"/>
          <w:color w:val="333333"/>
          <w:sz w:val="32"/>
          <w:szCs w:val="32"/>
          <w:shd w:val="clear" w:color="auto" w:fill="FFFFFF"/>
          <w:lang w:val="en-US" w:eastAsia="zh-CN"/>
        </w:rPr>
        <w:t>93.</w:t>
      </w:r>
      <w:r>
        <w:rPr>
          <w:rFonts w:hint="eastAsia" w:cs="宋体"/>
          <w:color w:val="333333"/>
          <w:sz w:val="32"/>
          <w:szCs w:val="32"/>
          <w:shd w:val="clear" w:color="auto" w:fill="FFFFFF"/>
          <w:lang w:val="en-US" w:eastAsia="zh-CN"/>
        </w:rPr>
        <w:t>49</w:t>
      </w:r>
      <w:r>
        <w:rPr>
          <w:rFonts w:hint="eastAsia" w:ascii="宋体" w:hAnsi="宋体" w:eastAsia="宋体" w:cs="宋体"/>
          <w:color w:val="333333"/>
          <w:sz w:val="32"/>
          <w:szCs w:val="32"/>
          <w:shd w:val="clear" w:color="auto" w:fill="FFFFFF"/>
        </w:rPr>
        <w:t>%。</w:t>
      </w:r>
      <w:r>
        <w:rPr>
          <w:rFonts w:hint="eastAsia" w:ascii="宋体" w:hAnsi="宋体" w:eastAsia="宋体" w:cs="宋体"/>
          <w:b w:val="0"/>
          <w:bCs w:val="0"/>
          <w:color w:val="333333"/>
          <w:sz w:val="32"/>
          <w:szCs w:val="32"/>
          <w:shd w:val="clear" w:color="auto" w:fill="FFFFFF"/>
        </w:rPr>
        <w:t>项目绩效目标完成情况：按人员实力和伙食费补助标准，保障</w:t>
      </w:r>
      <w:bookmarkStart w:id="0" w:name="_GoBack"/>
      <w:bookmarkEnd w:id="0"/>
      <w:r>
        <w:rPr>
          <w:rFonts w:hint="eastAsia" w:ascii="宋体" w:hAnsi="宋体" w:eastAsia="宋体" w:cs="宋体"/>
          <w:b w:val="0"/>
          <w:bCs w:val="0"/>
          <w:color w:val="333333"/>
          <w:sz w:val="32"/>
          <w:szCs w:val="32"/>
          <w:shd w:val="clear" w:color="auto" w:fill="FFFFFF"/>
        </w:rPr>
        <w:t>了</w:t>
      </w:r>
      <w:r>
        <w:rPr>
          <w:rFonts w:hint="eastAsia" w:ascii="宋体" w:hAnsi="宋体" w:eastAsia="宋体" w:cs="宋体"/>
          <w:color w:val="333333"/>
          <w:sz w:val="32"/>
          <w:szCs w:val="32"/>
          <w:shd w:val="clear" w:color="auto" w:fill="FFFFFF"/>
        </w:rPr>
        <w:t>消防救援人员饮食需要。</w:t>
      </w:r>
    </w:p>
    <w:p>
      <w:pPr>
        <w:pStyle w:val="9"/>
        <w:widowControl/>
        <w:shd w:val="clear" w:color="auto" w:fill="FFFFFF"/>
        <w:spacing w:beforeAutospacing="0" w:afterAutospacing="0" w:line="360" w:lineRule="auto"/>
        <w:ind w:firstLine="420" w:firstLineChars="200"/>
        <w:jc w:val="both"/>
        <w:rPr>
          <w:rFonts w:ascii="仿宋" w:hAnsi="仿宋" w:eastAsia="仿宋" w:cs="仿宋"/>
          <w:color w:val="333333"/>
          <w:sz w:val="21"/>
          <w:szCs w:val="21"/>
        </w:rPr>
      </w:pPr>
      <w:r>
        <w:rPr>
          <w:rFonts w:hint="eastAsia" w:ascii="仿宋" w:hAnsi="仿宋" w:eastAsia="仿宋" w:cs="仿宋"/>
          <w:color w:val="333333"/>
          <w:sz w:val="21"/>
          <w:szCs w:val="21"/>
          <w:shd w:val="clear" w:color="auto" w:fill="FFFFFF"/>
        </w:rPr>
        <w:t> </w:t>
      </w:r>
    </w:p>
    <w:tbl>
      <w:tblPr>
        <w:tblStyle w:val="10"/>
        <w:tblW w:w="1213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412"/>
        <w:gridCol w:w="5"/>
        <w:gridCol w:w="529"/>
        <w:gridCol w:w="5"/>
        <w:gridCol w:w="753"/>
        <w:gridCol w:w="5"/>
        <w:gridCol w:w="649"/>
        <w:gridCol w:w="5"/>
        <w:gridCol w:w="1495"/>
        <w:gridCol w:w="859"/>
        <w:gridCol w:w="995"/>
        <w:gridCol w:w="955"/>
        <w:gridCol w:w="1095"/>
        <w:gridCol w:w="236"/>
        <w:gridCol w:w="1606"/>
        <w:gridCol w:w="5"/>
        <w:gridCol w:w="2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2521" w:type="dxa"/>
          <w:trHeight w:val="288" w:hRule="atLeast"/>
        </w:trPr>
        <w:tc>
          <w:tcPr>
            <w:tcW w:w="9609"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2023</w:t>
            </w:r>
            <w:r>
              <w:rPr>
                <w:rFonts w:hint="eastAsia" w:ascii="宋体" w:hAnsi="宋体" w:eastAsia="宋体" w:cs="宋体"/>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64" w:hRule="atLeast"/>
        </w:trPr>
        <w:tc>
          <w:tcPr>
            <w:tcW w:w="417"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3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3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5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益阳支队资阳大队伙食补助费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 消防救援局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4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益阳市资阳区消防救援大队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264" w:hRule="atLeast"/>
        </w:trPr>
        <w:tc>
          <w:tcPr>
            <w:tcW w:w="95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9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45.81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93.49</w:t>
            </w:r>
            <w:r>
              <w:rPr>
                <w:rFonts w:hint="eastAsia" w:ascii="宋体" w:hAnsi="宋体" w:eastAsia="宋体" w:cs="宋体"/>
                <w:i w:val="0"/>
                <w:iCs w:val="0"/>
                <w:color w:val="000000"/>
                <w:kern w:val="0"/>
                <w:sz w:val="18"/>
                <w:szCs w:val="18"/>
                <w:u w:val="none"/>
                <w:lang w:val="en-US" w:eastAsia="zh-CN" w:bidi="ar"/>
              </w:rPr>
              <w:t>%</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9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39.81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9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9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3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1442" w:hRule="atLeast"/>
        </w:trPr>
        <w:tc>
          <w:tcPr>
            <w:tcW w:w="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0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spacing w:before="0" w:after="0" w:line="180" w:lineRule="exact"/>
              <w:ind w:left="0" w:right="0" w:firstLine="0"/>
              <w:jc w:val="left"/>
              <w:rPr>
                <w:rFonts w:ascii="宋体" w:hAnsi="宋体" w:cs="宋体"/>
                <w:color w:val="000000"/>
                <w:spacing w:val="-2"/>
                <w:sz w:val="18"/>
              </w:rPr>
            </w:pPr>
          </w:p>
          <w:p>
            <w:pPr>
              <w:widowControl w:val="0"/>
              <w:autoSpaceDE w:val="0"/>
              <w:autoSpaceDN w:val="0"/>
              <w:spacing w:before="0" w:after="0" w:line="180" w:lineRule="exact"/>
              <w:ind w:left="0" w:right="0" w:firstLine="0"/>
              <w:jc w:val="left"/>
              <w:rPr>
                <w:rFonts w:hint="eastAsia" w:ascii="宋体" w:hAnsi="宋体" w:eastAsia="宋体" w:cs="宋体"/>
                <w:i w:val="0"/>
                <w:iCs w:val="0"/>
                <w:color w:val="000000"/>
                <w:sz w:val="18"/>
                <w:szCs w:val="18"/>
                <w:u w:val="none"/>
              </w:rPr>
            </w:pPr>
            <w:r>
              <w:rPr>
                <w:rFonts w:ascii="宋体" w:hAnsi="宋体" w:cs="宋体"/>
                <w:color w:val="000000"/>
                <w:spacing w:val="-2"/>
                <w:sz w:val="18"/>
              </w:rPr>
              <w:t>根据消防救援队伍的职能任务以及《消防救援局关于伙食费</w:t>
            </w:r>
            <w:r>
              <w:rPr>
                <w:rFonts w:ascii="宋体" w:hAnsi="宋体" w:cs="宋体"/>
                <w:color w:val="000000"/>
                <w:spacing w:val="0"/>
                <w:sz w:val="18"/>
              </w:rPr>
              <w:t>保障管理事宜的通知》（应急消函[2020]1</w:t>
            </w:r>
            <w:r>
              <w:rPr>
                <w:rFonts w:ascii="Times New Roman"/>
                <w:color w:val="000000"/>
                <w:spacing w:val="-1"/>
                <w:sz w:val="18"/>
              </w:rPr>
              <w:t xml:space="preserve"> </w:t>
            </w:r>
            <w:r>
              <w:rPr>
                <w:rFonts w:ascii="宋体" w:hAnsi="宋体" w:cs="宋体"/>
                <w:color w:val="000000"/>
                <w:spacing w:val="0"/>
                <w:sz w:val="18"/>
              </w:rPr>
              <w:t>号）要求，按照</w:t>
            </w:r>
            <w:r>
              <w:rPr>
                <w:rFonts w:ascii="宋体" w:hAnsi="宋体" w:cs="宋体"/>
                <w:color w:val="000000"/>
                <w:spacing w:val="-1"/>
                <w:sz w:val="18"/>
              </w:rPr>
              <w:t>指战员营养和体能消耗需要，</w:t>
            </w:r>
            <w:r>
              <w:rPr>
                <w:rFonts w:hint="eastAsia" w:ascii="宋体" w:hAnsi="宋体" w:eastAsia="宋体" w:cs="宋体"/>
                <w:i w:val="0"/>
                <w:iCs w:val="0"/>
                <w:color w:val="000000"/>
                <w:kern w:val="0"/>
                <w:sz w:val="18"/>
                <w:szCs w:val="18"/>
                <w:u w:val="none"/>
                <w:lang w:val="en-US" w:eastAsia="zh-CN" w:bidi="ar"/>
              </w:rPr>
              <w:t>科学调剂伙食，保证消防救援指战员营养和体能消耗需要，</w:t>
            </w:r>
            <w:r>
              <w:rPr>
                <w:rFonts w:ascii="宋体" w:hAnsi="宋体" w:cs="宋体"/>
                <w:color w:val="000000"/>
                <w:spacing w:val="-2"/>
                <w:sz w:val="18"/>
              </w:rPr>
              <w:t>科学调剂伙食，确保基层消防救援人员的伙食供</w:t>
            </w:r>
            <w:r>
              <w:rPr>
                <w:rFonts w:ascii="宋体" w:hAnsi="宋体" w:cs="宋体"/>
                <w:color w:val="000000"/>
                <w:spacing w:val="0"/>
                <w:sz w:val="18"/>
              </w:rPr>
              <w:t>给安全高效、营养搭配均衡。</w:t>
            </w:r>
          </w:p>
        </w:tc>
        <w:tc>
          <w:tcPr>
            <w:tcW w:w="48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spacing w:before="0" w:after="0" w:line="180" w:lineRule="exact"/>
              <w:ind w:left="0" w:right="0" w:firstLine="0"/>
              <w:jc w:val="left"/>
              <w:rPr>
                <w:rFonts w:hint="eastAsia" w:ascii="Times New Roman"/>
                <w:color w:val="000000"/>
                <w:spacing w:val="0"/>
                <w:sz w:val="18"/>
                <w:lang w:val="en-US" w:eastAsia="zh-CN"/>
              </w:rPr>
            </w:pPr>
          </w:p>
          <w:p>
            <w:pPr>
              <w:widowControl w:val="0"/>
              <w:autoSpaceDE w:val="0"/>
              <w:autoSpaceDN w:val="0"/>
              <w:spacing w:before="0" w:after="0" w:line="180" w:lineRule="exact"/>
              <w:ind w:left="0" w:right="0" w:firstLine="0"/>
              <w:jc w:val="left"/>
              <w:rPr>
                <w:rFonts w:hint="default" w:ascii="Times New Roman" w:eastAsia="宋体"/>
                <w:color w:val="000000"/>
                <w:spacing w:val="0"/>
                <w:sz w:val="18"/>
                <w:lang w:val="en-US" w:eastAsia="zh-CN"/>
              </w:rPr>
            </w:pPr>
            <w:r>
              <w:rPr>
                <w:rFonts w:hint="eastAsia" w:ascii="Times New Roman"/>
                <w:color w:val="000000"/>
                <w:spacing w:val="0"/>
                <w:sz w:val="18"/>
                <w:lang w:val="en-US" w:eastAsia="zh-CN"/>
              </w:rPr>
              <w:t>伙食费专款专用，食品安全，保证了</w:t>
            </w:r>
            <w:r>
              <w:rPr>
                <w:rFonts w:ascii="宋体" w:hAnsi="宋体" w:cs="宋体"/>
                <w:color w:val="000000"/>
                <w:spacing w:val="-1"/>
                <w:sz w:val="18"/>
              </w:rPr>
              <w:t>指战员营养和体能消耗需要，提升了队伍战斗</w:t>
            </w:r>
            <w:r>
              <w:rPr>
                <w:rFonts w:hint="eastAsia" w:cs="宋体"/>
                <w:color w:val="000000"/>
                <w:spacing w:val="-1"/>
                <w:sz w:val="18"/>
                <w:lang w:val="en-US" w:eastAsia="zh-CN"/>
              </w:rPr>
              <w:t>力，预算执行力达到了93.49%</w:t>
            </w:r>
          </w:p>
          <w:p>
            <w:pPr>
              <w:widowControl w:val="0"/>
              <w:autoSpaceDE w:val="0"/>
              <w:autoSpaceDN w:val="0"/>
              <w:spacing w:before="112" w:after="0" w:line="180" w:lineRule="exact"/>
              <w:ind w:left="0" w:right="0" w:firstLine="0"/>
              <w:jc w:val="left"/>
              <w:rPr>
                <w:rFonts w:ascii="Times New Roman"/>
                <w:color w:val="000000"/>
                <w:spacing w:val="0"/>
                <w:sz w:val="18"/>
              </w:rPr>
            </w:pP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600" w:hRule="atLeast"/>
        </w:trPr>
        <w:tc>
          <w:tcPr>
            <w:tcW w:w="417"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20" w:hRule="atLeast"/>
        </w:trPr>
        <w:tc>
          <w:tcPr>
            <w:tcW w:w="4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34"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5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专款专用率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720" w:hRule="atLeast"/>
        </w:trPr>
        <w:tc>
          <w:tcPr>
            <w:tcW w:w="41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 w:type="dxa"/>
            <w:gridSpan w:val="2"/>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5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93.49</w:t>
            </w:r>
            <w:r>
              <w:rPr>
                <w:rFonts w:hint="eastAsia" w:ascii="宋体" w:hAnsi="宋体" w:eastAsia="宋体" w:cs="宋体"/>
                <w:i w:val="0"/>
                <w:iCs w:val="0"/>
                <w:color w:val="000000"/>
                <w:kern w:val="0"/>
                <w:sz w:val="18"/>
                <w:szCs w:val="18"/>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18.7</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伙食费</w:t>
            </w:r>
            <w:r>
              <w:rPr>
                <w:rFonts w:hint="eastAsia" w:ascii="宋体" w:hAnsi="宋体" w:eastAsia="宋体" w:cs="宋体"/>
                <w:i w:val="0"/>
                <w:iCs w:val="0"/>
                <w:color w:val="000000"/>
                <w:kern w:val="0"/>
                <w:sz w:val="18"/>
                <w:szCs w:val="18"/>
                <w:u w:val="none"/>
                <w:lang w:val="en-US" w:eastAsia="zh-CN" w:bidi="ar"/>
              </w:rPr>
              <w:t>按照实际情况支付</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00" w:hRule="atLeast"/>
        </w:trPr>
        <w:tc>
          <w:tcPr>
            <w:tcW w:w="41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 w:type="dxa"/>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526" w:type="dxa"/>
          <w:trHeight w:val="480" w:hRule="atLeast"/>
        </w:trPr>
        <w:tc>
          <w:tcPr>
            <w:tcW w:w="41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5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保持消防员充沛体力，提升战斗力</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效果显著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00" w:hRule="atLeast"/>
        </w:trPr>
        <w:tc>
          <w:tcPr>
            <w:tcW w:w="41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4"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5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消防员对伙食满意度</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6" w:type="dxa"/>
          <w:trHeight w:val="379" w:hRule="atLeast"/>
        </w:trPr>
        <w:tc>
          <w:tcPr>
            <w:tcW w:w="57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98</w:t>
            </w:r>
            <w:r>
              <w:rPr>
                <w:rFonts w:hint="eastAsia" w:cs="宋体"/>
                <w:i w:val="0"/>
                <w:iCs w:val="0"/>
                <w:color w:val="000000"/>
                <w:sz w:val="18"/>
                <w:szCs w:val="18"/>
                <w:highlight w:val="none"/>
                <w:u w:val="none"/>
                <w:lang w:val="en-US" w:eastAsia="zh-CN"/>
              </w:rPr>
              <w:t>.7</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red"/>
                <w:u w:val="none"/>
              </w:rPr>
            </w:pPr>
          </w:p>
        </w:tc>
      </w:tr>
    </w:tbl>
    <w:p>
      <w:pPr>
        <w:pStyle w:val="2"/>
        <w:ind w:firstLine="0" w:firstLineChars="0"/>
        <w:rPr>
          <w:rFonts w:ascii="方正楷体_GBK" w:hAnsi="方正楷体_GBK" w:eastAsia="方正楷体_GBK" w:cs="方正楷体_GBK"/>
          <w:b/>
          <w:bCs/>
          <w:color w:val="333333"/>
          <w:sz w:val="32"/>
          <w:szCs w:val="32"/>
          <w:shd w:val="clear" w:color="auto" w:fill="FFFFFF"/>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sectPr>
          <w:footerReference r:id="rId14" w:type="default"/>
          <w:pgSz w:w="11907" w:h="16840"/>
          <w:pgMar w:top="400" w:right="1226" w:bottom="1138" w:left="1459" w:header="0" w:footer="850" w:gutter="0"/>
          <w:cols w:space="720" w:num="1"/>
        </w:sectPr>
      </w:pPr>
    </w:p>
    <w:p>
      <w:pPr>
        <w:pStyle w:val="5"/>
        <w:rPr>
          <w:sz w:val="20"/>
        </w:rPr>
      </w:pPr>
      <w:r>
        <mc:AlternateContent>
          <mc:Choice Requires="wpg">
            <w:drawing>
              <wp:anchor distT="0" distB="0" distL="114300" distR="114300" simplePos="0" relativeHeight="251662336" behindDoc="1" locked="0" layoutInCell="1" allowOverlap="1">
                <wp:simplePos x="0" y="0"/>
                <wp:positionH relativeFrom="page">
                  <wp:posOffset>38100</wp:posOffset>
                </wp:positionH>
                <wp:positionV relativeFrom="page">
                  <wp:posOffset>-38100</wp:posOffset>
                </wp:positionV>
                <wp:extent cx="7568565" cy="10692130"/>
                <wp:effectExtent l="0" t="0" r="0" b="0"/>
                <wp:wrapNone/>
                <wp:docPr id="27" name="组合 3"/>
                <wp:cNvGraphicFramePr/>
                <a:graphic xmlns:a="http://schemas.openxmlformats.org/drawingml/2006/main">
                  <a:graphicData uri="http://schemas.microsoft.com/office/word/2010/wordprocessingGroup">
                    <wpg:wgp>
                      <wpg:cNvGrpSpPr/>
                      <wpg:grpSpPr>
                        <a:xfrm>
                          <a:off x="0" y="0"/>
                          <a:ext cx="7568565" cy="10692130"/>
                          <a:chOff x="0" y="0"/>
                          <a:chExt cx="11709" cy="0"/>
                        </a:xfrm>
                      </wpg:grpSpPr>
                      <wps:wsp>
                        <wps:cNvPr id="19" name="直线 11"/>
                        <wps:cNvCnPr/>
                        <wps:spPr>
                          <a:xfrm>
                            <a:off x="6405" y="0"/>
                            <a:ext cx="0" cy="7231"/>
                          </a:xfrm>
                          <a:prstGeom prst="line">
                            <a:avLst/>
                          </a:prstGeom>
                          <a:ln w="46912" cap="flat" cmpd="sng">
                            <a:solidFill>
                              <a:srgbClr val="CCCC00"/>
                            </a:solidFill>
                            <a:prstDash val="solid"/>
                            <a:headEnd type="none" w="med" len="med"/>
                            <a:tailEnd type="none" w="med" len="med"/>
                          </a:ln>
                        </wps:spPr>
                        <wps:bodyPr upright="1"/>
                      </wps:wsp>
                      <wps:wsp>
                        <wps:cNvPr id="20" name="直线 10"/>
                        <wps:cNvCnPr/>
                        <wps:spPr>
                          <a:xfrm>
                            <a:off x="6287" y="0"/>
                            <a:ext cx="0" cy="7231"/>
                          </a:xfrm>
                          <a:prstGeom prst="line">
                            <a:avLst/>
                          </a:prstGeom>
                          <a:ln w="19323" cap="flat" cmpd="sng">
                            <a:solidFill>
                              <a:srgbClr val="CCCC00"/>
                            </a:solidFill>
                            <a:prstDash val="solid"/>
                            <a:headEnd type="none" w="med" len="med"/>
                            <a:tailEnd type="none" w="med" len="med"/>
                          </a:ln>
                        </wps:spPr>
                        <wps:bodyPr upright="1"/>
                      </wps:wsp>
                      <wps:wsp>
                        <wps:cNvPr id="21" name="直线 9"/>
                        <wps:cNvCnPr/>
                        <wps:spPr>
                          <a:xfrm>
                            <a:off x="6525" y="0"/>
                            <a:ext cx="0" cy="7231"/>
                          </a:xfrm>
                          <a:prstGeom prst="line">
                            <a:avLst/>
                          </a:prstGeom>
                          <a:ln w="50020" cap="flat" cmpd="sng">
                            <a:solidFill>
                              <a:srgbClr val="CCCC00"/>
                            </a:solidFill>
                            <a:prstDash val="solid"/>
                            <a:headEnd type="none" w="med" len="med"/>
                            <a:tailEnd type="none" w="med" len="med"/>
                          </a:ln>
                        </wps:spPr>
                        <wps:bodyPr upright="1"/>
                      </wps:wsp>
                      <wps:wsp>
                        <wps:cNvPr id="22" name="直线 8"/>
                        <wps:cNvCnPr/>
                        <wps:spPr>
                          <a:xfrm>
                            <a:off x="6405" y="10819"/>
                            <a:ext cx="0" cy="6019"/>
                          </a:xfrm>
                          <a:prstGeom prst="line">
                            <a:avLst/>
                          </a:prstGeom>
                          <a:ln w="46912" cap="flat" cmpd="sng">
                            <a:solidFill>
                              <a:srgbClr val="CCCC00"/>
                            </a:solidFill>
                            <a:prstDash val="solid"/>
                            <a:headEnd type="none" w="med" len="med"/>
                            <a:tailEnd type="none" w="med" len="med"/>
                          </a:ln>
                        </wps:spPr>
                        <wps:bodyPr upright="1"/>
                      </wps:wsp>
                      <wps:wsp>
                        <wps:cNvPr id="23" name="直线 7"/>
                        <wps:cNvCnPr/>
                        <wps:spPr>
                          <a:xfrm>
                            <a:off x="6287" y="10819"/>
                            <a:ext cx="0" cy="6019"/>
                          </a:xfrm>
                          <a:prstGeom prst="line">
                            <a:avLst/>
                          </a:prstGeom>
                          <a:ln w="19323" cap="flat" cmpd="sng">
                            <a:solidFill>
                              <a:srgbClr val="CCCC00"/>
                            </a:solidFill>
                            <a:prstDash val="solid"/>
                            <a:headEnd type="none" w="med" len="med"/>
                            <a:tailEnd type="none" w="med" len="med"/>
                          </a:ln>
                        </wps:spPr>
                        <wps:bodyPr upright="1"/>
                      </wps:wsp>
                      <wps:wsp>
                        <wps:cNvPr id="24" name="直线 6"/>
                        <wps:cNvCnPr/>
                        <wps:spPr>
                          <a:xfrm>
                            <a:off x="6525" y="10819"/>
                            <a:ext cx="0" cy="6019"/>
                          </a:xfrm>
                          <a:prstGeom prst="line">
                            <a:avLst/>
                          </a:prstGeom>
                          <a:ln w="50020" cap="flat" cmpd="sng">
                            <a:solidFill>
                              <a:srgbClr val="CCCC00"/>
                            </a:solidFill>
                            <a:prstDash val="solid"/>
                            <a:headEnd type="none" w="med" len="med"/>
                            <a:tailEnd type="none" w="med" len="med"/>
                          </a:ln>
                        </wps:spPr>
                        <wps:bodyPr upright="1"/>
                      </wps:wsp>
                      <wps:wsp>
                        <wps:cNvPr id="25" name="矩形 5"/>
                        <wps:cNvSpPr/>
                        <wps:spPr>
                          <a:xfrm>
                            <a:off x="0" y="7231"/>
                            <a:ext cx="11700" cy="3588"/>
                          </a:xfrm>
                          <a:prstGeom prst="rect">
                            <a:avLst/>
                          </a:prstGeom>
                          <a:solidFill>
                            <a:srgbClr val="558ED5"/>
                          </a:solidFill>
                          <a:ln>
                            <a:noFill/>
                          </a:ln>
                        </wps:spPr>
                        <wps:bodyPr upright="1"/>
                      </wps:wsp>
                      <wps:wsp>
                        <wps:cNvPr id="26" name="自选图形 4"/>
                        <wps:cNvSpPr/>
                        <wps:spPr>
                          <a:xfrm>
                            <a:off x="0" y="7224"/>
                            <a:ext cx="11709" cy="3603"/>
                          </a:xfrm>
                          <a:custGeom>
                            <a:avLst/>
                            <a:gdLst>
                              <a:gd name="A1" fmla="val 0"/>
                              <a:gd name="A2" fmla="val 0"/>
                              <a:gd name="A3" fmla="val 0"/>
                            </a:gdLst>
                            <a:ahLst/>
                            <a:cxnLst/>
                            <a:pathLst>
                              <a:path w="11709" h="3603">
                                <a:moveTo>
                                  <a:pt x="11694" y="15"/>
                                </a:moveTo>
                                <a:lnTo>
                                  <a:pt x="0" y="15"/>
                                </a:lnTo>
                                <a:lnTo>
                                  <a:pt x="0" y="0"/>
                                </a:lnTo>
                                <a:lnTo>
                                  <a:pt x="11709" y="0"/>
                                </a:lnTo>
                                <a:lnTo>
                                  <a:pt x="11709" y="7"/>
                                </a:lnTo>
                                <a:lnTo>
                                  <a:pt x="11694" y="7"/>
                                </a:lnTo>
                                <a:lnTo>
                                  <a:pt x="11694" y="15"/>
                                </a:lnTo>
                                <a:close/>
                                <a:moveTo>
                                  <a:pt x="11694" y="3595"/>
                                </a:moveTo>
                                <a:lnTo>
                                  <a:pt x="11694" y="7"/>
                                </a:lnTo>
                                <a:lnTo>
                                  <a:pt x="11701" y="15"/>
                                </a:lnTo>
                                <a:lnTo>
                                  <a:pt x="11709" y="15"/>
                                </a:lnTo>
                                <a:lnTo>
                                  <a:pt x="11709" y="3588"/>
                                </a:lnTo>
                                <a:lnTo>
                                  <a:pt x="11701" y="3588"/>
                                </a:lnTo>
                                <a:lnTo>
                                  <a:pt x="11694" y="3595"/>
                                </a:lnTo>
                                <a:close/>
                                <a:moveTo>
                                  <a:pt x="11709" y="15"/>
                                </a:moveTo>
                                <a:lnTo>
                                  <a:pt x="11701" y="15"/>
                                </a:lnTo>
                                <a:lnTo>
                                  <a:pt x="11694" y="7"/>
                                </a:lnTo>
                                <a:lnTo>
                                  <a:pt x="11709" y="7"/>
                                </a:lnTo>
                                <a:lnTo>
                                  <a:pt x="11709" y="15"/>
                                </a:lnTo>
                                <a:close/>
                                <a:moveTo>
                                  <a:pt x="11709" y="3603"/>
                                </a:moveTo>
                                <a:lnTo>
                                  <a:pt x="0" y="3603"/>
                                </a:lnTo>
                                <a:lnTo>
                                  <a:pt x="0" y="3588"/>
                                </a:lnTo>
                                <a:lnTo>
                                  <a:pt x="11694" y="3588"/>
                                </a:lnTo>
                                <a:lnTo>
                                  <a:pt x="11694" y="3595"/>
                                </a:lnTo>
                                <a:lnTo>
                                  <a:pt x="11709" y="3595"/>
                                </a:lnTo>
                                <a:lnTo>
                                  <a:pt x="11709" y="3603"/>
                                </a:lnTo>
                                <a:close/>
                                <a:moveTo>
                                  <a:pt x="11709" y="3595"/>
                                </a:moveTo>
                                <a:lnTo>
                                  <a:pt x="11694" y="3595"/>
                                </a:lnTo>
                                <a:lnTo>
                                  <a:pt x="11701" y="3588"/>
                                </a:lnTo>
                                <a:lnTo>
                                  <a:pt x="11709" y="3588"/>
                                </a:lnTo>
                                <a:lnTo>
                                  <a:pt x="11709" y="3595"/>
                                </a:lnTo>
                                <a:close/>
                              </a:path>
                            </a:pathLst>
                          </a:custGeom>
                          <a:solidFill>
                            <a:srgbClr val="000000"/>
                          </a:solidFill>
                          <a:ln>
                            <a:noFill/>
                          </a:ln>
                        </wps:spPr>
                        <wps:bodyPr upright="1"/>
                      </wps:wsp>
                    </wpg:wgp>
                  </a:graphicData>
                </a:graphic>
              </wp:anchor>
            </w:drawing>
          </mc:Choice>
          <mc:Fallback>
            <w:pict>
              <v:group id="组合 3" o:spid="_x0000_s1026" o:spt="203" style="position:absolute;left:0pt;margin-left:3pt;margin-top:-3pt;height:841.9pt;width:595.95pt;mso-position-horizontal-relative:page;mso-position-vertical-relative:page;z-index:-251654144;mso-width-relative:page;mso-height-relative:page;" coordsize="11709,0" o:gfxdata="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&#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CztbC42gAAAAoBAAAPAAAAAAAAAAEAIAAAACIAAABk&#10;cnMvZG93bnJldi54bWxQSwECFAAUAAAACACHTuJApjrCBbAEAAAQGAAADgAAAAAAAAABACAAAAAp&#10;AQAAZHJzL2Uyb0RvYy54bWxQSwUGAAAAAAYABgBZAQAASwgAAAAA&#10;">
                <o:lock v:ext="edit" aspectratio="f"/>
                <v:line id="直线 11" o:spid="_x0000_s1026" o:spt="20" style="position:absolute;left:6405;top:0;height:7231;width:0;" filled="f" stroked="t" coordsize="21600,21600" o:gfxdata="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1AAbsAAADb&#10;AAAADwAAAAAAAAABACAAAAAiAAAAZHJzL2Rvd25yZXYueG1sUEsBAhQAFAAAAAgAh07iQDMvBZ47&#10;AAAAOQAAABAAAAAAAAAAAQAgAAAACgEAAGRycy9zaGFwZXhtbC54bWxQSwUGAAAAAAYABgBbAQAA&#10;tAMAAAAA&#10;">
                  <v:fill on="f" focussize="0,0"/>
                  <v:stroke weight="3.69385826771654pt" color="#CCCC00" joinstyle="round"/>
                  <v:imagedata o:title=""/>
                  <o:lock v:ext="edit" aspectratio="f"/>
                </v:line>
                <v:line id="直线 10" o:spid="_x0000_s1026" o:spt="20" style="position:absolute;left:6287;top:0;height:7231;width:0;" filled="f" stroked="t" coordsize="21600,21600" o:gfxdata="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sAp9rUAAADbAAAADwAA&#10;AAAAAAABACAAAAAiAAAAZHJzL2Rvd25yZXYueG1sUEsBAhQAFAAAAAgAh07iQDMvBZ47AAAAOQAA&#10;ABAAAAAAAAAAAQAgAAAABAEAAGRycy9zaGFwZXhtbC54bWxQSwUGAAAAAAYABgBbAQAArgMAAAAA&#10;">
                  <v:fill on="f" focussize="0,0"/>
                  <v:stroke weight="1.52149606299213pt" color="#CCCC00" joinstyle="round"/>
                  <v:imagedata o:title=""/>
                  <o:lock v:ext="edit" aspectratio="f"/>
                </v:line>
                <v:line id="直线 9" o:spid="_x0000_s1026" o:spt="20" style="position:absolute;left:6525;top:0;height:7231;width:0;" filled="f" stroked="t" coordsize="21600,21600" o:gfxdata="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5K/IugAAANsA&#10;AAAPAAAAAAAAAAEAIAAAACIAAABkcnMvZG93bnJldi54bWxQSwECFAAUAAAACACHTuJAMy8FnjsA&#10;AAA5AAAAEAAAAAAAAAABACAAAAAJAQAAZHJzL3NoYXBleG1sLnhtbFBLBQYAAAAABgAGAFsBAACz&#10;AwAAAAA=&#10;">
                  <v:fill on="f" focussize="0,0"/>
                  <v:stroke weight="3.93858267716535pt" color="#CCCC00" joinstyle="round"/>
                  <v:imagedata o:title=""/>
                  <o:lock v:ext="edit" aspectratio="f"/>
                </v:line>
                <v:line id="直线 8" o:spid="_x0000_s1026" o:spt="20" style="position:absolute;left:6405;top:10819;height:6019;width:0;" filled="f" stroked="t" coordsize="21600,21600" o:gfxdata="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1GM28AAAA&#10;2wAAAA8AAAAAAAAAAQAgAAAAIgAAAGRycy9kb3ducmV2LnhtbFBLAQIUABQAAAAIAIdO4kAzLwWe&#10;OwAAADkAAAAQAAAAAAAAAAEAIAAAAAsBAABkcnMvc2hhcGV4bWwueG1sUEsFBgAAAAAGAAYAWwEA&#10;ALUDAAAAAA==&#10;">
                  <v:fill on="f" focussize="0,0"/>
                  <v:stroke weight="3.69385826771654pt" color="#CCCC00" joinstyle="round"/>
                  <v:imagedata o:title=""/>
                  <o:lock v:ext="edit" aspectratio="f"/>
                </v:line>
                <v:line id="直线 7" o:spid="_x0000_s1026" o:spt="20" style="position:absolute;left:6287;top:10819;height:6019;width:0;" filled="f" stroked="t" coordsize="21600,21600" o:gfxdata="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reBvQAA&#10;ANsAAAAPAAAAAAAAAAEAIAAAACIAAABkcnMvZG93bnJldi54bWxQSwECFAAUAAAACACHTuJAMy8F&#10;njsAAAA5AAAAEAAAAAAAAAABACAAAAAMAQAAZHJzL3NoYXBleG1sLnhtbFBLBQYAAAAABgAGAFsB&#10;AAC2AwAAAAA=&#10;">
                  <v:fill on="f" focussize="0,0"/>
                  <v:stroke weight="1.52149606299213pt" color="#CCCC00" joinstyle="round"/>
                  <v:imagedata o:title=""/>
                  <o:lock v:ext="edit" aspectratio="f"/>
                </v:line>
                <v:line id="直线 6" o:spid="_x0000_s1026" o:spt="20" style="position:absolute;left:6525;top:10819;height:6019;width:0;" filled="f" stroked="t" coordsize="21600,21600" o:gfxdata="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kwxQugAAANsA&#10;AAAPAAAAAAAAAAEAIAAAACIAAABkcnMvZG93bnJldi54bWxQSwECFAAUAAAACACHTuJAMy8FnjsA&#10;AAA5AAAAEAAAAAAAAAABACAAAAAJAQAAZHJzL3NoYXBleG1sLnhtbFBLBQYAAAAABgAGAFsBAACz&#10;AwAAAAA=&#10;">
                  <v:fill on="f" focussize="0,0"/>
                  <v:stroke weight="3.93858267716535pt" color="#CCCC00" joinstyle="round"/>
                  <v:imagedata o:title=""/>
                  <o:lock v:ext="edit" aspectratio="f"/>
                </v:line>
                <v:rect id="矩形 5" o:spid="_x0000_s1026" o:spt="1" style="position:absolute;left:0;top:7231;height:3588;width:11700;" fillcolor="#558ED5" filled="t" stroked="f" coordsize="21600,21600" o:gfxdata="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GDxvQAA&#10;ANsAAAAPAAAAAAAAAAEAIAAAACIAAABkcnMvZG93bnJldi54bWxQSwECFAAUAAAACACHTuJAMy8F&#10;njsAAAA5AAAAEAAAAAAAAAABACAAAAAMAQAAZHJzL3NoYXBleG1sLnhtbFBLBQYAAAAABgAGAFsB&#10;AAC2AwAAAAA=&#10;">
                  <v:fill on="t" focussize="0,0"/>
                  <v:stroke on="f"/>
                  <v:imagedata o:title=""/>
                  <o:lock v:ext="edit" aspectratio="f"/>
                </v:rect>
                <v:shape id="自选图形 4" o:spid="_x0000_s1026" o:spt="100" style="position:absolute;left:0;top:7224;height:3603;width:11709;" fillcolor="#000000" filled="t" stroked="f" coordsize="11709,3603" o:gfxdata="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Xq6RvQAA&#10;ANsAAAAPAAAAAAAAAAEAIAAAACIAAABkcnMvZG93bnJldi54bWxQSwECFAAUAAAACACHTuJAMy8F&#10;njsAAAA5AAAAEAAAAAAAAAABACAAAAAMAQAAZHJzL3NoYXBleG1sLnhtbFBLBQYAAAAABgAGAFsB&#10;AAC2AwAAAAA=&#10;" path="m11694,15l0,15,0,0,11709,0,11709,7,11694,7,11694,15xm11694,3595l11694,7,11701,15,11709,15,11709,3588,11701,3588,11694,3595xm11709,15l11701,15,11694,7,11709,7,11709,15xm11709,3603l0,3603,0,3588,11694,3588,11694,3595,11709,3595,11709,3603xm11709,3595l11694,3595,11701,3588,11709,3588,11709,3595xe">
                  <v:fill on="t" focussize="0,0"/>
                  <v:stroke on="f"/>
                  <v:imagedata o:title=""/>
                  <o:lock v:ext="edit" aspectratio="f"/>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17"/>
        </w:rPr>
      </w:pPr>
    </w:p>
    <w:p>
      <w:pPr>
        <w:pStyle w:val="3"/>
        <w:spacing w:before="27"/>
        <w:ind w:left="812" w:firstLine="2610" w:firstLineChars="500"/>
      </w:pPr>
    </w:p>
    <w:p>
      <w:pPr>
        <w:pStyle w:val="3"/>
        <w:spacing w:before="27"/>
        <w:ind w:left="812" w:firstLine="2610" w:firstLineChars="500"/>
      </w:pPr>
      <w:r>
        <w:t>第四部分</w:t>
      </w:r>
      <w:r>
        <w:rPr>
          <w:rFonts w:hint="eastAsia"/>
        </w:rPr>
        <w:t>名词解释</w:t>
      </w:r>
    </w:p>
    <w:p>
      <w:pPr>
        <w:rPr>
          <w:rFonts w:ascii="黑体" w:eastAsia="黑体"/>
          <w:sz w:val="52"/>
        </w:rPr>
        <w:sectPr>
          <w:footerReference r:id="rId15" w:type="default"/>
          <w:pgSz w:w="11910" w:h="16840"/>
          <w:pgMar w:top="0" w:right="80" w:bottom="460" w:left="200" w:header="0" w:footer="850" w:gutter="0"/>
          <w:cols w:space="720" w:num="1"/>
        </w:sect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（一）一般公共预算财政拨款收入：指中央财政当年拨付的资金。</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（二）其他收入：指除 “一般公共预算财政拨款收入”、“事业收入”、“事业单位经营收入”等以外的收入。</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（三）年初结转和结余：指单位以前年度尚未完成、结转到本年按有关规定继续使用的资金。</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（四）住房保障支出（类）住房改革支出（款）住房公积金（项）：反映行政事业单位按人力资源和社会保障部、财政部规定的基本工资和津贴补贴以及规定比例为职工缴纳的住房公积金。</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（五）住房保障支出（类）住房改革支出（款）购房补贴（项）：反映按房改政策规定，行政事业单位向符合条件职工（含离退休人员）发放的用于购买住房的补贴。</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（六）灾害防治及应急管理支出（类）消防事务（款）行政运行（项）：指消防救援局及所属消防救援队伍用于保障机构正常运行、开展日常工作的基本支出。</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color w:val="333333"/>
          <w:sz w:val="32"/>
          <w:szCs w:val="32"/>
          <w:shd w:val="clear" w:color="auto" w:fill="FFFFFF"/>
          <w:lang w:eastAsia="zh-CN"/>
        </w:rPr>
      </w:pPr>
      <w:r>
        <w:rPr>
          <w:rFonts w:hint="eastAsia" w:ascii="宋体" w:hAnsi="宋体" w:eastAsia="宋体" w:cs="宋体"/>
          <w:b w:val="0"/>
          <w:bCs w:val="0"/>
          <w:color w:val="333333"/>
          <w:sz w:val="32"/>
          <w:szCs w:val="32"/>
          <w:shd w:val="clear" w:color="auto" w:fill="FFFFFF"/>
        </w:rPr>
        <w:t>（七）灾害防治及应急管理支出（类）消防事务（款）消防应急救援（项）：指消防救援局开展消防应急救援方面的支出。</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（八）灾害防治及应急管理支出（类）消防事务（款）其他消防事务支出（项）：指消防救援局部门机动费项目支出及消防产品合格评定中心的各项支出。</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（九）年末结转和结余：指单位本年度或以前年度预算安排、因客观条件发生变化未全部执行或未执行，结转到以后年度继续使用的资金，或项目已完成等产生的结余资金。</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color w:val="333333"/>
          <w:sz w:val="32"/>
          <w:szCs w:val="32"/>
          <w:shd w:val="clear" w:color="auto" w:fill="FFFFFF"/>
        </w:rPr>
      </w:pP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color w:val="333333"/>
          <w:sz w:val="32"/>
          <w:szCs w:val="32"/>
          <w:shd w:val="clear" w:color="auto" w:fill="FFFFFF"/>
        </w:rPr>
      </w:pP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color w:val="333333"/>
          <w:sz w:val="32"/>
          <w:szCs w:val="32"/>
          <w:shd w:val="clear" w:color="auto" w:fill="FFFFFF"/>
        </w:rPr>
      </w:pP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（十）基本支出：指为保障机构正常运转、完成日常工作任务而发生的人员支出和公用支出。</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（十一）项目支出：指在基本支出之外为完成特定行政任务和事业发展目标所发生的支出。</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widowControl/>
        <w:spacing w:beforeAutospacing="0" w:afterAutospacing="0" w:line="360" w:lineRule="auto"/>
        <w:ind w:left="1100" w:leftChars="500" w:right="1100" w:rightChars="500"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color w:val="333333"/>
          <w:sz w:val="32"/>
          <w:szCs w:val="32"/>
          <w:shd w:val="clear" w:color="auto" w:fill="FFFFFF"/>
        </w:rPr>
        <w:t>（十三）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spacing w:line="360" w:lineRule="auto"/>
        <w:ind w:firstLine="640" w:firstLineChars="200"/>
        <w:rPr>
          <w:rFonts w:hint="eastAsia" w:ascii="宋体" w:hAnsi="宋体" w:eastAsia="宋体" w:cs="宋体"/>
        </w:rPr>
      </w:pPr>
    </w:p>
    <w:p>
      <w:pPr>
        <w:pStyle w:val="5"/>
        <w:spacing w:line="360" w:lineRule="auto"/>
        <w:ind w:firstLine="640" w:firstLineChars="200"/>
        <w:rPr>
          <w:rFonts w:hint="eastAsia" w:ascii="宋体" w:hAnsi="宋体" w:eastAsia="宋体" w:cs="宋体"/>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sectPr>
          <w:footerReference r:id="rId16" w:type="default"/>
          <w:pgSz w:w="11910" w:h="16840"/>
          <w:pgMar w:top="0" w:right="80" w:bottom="460" w:left="200" w:header="0" w:footer="85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17"/>
        </w:rPr>
      </w:pPr>
    </w:p>
    <w:p>
      <w:pPr>
        <w:pStyle w:val="3"/>
        <w:spacing w:before="27"/>
        <w:ind w:right="8723"/>
        <w:jc w:val="right"/>
      </w:pPr>
      <w:r>
        <w:rPr>
          <w:color w:val="FFFFFF"/>
          <w:w w:val="95"/>
        </w:rPr>
        <w:t>第五部分</w:t>
      </w:r>
    </w:p>
    <w:p>
      <w:pPr>
        <w:spacing w:before="270"/>
        <w:ind w:right="8718"/>
        <w:jc w:val="right"/>
        <w:rPr>
          <w:rFonts w:ascii="黑体" w:eastAsia="黑体"/>
          <w:sz w:val="52"/>
        </w:rPr>
        <w:sectPr>
          <w:footerReference r:id="rId17" w:type="default"/>
          <w:pgSz w:w="11910" w:h="16840"/>
          <w:pgMar w:top="0" w:right="80" w:bottom="460" w:left="200" w:header="0" w:footer="850" w:gutter="0"/>
          <w:cols w:space="720" w:num="1"/>
        </w:sectPr>
      </w:pPr>
      <w:r>
        <w:rPr>
          <w:rFonts w:hint="eastAsia" w:ascii="黑体" w:eastAsia="黑体"/>
          <w:b/>
          <w:color w:val="FFFFFF"/>
          <w:w w:val="95"/>
          <w:sz w:val="52"/>
        </w:rPr>
        <w:t>附件</w:t>
      </w:r>
    </w:p>
    <w:p/>
    <w:sectPr>
      <w:footerReference r:id="rId18" w:type="default"/>
      <w:pgSz w:w="11910" w:h="16840"/>
      <w:pgMar w:top="1520" w:right="80" w:bottom="380" w:left="200" w:header="0" w:footer="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Arial Unicode MS"/>
    <w:panose1 w:val="02000000000000000000"/>
    <w:charset w:val="86"/>
    <w:family w:val="script"/>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KJALUN+TimesNewRomanPSMT">
    <w:panose1 w:val="02000500000000000000"/>
    <w:charset w:val="01"/>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3149600</wp:posOffset>
              </wp:positionH>
              <wp:positionV relativeFrom="paragraph">
                <wp:posOffset>0</wp:posOffset>
              </wp:positionV>
              <wp:extent cx="881380" cy="22225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881380" cy="222250"/>
                      </a:xfrm>
                      <a:prstGeom prst="rect">
                        <a:avLst/>
                      </a:prstGeom>
                      <a:noFill/>
                      <a:ln w="6350">
                        <a:noFill/>
                      </a:ln>
                      <a:effectLst/>
                    </wps:spPr>
                    <wps:txbx>
                      <w:txbxContent>
                        <w:p>
                          <w:pPr>
                            <w:pStyle w:val="7"/>
                            <w:jc w:val="center"/>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8pt;margin-top:0pt;height:17.5pt;width:69.4pt;mso-position-horizontal-relative:margin;z-index:251662336;mso-width-relative:page;mso-height-relative:page;" filled="f" stroked="f" coordsize="21600,21600" o:gfxdata="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X7LXXAAAABwEAAA8AAAAAAAAAAQAgAAAAIgAAAGRycy9k&#10;b3ducmV2LnhtbFBLAQIUABQAAAAIAIdO4kBhr4x1PAIAAHEEAAAOAAAAAAAAAAEAIAAAACYBAABk&#10;cnMvZTJvRG9jLnhtbFBLBQYAAAAABgAGAFkBAADUBQAAAAA=&#10;">
              <v:fill on="f" focussize="0,0"/>
              <v:stroke on="f" weight="0.5pt"/>
              <v:imagedata o:title=""/>
              <o:lock v:ext="edit" aspectratio="f"/>
              <v:textbox inset="0mm,0mm,0mm,0mm">
                <w:txbxContent>
                  <w:p>
                    <w:pPr>
                      <w:pStyle w:val="7"/>
                      <w:jc w:val="center"/>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ZkQM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MZkQM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77204"/>
    <w:multiLevelType w:val="singleLevel"/>
    <w:tmpl w:val="39377204"/>
    <w:lvl w:ilvl="0" w:tentative="0">
      <w:start w:val="4"/>
      <w:numFmt w:val="chineseCounting"/>
      <w:suff w:val="nothing"/>
      <w:lvlText w:val="%1、"/>
      <w:lvlJc w:val="left"/>
      <w:rPr>
        <w:rFonts w:hint="eastAsia"/>
      </w:rPr>
    </w:lvl>
  </w:abstractNum>
  <w:abstractNum w:abstractNumId="1">
    <w:nsid w:val="59D3A357"/>
    <w:multiLevelType w:val="singleLevel"/>
    <w:tmpl w:val="59D3A357"/>
    <w:lvl w:ilvl="0" w:tentative="0">
      <w:start w:val="1"/>
      <w:numFmt w:val="chineseCounting"/>
      <w:suff w:val="nothing"/>
      <w:lvlText w:val="%1、"/>
      <w:lvlJc w:val="left"/>
      <w:rPr>
        <w:rFonts w:hint="eastAsia"/>
      </w:rPr>
    </w:lvl>
  </w:abstractNum>
  <w:abstractNum w:abstractNumId="2">
    <w:nsid w:val="5D9FA4E7"/>
    <w:multiLevelType w:val="singleLevel"/>
    <w:tmpl w:val="5D9FA4E7"/>
    <w:lvl w:ilvl="0" w:tentative="0">
      <w:start w:val="3"/>
      <w:numFmt w:val="chineseCounting"/>
      <w:suff w:val="nothing"/>
      <w:lvlText w:val="%1、"/>
      <w:lvlJc w:val="left"/>
      <w:rPr>
        <w:rFonts w:hint="eastAsia"/>
      </w:rPr>
    </w:lvl>
  </w:abstractNum>
  <w:abstractNum w:abstractNumId="3">
    <w:nsid w:val="6E7BD235"/>
    <w:multiLevelType w:val="singleLevel"/>
    <w:tmpl w:val="6E7BD235"/>
    <w:lvl w:ilvl="0" w:tentative="0">
      <w:start w:val="1"/>
      <w:numFmt w:val="chineseCounting"/>
      <w:suff w:val="nothing"/>
      <w:lvlText w:val="（%1）"/>
      <w:lvlJc w:val="left"/>
      <w:rPr>
        <w:rFonts w:hint="eastAsia"/>
      </w:rPr>
    </w:lvl>
  </w:abstractNum>
  <w:abstractNum w:abstractNumId="4">
    <w:nsid w:val="6ED78DA5"/>
    <w:multiLevelType w:val="singleLevel"/>
    <w:tmpl w:val="6ED78DA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GE3MTA2OGMwOWM5YmIzNjhlNTg2ZGQ0YmExZGUifQ=="/>
  </w:docVars>
  <w:rsids>
    <w:rsidRoot w:val="362D1290"/>
    <w:rsid w:val="00013024"/>
    <w:rsid w:val="00024355"/>
    <w:rsid w:val="000270A3"/>
    <w:rsid w:val="00180E6D"/>
    <w:rsid w:val="002D7183"/>
    <w:rsid w:val="003A6B66"/>
    <w:rsid w:val="003F5286"/>
    <w:rsid w:val="00457968"/>
    <w:rsid w:val="00472C6D"/>
    <w:rsid w:val="005D4D38"/>
    <w:rsid w:val="005E3312"/>
    <w:rsid w:val="005F2624"/>
    <w:rsid w:val="006C29C9"/>
    <w:rsid w:val="007B0CFE"/>
    <w:rsid w:val="008431F8"/>
    <w:rsid w:val="00AE5B4F"/>
    <w:rsid w:val="00C71B30"/>
    <w:rsid w:val="00CD767A"/>
    <w:rsid w:val="00D22661"/>
    <w:rsid w:val="00EB112E"/>
    <w:rsid w:val="00EC227D"/>
    <w:rsid w:val="00F54532"/>
    <w:rsid w:val="018F033A"/>
    <w:rsid w:val="01C278D8"/>
    <w:rsid w:val="02922A4D"/>
    <w:rsid w:val="02C5158A"/>
    <w:rsid w:val="03055BB7"/>
    <w:rsid w:val="059365E3"/>
    <w:rsid w:val="05E53182"/>
    <w:rsid w:val="07545501"/>
    <w:rsid w:val="07956256"/>
    <w:rsid w:val="07CB1A5D"/>
    <w:rsid w:val="07D52C34"/>
    <w:rsid w:val="08D37B58"/>
    <w:rsid w:val="08FC0DBE"/>
    <w:rsid w:val="0A0D613C"/>
    <w:rsid w:val="0D9128E3"/>
    <w:rsid w:val="0DC9777B"/>
    <w:rsid w:val="0DFE22CC"/>
    <w:rsid w:val="0E370932"/>
    <w:rsid w:val="0EA4142C"/>
    <w:rsid w:val="104A62CD"/>
    <w:rsid w:val="10606175"/>
    <w:rsid w:val="10AC6590"/>
    <w:rsid w:val="10BD75CA"/>
    <w:rsid w:val="10F44B0F"/>
    <w:rsid w:val="125C296C"/>
    <w:rsid w:val="1389504F"/>
    <w:rsid w:val="13DF2341"/>
    <w:rsid w:val="144009DA"/>
    <w:rsid w:val="14D37974"/>
    <w:rsid w:val="16AD2362"/>
    <w:rsid w:val="17151BA7"/>
    <w:rsid w:val="18B4033E"/>
    <w:rsid w:val="19290DD7"/>
    <w:rsid w:val="199C276C"/>
    <w:rsid w:val="19DC5727"/>
    <w:rsid w:val="1AF51F81"/>
    <w:rsid w:val="1B62302A"/>
    <w:rsid w:val="1D3A0FDB"/>
    <w:rsid w:val="1F8D239D"/>
    <w:rsid w:val="21772DED"/>
    <w:rsid w:val="222409A4"/>
    <w:rsid w:val="2309269C"/>
    <w:rsid w:val="23890C21"/>
    <w:rsid w:val="24045FBC"/>
    <w:rsid w:val="24A10DD2"/>
    <w:rsid w:val="252437BD"/>
    <w:rsid w:val="25346B05"/>
    <w:rsid w:val="275E7D9C"/>
    <w:rsid w:val="292B522B"/>
    <w:rsid w:val="298D77EB"/>
    <w:rsid w:val="29AC1FD3"/>
    <w:rsid w:val="2A147A70"/>
    <w:rsid w:val="2C451D70"/>
    <w:rsid w:val="2D0E3070"/>
    <w:rsid w:val="2D917311"/>
    <w:rsid w:val="2D9D235F"/>
    <w:rsid w:val="2DC23B73"/>
    <w:rsid w:val="2E5D1AEE"/>
    <w:rsid w:val="2FBF7622"/>
    <w:rsid w:val="2FF50B39"/>
    <w:rsid w:val="303B3A72"/>
    <w:rsid w:val="30CC0B25"/>
    <w:rsid w:val="31781509"/>
    <w:rsid w:val="32295758"/>
    <w:rsid w:val="32B26706"/>
    <w:rsid w:val="32B344C4"/>
    <w:rsid w:val="32BE3A36"/>
    <w:rsid w:val="33710457"/>
    <w:rsid w:val="338D4C23"/>
    <w:rsid w:val="33D235E5"/>
    <w:rsid w:val="33EF74C0"/>
    <w:rsid w:val="357C6CFE"/>
    <w:rsid w:val="35A8164D"/>
    <w:rsid w:val="362D1290"/>
    <w:rsid w:val="36656148"/>
    <w:rsid w:val="36F506B0"/>
    <w:rsid w:val="372E28CC"/>
    <w:rsid w:val="386F2B4A"/>
    <w:rsid w:val="39325139"/>
    <w:rsid w:val="3AC718A3"/>
    <w:rsid w:val="3B677B08"/>
    <w:rsid w:val="3C074E47"/>
    <w:rsid w:val="3C0E5A19"/>
    <w:rsid w:val="3C7D075B"/>
    <w:rsid w:val="3D2B309D"/>
    <w:rsid w:val="3D2D29F3"/>
    <w:rsid w:val="3D400C0A"/>
    <w:rsid w:val="3DDE560B"/>
    <w:rsid w:val="3E330175"/>
    <w:rsid w:val="3E934A3B"/>
    <w:rsid w:val="3F3C2F6F"/>
    <w:rsid w:val="3F841CC1"/>
    <w:rsid w:val="3FAA4D0F"/>
    <w:rsid w:val="403B43DD"/>
    <w:rsid w:val="43357C9D"/>
    <w:rsid w:val="44043E2E"/>
    <w:rsid w:val="44971C39"/>
    <w:rsid w:val="45576E3F"/>
    <w:rsid w:val="4B0D6B9A"/>
    <w:rsid w:val="4CA74EEE"/>
    <w:rsid w:val="4D3A32CE"/>
    <w:rsid w:val="4D8A166E"/>
    <w:rsid w:val="4E1B47BC"/>
    <w:rsid w:val="4E9A5207"/>
    <w:rsid w:val="4F380341"/>
    <w:rsid w:val="4F3D62F8"/>
    <w:rsid w:val="4F653101"/>
    <w:rsid w:val="50AF4067"/>
    <w:rsid w:val="51295B34"/>
    <w:rsid w:val="51527CF8"/>
    <w:rsid w:val="531C2B3B"/>
    <w:rsid w:val="539B083F"/>
    <w:rsid w:val="53DF58A9"/>
    <w:rsid w:val="5452183E"/>
    <w:rsid w:val="54596730"/>
    <w:rsid w:val="557468AB"/>
    <w:rsid w:val="55913CA7"/>
    <w:rsid w:val="566B62A7"/>
    <w:rsid w:val="56A42C52"/>
    <w:rsid w:val="586E33D5"/>
    <w:rsid w:val="58BF3060"/>
    <w:rsid w:val="58D1451F"/>
    <w:rsid w:val="59733A70"/>
    <w:rsid w:val="598F44F5"/>
    <w:rsid w:val="59C70720"/>
    <w:rsid w:val="5E7A488F"/>
    <w:rsid w:val="60E16FB3"/>
    <w:rsid w:val="612A5C2C"/>
    <w:rsid w:val="61762D3A"/>
    <w:rsid w:val="61F77588"/>
    <w:rsid w:val="626910C3"/>
    <w:rsid w:val="627F5A8E"/>
    <w:rsid w:val="62EE79D5"/>
    <w:rsid w:val="637A38E5"/>
    <w:rsid w:val="637F18BA"/>
    <w:rsid w:val="646C7CBD"/>
    <w:rsid w:val="65422410"/>
    <w:rsid w:val="66634050"/>
    <w:rsid w:val="67705236"/>
    <w:rsid w:val="69A2427D"/>
    <w:rsid w:val="69A850AA"/>
    <w:rsid w:val="69F9439C"/>
    <w:rsid w:val="6A742F09"/>
    <w:rsid w:val="6B056ECD"/>
    <w:rsid w:val="6BB27C89"/>
    <w:rsid w:val="6BFD36B5"/>
    <w:rsid w:val="6C1D6893"/>
    <w:rsid w:val="6D9337D5"/>
    <w:rsid w:val="6FF56720"/>
    <w:rsid w:val="7150126C"/>
    <w:rsid w:val="71B10D0F"/>
    <w:rsid w:val="71D52342"/>
    <w:rsid w:val="72A90FFE"/>
    <w:rsid w:val="732865DF"/>
    <w:rsid w:val="739B6209"/>
    <w:rsid w:val="74A05410"/>
    <w:rsid w:val="74E10D62"/>
    <w:rsid w:val="765F1D9A"/>
    <w:rsid w:val="777F1F06"/>
    <w:rsid w:val="77AB69F3"/>
    <w:rsid w:val="77AC36DA"/>
    <w:rsid w:val="78160310"/>
    <w:rsid w:val="783E17EB"/>
    <w:rsid w:val="784E2B31"/>
    <w:rsid w:val="79037FA4"/>
    <w:rsid w:val="79967056"/>
    <w:rsid w:val="7B3602E5"/>
    <w:rsid w:val="7C437682"/>
    <w:rsid w:val="7D401D41"/>
    <w:rsid w:val="7DC254D1"/>
    <w:rsid w:val="7FEB2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70"/>
      <w:outlineLvl w:val="0"/>
    </w:pPr>
    <w:rPr>
      <w:rFonts w:ascii="黑体" w:hAnsi="黑体" w:eastAsia="黑体" w:cs="黑体"/>
      <w:b/>
      <w:bCs/>
      <w:sz w:val="52"/>
      <w:szCs w:val="52"/>
    </w:rPr>
  </w:style>
  <w:style w:type="paragraph" w:styleId="4">
    <w:name w:val="heading 4"/>
    <w:basedOn w:val="1"/>
    <w:next w:val="1"/>
    <w:semiHidden/>
    <w:unhideWhenUsed/>
    <w:qFormat/>
    <w:uiPriority w:val="0"/>
    <w:pPr>
      <w:spacing w:beforeAutospacing="1" w:afterAutospacing="1"/>
      <w:outlineLvl w:val="3"/>
    </w:pPr>
    <w:rPr>
      <w:rFonts w:hint="eastAsia" w:cs="Times New Roman"/>
      <w:b/>
      <w:bCs/>
      <w:sz w:val="24"/>
      <w:szCs w:val="24"/>
      <w:lang w:val="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style>
  <w:style w:type="paragraph" w:styleId="5">
    <w:name w:val="Body Text"/>
    <w:basedOn w:val="1"/>
    <w:qFormat/>
    <w:uiPriority w:val="1"/>
    <w:rPr>
      <w:sz w:val="32"/>
      <w:szCs w:val="32"/>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rPr>
      <w:rFonts w:cs="Times New Roman"/>
      <w:sz w:val="24"/>
      <w:lang w:val="en-US" w:bidi="ar-SA"/>
    </w:rPr>
  </w:style>
  <w:style w:type="character" w:customStyle="1" w:styleId="12">
    <w:name w:val="批注框文本 Char"/>
    <w:basedOn w:val="11"/>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wps.nOboIW\Workbook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AppData\Local\Temp\wps.DFihlL\Workbook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AppData\Local\Temp\wps.GSOrlt\Workbook4.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[Workbook2.xlsx]Sheet1!$B$1</c:f>
              <c:strCache>
                <c:ptCount val="1"/>
                <c:pt idx="0">
                  <c:v>图1：收、支决算总计变动情况（单位:万元）</c:v>
                </c:pt>
              </c:strCache>
            </c:strRef>
          </c:tx>
          <c:spPr>
            <a:solidFill>
              <a:schemeClr val="accent1"/>
            </a:solidFill>
            <a:ln>
              <a:noFill/>
            </a:ln>
            <a:effectLst/>
          </c:spPr>
          <c:invertIfNegative val="0"/>
          <c:dLbls>
            <c:delete val="1"/>
          </c:dLbls>
          <c:cat>
            <c:strRef>
              <c:f>[Workbook2.xlsx]Sheet1!$A$2:$A$3</c:f>
              <c:strCache>
                <c:ptCount val="2"/>
                <c:pt idx="0">
                  <c:v>2022年</c:v>
                </c:pt>
                <c:pt idx="1">
                  <c:v>2023年</c:v>
                </c:pt>
              </c:strCache>
            </c:strRef>
          </c:cat>
          <c:val>
            <c:numRef>
              <c:f>[Workbook2.xlsx]Sheet1!$B$2:$B$3</c:f>
              <c:numCache>
                <c:formatCode>General</c:formatCode>
                <c:ptCount val="2"/>
                <c:pt idx="0">
                  <c:v>653.16</c:v>
                </c:pt>
                <c:pt idx="1">
                  <c:v>750.39</c:v>
                </c:pt>
              </c:numCache>
            </c:numRef>
          </c:val>
        </c:ser>
        <c:dLbls>
          <c:showLegendKey val="0"/>
          <c:showVal val="0"/>
          <c:showCatName val="0"/>
          <c:showSerName val="0"/>
          <c:showPercent val="0"/>
          <c:showBubbleSize val="0"/>
        </c:dLbls>
        <c:gapWidth val="219"/>
        <c:overlap val="-27"/>
        <c:axId val="889507415"/>
        <c:axId val="594673076"/>
      </c:barChart>
      <c:catAx>
        <c:axId val="8895074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673076"/>
        <c:crosses val="autoZero"/>
        <c:auto val="1"/>
        <c:lblAlgn val="ctr"/>
        <c:lblOffset val="100"/>
        <c:noMultiLvlLbl val="0"/>
      </c:catAx>
      <c:valAx>
        <c:axId val="5946730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5074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财政拨款收入</c:v>
                </c:pt>
                <c:pt idx="1">
                  <c:v>其他收入</c:v>
                </c:pt>
              </c:strCache>
            </c:strRef>
          </c:cat>
          <c:val>
            <c:numRef>
              <c:f>'[新建 XLSX 工作表 (2).xlsx]Sheet1'!$B$2:$B$3</c:f>
              <c:numCache>
                <c:formatCode>General</c:formatCode>
                <c:ptCount val="2"/>
                <c:pt idx="0">
                  <c:v>56.4</c:v>
                </c:pt>
                <c:pt idx="1">
                  <c:v>686.06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a:t>
            </a:r>
          </a:p>
        </c:rich>
      </c:tx>
      <c:layout/>
      <c:overlay val="0"/>
      <c:spPr>
        <a:noFill/>
        <a:ln>
          <a:noFill/>
        </a:ln>
        <a:effectLst/>
      </c:spPr>
    </c:title>
    <c:autoTitleDeleted val="0"/>
    <c:plotArea>
      <c:layout/>
      <c:pieChart>
        <c:varyColors val="1"/>
        <c:ser>
          <c:idx val="0"/>
          <c:order val="0"/>
          <c:tx>
            <c:strRef>
              <c:f>[Workbook1.xlsx]Sheet1!$B$1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[Workbook1.xlsx]Sheet1!$A$2:$A$3</c:f>
              <c:strCache>
                <c:ptCount val="2"/>
                <c:pt idx="0">
                  <c:v>项目支出</c:v>
                </c:pt>
                <c:pt idx="1">
                  <c:v>基本支出</c:v>
                </c:pt>
              </c:strCache>
            </c:strRef>
          </c:cat>
          <c:val>
            <c:numRef>
              <c:f>[Workbook1.xlsx]Sheet1!$B$2:$B$3</c:f>
              <c:numCache>
                <c:formatCode>General</c:formatCode>
                <c:ptCount val="2"/>
                <c:pt idx="0">
                  <c:v>87.64</c:v>
                </c:pt>
                <c:pt idx="1">
                  <c:v>582.77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 4：财政拨款收、支决算总计变动情况（单位：万元）</a:t>
            </a:r>
          </a:p>
        </c:rich>
      </c:tx>
      <c:layout>
        <c:manualLayout>
          <c:xMode val="edge"/>
          <c:yMode val="edge"/>
          <c:x val="0.135833333333333"/>
          <c:y val="0.0381944444444444"/>
        </c:manualLayout>
      </c:layout>
      <c:overlay val="0"/>
      <c:spPr>
        <a:noFill/>
        <a:ln>
          <a:noFill/>
        </a:ln>
        <a:effectLst/>
      </c:spPr>
    </c:title>
    <c:autoTitleDeleted val="0"/>
    <c:plotArea>
      <c:layout/>
      <c:barChart>
        <c:barDir val="col"/>
        <c:grouping val="clustered"/>
        <c:varyColors val="0"/>
        <c:ser>
          <c:idx val="0"/>
          <c:order val="0"/>
          <c:tx>
            <c:strRef>
              <c:f>[Workbook4.xlsx]Sheet1!$B$1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[Workbook4.xlsx]Sheet1!$A$2:$A$3</c:f>
              <c:strCache>
                <c:ptCount val="2"/>
                <c:pt idx="0">
                  <c:v>2022年</c:v>
                </c:pt>
                <c:pt idx="1">
                  <c:v>2023年</c:v>
                </c:pt>
              </c:strCache>
            </c:strRef>
          </c:cat>
          <c:val>
            <c:numRef>
              <c:f>[Workbook4.xlsx]Sheet1!$B$2:$B$3</c:f>
              <c:numCache>
                <c:formatCode>General</c:formatCode>
                <c:ptCount val="2"/>
                <c:pt idx="0">
                  <c:v>39.81</c:v>
                </c:pt>
                <c:pt idx="1">
                  <c:v>62.42</c:v>
                </c:pt>
              </c:numCache>
            </c:numRef>
          </c:val>
        </c:ser>
        <c:dLbls>
          <c:showLegendKey val="0"/>
          <c:showVal val="1"/>
          <c:showCatName val="0"/>
          <c:showSerName val="0"/>
          <c:showPercent val="0"/>
          <c:showBubbleSize val="0"/>
        </c:dLbls>
        <c:gapWidth val="219"/>
        <c:overlap val="-27"/>
        <c:axId val="723715807"/>
        <c:axId val="70422581"/>
      </c:barChart>
      <c:catAx>
        <c:axId val="723715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22581"/>
        <c:crosses val="autoZero"/>
        <c:auto val="1"/>
        <c:lblAlgn val="ctr"/>
        <c:lblOffset val="100"/>
        <c:noMultiLvlLbl val="0"/>
      </c:catAx>
      <c:valAx>
        <c:axId val="704225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3715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30582796301485"/>
          <c:y val="0.030919866013913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en-US"/>
                      <a:t>33.78</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33.78</c:v>
                </c:pt>
                <c:pt idx="1">
                  <c:v>57.79</c:v>
                </c:pt>
              </c:numCache>
            </c:numRef>
          </c:val>
        </c:ser>
        <c:dLbls>
          <c:showLegendKey val="0"/>
          <c:showVal val="1"/>
          <c:showCatName val="0"/>
          <c:showSerName val="0"/>
          <c:showPercent val="0"/>
          <c:showBubbleSize val="0"/>
        </c:dLbls>
        <c:gapWidth val="219"/>
        <c:overlap val="-27"/>
        <c:axId val="125203968"/>
        <c:axId val="12520550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1252039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205504"/>
        <c:crosses val="autoZero"/>
        <c:auto val="1"/>
        <c:lblAlgn val="ctr"/>
        <c:lblOffset val="100"/>
        <c:noMultiLvlLbl val="0"/>
      </c:catAx>
      <c:valAx>
        <c:axId val="125205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20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6634</Words>
  <Characters>8524</Characters>
  <Lines>72</Lines>
  <Paragraphs>20</Paragraphs>
  <TotalTime>18</TotalTime>
  <ScaleCrop>false</ScaleCrop>
  <LinksUpToDate>false</LinksUpToDate>
  <CharactersWithSpaces>8749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2023-08-29T03:41:00Z</dcterms:created>
  <dc:creator>Administrator</dc:creator>
  <cp:lastModifiedBy>Administrator</cp:lastModifiedBy>
  <cp:lastPrinted>2023-08-29T03:40:00Z</cp:lastPrinted>
  <dcterms:modified xsi:type="dcterms:W3CDTF">2024-08-27T08:00:32Z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4E5DF7ADEB054836B415A5629BBB92E4_13</vt:lpwstr>
  </property>
</Properties>
</file>