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_GBK"/>
          <w:sz w:val="36"/>
          <w:szCs w:val="36"/>
        </w:rPr>
      </w:pPr>
    </w:p>
    <w:p>
      <w:pPr>
        <w:spacing w:line="560" w:lineRule="exact"/>
        <w:ind w:firstLine="3488" w:firstLineChars="800"/>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益阳市资阳区司法局</w:t>
      </w:r>
    </w:p>
    <w:p>
      <w:pPr>
        <w:spacing w:line="560" w:lineRule="exact"/>
        <w:jc w:val="center"/>
        <w:rPr>
          <w:rFonts w:hint="eastAsia" w:ascii="方正小标宋简体" w:eastAsia="方正小标宋简体"/>
          <w:sz w:val="36"/>
          <w:szCs w:val="36"/>
        </w:rPr>
      </w:pPr>
      <w:r>
        <w:rPr>
          <w:rFonts w:hint="eastAsia" w:ascii="方正小标宋简体" w:hAnsi="宋体" w:eastAsia="方正小标宋简体" w:cs="宋体"/>
          <w:bCs/>
          <w:sz w:val="44"/>
          <w:szCs w:val="44"/>
        </w:rPr>
        <w:t>2022年度整体支出绩效自评报告</w:t>
      </w:r>
    </w:p>
    <w:p>
      <w:pPr>
        <w:spacing w:line="560" w:lineRule="exact"/>
        <w:rPr>
          <w:rFonts w:hint="eastAsia" w:eastAsia="方正小标宋_GBK"/>
          <w:sz w:val="36"/>
          <w:szCs w:val="36"/>
        </w:rPr>
      </w:pPr>
    </w:p>
    <w:p>
      <w:pPr>
        <w:spacing w:line="560" w:lineRule="exact"/>
        <w:ind w:left="316" w:leftChars="100" w:firstLine="632" w:firstLineChars="200"/>
        <w:rPr>
          <w:rFonts w:hint="eastAsia" w:ascii="黑体" w:eastAsia="黑体"/>
          <w:szCs w:val="32"/>
        </w:rPr>
      </w:pPr>
      <w:r>
        <w:rPr>
          <w:rFonts w:ascii="仿宋_GB2312" w:hAnsi="宋体" w:cs="仿宋_GB2312"/>
          <w:color w:val="333333"/>
          <w:szCs w:val="32"/>
          <w:shd w:val="clear" w:color="auto" w:fill="FFFFFF"/>
        </w:rPr>
        <w:t>为强化财政支出绩效管理，促进财政资金管理使用精细化、科学化，切实提高财政资金使用效益，强化单位责任意识，根据中共中央、国务院《关于全面实施预算绩效管理的意见》（中发[2018]34号）文件精神，按照《</w:t>
      </w:r>
      <w:r>
        <w:rPr>
          <w:rFonts w:hint="eastAsia" w:ascii="仿宋_GB2312" w:hAnsi="宋体" w:cs="仿宋_GB2312"/>
          <w:color w:val="333333"/>
          <w:szCs w:val="32"/>
          <w:shd w:val="clear" w:color="auto" w:fill="FFFFFF"/>
        </w:rPr>
        <w:t>资阳区财政</w:t>
      </w:r>
      <w:r>
        <w:rPr>
          <w:rFonts w:ascii="仿宋_GB2312" w:hAnsi="宋体" w:cs="仿宋_GB2312"/>
          <w:color w:val="333333"/>
          <w:szCs w:val="32"/>
          <w:shd w:val="clear" w:color="auto" w:fill="FFFFFF"/>
        </w:rPr>
        <w:t>预算绩效管理暂行办法》有关规定，对</w:t>
      </w:r>
      <w:r>
        <w:rPr>
          <w:rFonts w:hint="eastAsia" w:ascii="仿宋_GB2312" w:hAnsi="宋体" w:cs="仿宋_GB2312"/>
          <w:color w:val="333333"/>
          <w:szCs w:val="32"/>
          <w:shd w:val="clear" w:color="auto" w:fill="FFFFFF"/>
        </w:rPr>
        <w:t>资阳区司</w:t>
      </w:r>
      <w:r>
        <w:rPr>
          <w:rFonts w:ascii="仿宋_GB2312" w:hAnsi="宋体" w:cs="仿宋_GB2312"/>
          <w:color w:val="333333"/>
          <w:szCs w:val="32"/>
          <w:shd w:val="clear" w:color="auto" w:fill="FFFFFF"/>
        </w:rPr>
        <w:t>法局202</w:t>
      </w:r>
      <w:r>
        <w:rPr>
          <w:rFonts w:hint="eastAsia" w:ascii="仿宋_GB2312" w:hAnsi="宋体" w:cs="仿宋_GB2312"/>
          <w:color w:val="333333"/>
          <w:szCs w:val="32"/>
          <w:shd w:val="clear" w:color="auto" w:fill="FFFFFF"/>
        </w:rPr>
        <w:t>2</w:t>
      </w:r>
      <w:r>
        <w:rPr>
          <w:rFonts w:ascii="仿宋_GB2312" w:hAnsi="宋体" w:cs="仿宋_GB2312"/>
          <w:color w:val="333333"/>
          <w:szCs w:val="32"/>
          <w:shd w:val="clear" w:color="auto" w:fill="FFFFFF"/>
        </w:rPr>
        <w:t>年度部门整体支出进行了综合绩效自评。现将有关情况报告如下：</w:t>
      </w:r>
    </w:p>
    <w:p>
      <w:pPr>
        <w:spacing w:line="560" w:lineRule="exact"/>
        <w:ind w:firstLine="948" w:firstLineChars="300"/>
        <w:rPr>
          <w:rFonts w:hint="eastAsia" w:ascii="黑体" w:eastAsia="黑体"/>
          <w:szCs w:val="32"/>
        </w:rPr>
      </w:pPr>
      <w:r>
        <w:rPr>
          <w:rFonts w:hint="eastAsia" w:ascii="黑体" w:eastAsia="黑体"/>
          <w:szCs w:val="32"/>
        </w:rPr>
        <w:t>一、单位基本情况</w:t>
      </w:r>
    </w:p>
    <w:p>
      <w:pPr>
        <w:widowControl/>
        <w:shd w:val="clear" w:color="auto" w:fill="FFFFFF"/>
        <w:spacing w:line="560" w:lineRule="exact"/>
        <w:ind w:firstLine="948" w:firstLineChars="300"/>
        <w:contextualSpacing/>
        <w:rPr>
          <w:rFonts w:hint="eastAsia" w:ascii="楷体" w:hAnsi="楷体" w:eastAsia="楷体"/>
          <w:b/>
          <w:szCs w:val="32"/>
        </w:rPr>
      </w:pPr>
      <w:r>
        <w:rPr>
          <w:rFonts w:hint="eastAsia" w:ascii="楷体" w:hAnsi="楷体" w:eastAsia="楷体"/>
          <w:b/>
          <w:szCs w:val="32"/>
        </w:rPr>
        <w:t>(一）主要职责:</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1、承担全面依法治区重大问题的政策研究，协调有关方面提出全面依法治区的中长期规划建议，负责有关重大决策部署督查工作，负责依法治区和法治政府建设考核工作。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2、贯彻执行国家和省、市、区有关司法行政工作的方针、政策和法律、法规、规章，拟订全区司法行政工作中长期发展规划和年度工作计划并组织实施。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3、受区人大和区人民政府委托，参与有关决议、规范性文件的起草工作。监督检查各单位执行法律法规情况。指导管理面向社会服务的司法鉴定工作。指导司法行政系统的外事工作。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4、指导全区规范性文件管理有关工作。承担区政府规范性文件送审稿（包括法律文书）的审查工作。拟订区人民政府规范性文件年度计划并组织实施，统筹规划规范性文件拟制工作。组织开展区政府规范性文件的清理、修改、废止、汇编工作。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5、承担区人民政府法律顾问工作。负责对区政府的重大决策、重大行政管理活动和重大民商事法律事务进行合法性审查或论证说明。承担区政府各类合同起草、审查工作。负责全区行政事业单位合同的指导、管理和监督工作。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6、统筹推进全区法治政府建设。指导、监督区人民政府各部门依法行政工作。负责综合协调行政执法，承担行政体制改革有关工作，推进严格规范公正文明执法。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7、推进全区法治社会建设。拟订全区法治宣传教育和依法治理规划，组织实施普法宣传教育工作，组织对外法治宣传，指导依法治理和法治创建工作。指导调解工作和人民陪审员人民监督员选任管理工作，推进司法所建设。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8、负责行政执法监督工作。推行行政执法责任制、执法质量考核评议制和错案责任追究制等执法制度。负责重大具体行政行为的备案审查工作。负责区本级行政执法主体、行政执法人员、行政执法监督人员和行政复议人员的资格审查、培训考核和有关证件的颁发、换发和年检工作。指导和监督行政执法机关加强行政执法队伍建设。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9、指导、监督、协调全区行政复议、行政应诉和行政赔偿工作。承担申请区政府决定的行政复议案件，办理区人民政府受理的行政赔偿、行政裁决、行政确认案件，承办区政府的行政应诉事项。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10、指导、监督全区律师工作并承担相应责任。指导、监督法律援助和企事业单位法律顾问工作。指导律师协会工作。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11、指导管理社区矫正工作。会同有关部门负责刑满释放人员帮教安置工作。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12、负责管理全区司法行政系统的计划财务及服装、车辆等物资装备工作。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13、规划协调指导法治人才队伍建设相关工作。负责本系统警务管理和警务督察工作。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14、完成区委、区政府交办的其他任务。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15、职能转变。划入区政府办公室的法制工作职责。</w:t>
      </w:r>
    </w:p>
    <w:p>
      <w:pPr>
        <w:pStyle w:val="2"/>
        <w:spacing w:after="0" w:line="560" w:lineRule="exact"/>
        <w:ind w:firstLine="948" w:firstLineChars="300"/>
        <w:rPr>
          <w:rFonts w:hint="eastAsia" w:ascii="楷体" w:hAnsi="楷体" w:eastAsia="楷体" w:cs="楷体"/>
          <w:b/>
          <w:bCs/>
          <w:szCs w:val="32"/>
        </w:rPr>
      </w:pPr>
      <w:r>
        <w:rPr>
          <w:rFonts w:hint="eastAsia" w:ascii="楷体" w:hAnsi="楷体" w:eastAsia="楷体" w:cs="楷体"/>
          <w:b/>
          <w:bCs/>
          <w:szCs w:val="32"/>
        </w:rPr>
        <w:t>（二）机构设置</w:t>
      </w:r>
    </w:p>
    <w:p>
      <w:pPr>
        <w:spacing w:line="560" w:lineRule="exact"/>
        <w:ind w:left="316" w:leftChars="100" w:firstLine="948" w:firstLineChars="3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2022年本单位年末实有人数48人，内设区委全面依法治区委员会办公室秘书组、办公室、信息化建设工作股 、法制审查工作股 、行政执法协调监督股 、行政复议与应诉股 、社区矫正工作管理股 、普法与依法治理股 、人民参与促进法治工作股 、公共法律服务管理股 、律师工作管理股 、装备财务保障股 、政工室13个职能股室，下辖派出机构9个司法所、1个法律援助中心。 行政人员编制数46人，事业编制数10人，退休人员27人。</w:t>
      </w:r>
    </w:p>
    <w:p>
      <w:pPr>
        <w:pStyle w:val="14"/>
        <w:widowControl/>
        <w:numPr>
          <w:ilvl w:val="0"/>
          <w:numId w:val="1"/>
        </w:numPr>
        <w:spacing w:line="560" w:lineRule="exact"/>
        <w:ind w:firstLineChars="0"/>
        <w:rPr>
          <w:rFonts w:eastAsia="黑体"/>
          <w:szCs w:val="32"/>
        </w:rPr>
      </w:pPr>
      <w:r>
        <w:rPr>
          <w:rFonts w:eastAsia="黑体"/>
          <w:szCs w:val="32"/>
        </w:rPr>
        <w:t>一般公共预算支出情况</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2022年财政拨款收入决算总计为1008.22万元。其中：一般公共财政拨款收入984.41万元，其他收入23.81万元。决算数大于年初预算数38.57万元，主要原因是年中预算增加：2022年增人增资、基础绩效资金、绩效考核奖金，“7.12”专案工作经费、一次性抚恤金、2021年综合绩效奖、绩效考核资金等。</w:t>
      </w:r>
    </w:p>
    <w:p>
      <w:pPr>
        <w:spacing w:line="560" w:lineRule="exact"/>
        <w:ind w:left="316" w:leftChars="100" w:firstLine="632" w:firstLineChars="200"/>
      </w:pPr>
      <w:r>
        <w:rPr>
          <w:rFonts w:hint="eastAsia" w:ascii="仿宋_GB2312" w:hAnsi="宋体" w:cs="仿宋_GB2312"/>
          <w:color w:val="333333"/>
          <w:szCs w:val="32"/>
          <w:shd w:val="clear" w:color="auto" w:fill="FFFFFF"/>
        </w:rPr>
        <w:t>2022年财政拨款支出决算总计为1008.22万元。其中：一般公共财政拨款支出984.41万元，其他支出23.81万元。决算数大于年初预算数38.57万元，主要原因是年中预算增加：2022年增人增资、基础绩效资金、绩效考核奖金，“7.12”专案工作经费、一次性抚恤金、2021年综合绩效奖、绩效考核资金等。其中：基本支出827.19万元（人员经费支出779.36万元、日常公用经费支出47.83万元），项目支出181.03万元，主要用于法律援助办案、人民调解、普法宣传、社区矫正、安置帮教等方面。</w:t>
      </w:r>
    </w:p>
    <w:p>
      <w:pPr>
        <w:pStyle w:val="14"/>
        <w:widowControl/>
        <w:numPr>
          <w:ilvl w:val="0"/>
          <w:numId w:val="2"/>
        </w:numPr>
        <w:spacing w:line="560" w:lineRule="exact"/>
        <w:ind w:firstLineChars="0"/>
        <w:rPr>
          <w:rFonts w:hint="eastAsia" w:ascii="楷体_GB2312" w:eastAsia="楷体_GB2312"/>
          <w:b/>
          <w:szCs w:val="32"/>
        </w:rPr>
      </w:pPr>
      <w:r>
        <w:rPr>
          <w:rFonts w:hint="eastAsia" w:ascii="楷体_GB2312" w:eastAsia="楷体_GB2312"/>
          <w:b/>
          <w:szCs w:val="32"/>
        </w:rPr>
        <w:t>基本支出情况</w:t>
      </w:r>
    </w:p>
    <w:p>
      <w:pPr>
        <w:spacing w:line="560" w:lineRule="exact"/>
        <w:ind w:left="316" w:leftChars="100" w:firstLine="632" w:firstLineChars="200"/>
        <w:rPr>
          <w:rFonts w:ascii="仿宋_GB2312" w:hAnsi="微软雅黑" w:cs="仿宋_GB2312"/>
          <w:color w:val="333333"/>
          <w:szCs w:val="32"/>
          <w:shd w:val="clear" w:color="auto" w:fill="FFFFFF"/>
        </w:rPr>
      </w:pPr>
      <w:r>
        <w:rPr>
          <w:rFonts w:hint="eastAsia" w:ascii="仿宋_GB2312" w:hAnsi="宋体" w:cs="仿宋_GB2312"/>
          <w:color w:val="333333"/>
          <w:szCs w:val="32"/>
          <w:shd w:val="clear" w:color="auto" w:fill="FFFFFF"/>
        </w:rPr>
        <w:t>2022年基本支出827.19万元，其中人员经费779.36万元,主要用于单位的基本工资、津贴补贴、奖金、伙食补助费、绩效工资、机关事业单位基本养老保险缴费、职业年金缴费、公务员医疗补助缴费、其他社会保障缴费、住房公积金、抚恤金、生活补助等。日常公用经费支出47.83万元，主要用于办公费、水费、电费、邮电费、维修（护）费、培训费、公务接待费、劳务费、工会经费、公务用车运行维护费、其他商品和服务支出等支出。</w:t>
      </w:r>
    </w:p>
    <w:p>
      <w:pPr>
        <w:pStyle w:val="14"/>
        <w:widowControl/>
        <w:numPr>
          <w:ilvl w:val="0"/>
          <w:numId w:val="2"/>
        </w:numPr>
        <w:spacing w:line="560" w:lineRule="exact"/>
        <w:ind w:firstLineChars="0"/>
        <w:rPr>
          <w:rFonts w:ascii="楷体_GB2312" w:eastAsia="楷体_GB2312"/>
          <w:b/>
          <w:szCs w:val="32"/>
        </w:rPr>
      </w:pPr>
      <w:r>
        <w:rPr>
          <w:rFonts w:ascii="楷体_GB2312" w:eastAsia="楷体_GB2312"/>
          <w:b/>
          <w:szCs w:val="32"/>
        </w:rPr>
        <w:t>项目支出情况</w:t>
      </w:r>
    </w:p>
    <w:p>
      <w:pPr>
        <w:spacing w:line="560" w:lineRule="exact"/>
        <w:ind w:left="316" w:leftChars="100" w:firstLine="632" w:firstLineChars="200"/>
        <w:rPr>
          <w:rFonts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2022年项目支出181.03万元，主要用于法律援助办案、人民调解、普法宣传、社区矫正、安置帮教等方面。</w:t>
      </w:r>
    </w:p>
    <w:p>
      <w:pPr>
        <w:pStyle w:val="14"/>
        <w:widowControl/>
        <w:numPr>
          <w:ilvl w:val="0"/>
          <w:numId w:val="1"/>
        </w:numPr>
        <w:spacing w:line="560" w:lineRule="exact"/>
        <w:ind w:firstLineChars="0"/>
        <w:rPr>
          <w:rFonts w:eastAsia="黑体"/>
          <w:szCs w:val="32"/>
        </w:rPr>
      </w:pPr>
      <w:r>
        <w:rPr>
          <w:rFonts w:eastAsia="黑体"/>
          <w:szCs w:val="32"/>
        </w:rPr>
        <w:t>政府性基金预算支出情况</w:t>
      </w:r>
    </w:p>
    <w:p>
      <w:pPr>
        <w:spacing w:line="560" w:lineRule="exact"/>
        <w:ind w:left="316" w:leftChars="100" w:firstLine="790" w:firstLineChars="25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2022年政府基金预算支出无。</w:t>
      </w:r>
    </w:p>
    <w:p>
      <w:pPr>
        <w:spacing w:line="560" w:lineRule="exact"/>
        <w:ind w:left="1106"/>
        <w:rPr>
          <w:rFonts w:ascii="仿宋_GB2312" w:hAnsi="宋体" w:cs="仿宋_GB2312"/>
          <w:color w:val="333333"/>
          <w:szCs w:val="32"/>
          <w:shd w:val="clear" w:color="auto" w:fill="FFFFFF"/>
        </w:rPr>
      </w:pPr>
      <w:r>
        <w:rPr>
          <w:rFonts w:hint="eastAsia" w:eastAsia="黑体"/>
          <w:szCs w:val="32"/>
        </w:rPr>
        <w:t>四、</w:t>
      </w:r>
      <w:r>
        <w:rPr>
          <w:rFonts w:eastAsia="黑体"/>
          <w:szCs w:val="32"/>
        </w:rPr>
        <w:t>国有资本经营预算支出情况</w:t>
      </w:r>
    </w:p>
    <w:p>
      <w:pPr>
        <w:pStyle w:val="14"/>
        <w:widowControl/>
        <w:spacing w:line="560" w:lineRule="exact"/>
        <w:ind w:left="518" w:leftChars="164" w:firstLine="632"/>
      </w:pPr>
      <w:r>
        <w:rPr>
          <w:rFonts w:hint="eastAsia" w:ascii="仿宋" w:hAnsi="仿宋" w:eastAsia="仿宋" w:cs="仿宋"/>
          <w:color w:val="000000"/>
          <w:szCs w:val="32"/>
        </w:rPr>
        <w:t>2022年国有资本经营预算支出无。</w:t>
      </w:r>
    </w:p>
    <w:p>
      <w:pPr>
        <w:widowControl/>
        <w:spacing w:line="560" w:lineRule="exact"/>
        <w:ind w:firstLine="1106" w:firstLineChars="350"/>
        <w:rPr>
          <w:rFonts w:eastAsia="黑体"/>
          <w:szCs w:val="32"/>
        </w:rPr>
      </w:pPr>
      <w:r>
        <w:rPr>
          <w:rFonts w:hint="eastAsia" w:eastAsia="黑体"/>
          <w:szCs w:val="32"/>
        </w:rPr>
        <w:t>五、</w:t>
      </w:r>
      <w:r>
        <w:rPr>
          <w:rFonts w:eastAsia="黑体"/>
          <w:szCs w:val="32"/>
        </w:rPr>
        <w:t>社会保险基金预算支出情况</w:t>
      </w:r>
    </w:p>
    <w:p>
      <w:pPr>
        <w:pStyle w:val="2"/>
        <w:spacing w:after="0" w:line="560" w:lineRule="exact"/>
        <w:ind w:left="948" w:leftChars="300" w:firstLine="158" w:firstLineChars="50"/>
      </w:pPr>
      <w:r>
        <w:rPr>
          <w:rFonts w:hint="eastAsia" w:ascii="仿宋" w:hAnsi="仿宋" w:eastAsia="仿宋" w:cs="仿宋"/>
          <w:color w:val="000000"/>
          <w:szCs w:val="32"/>
        </w:rPr>
        <w:t>2022年社会保险基金预算支出无。</w:t>
      </w:r>
    </w:p>
    <w:p>
      <w:pPr>
        <w:widowControl/>
        <w:spacing w:line="560" w:lineRule="exact"/>
        <w:ind w:firstLine="1106" w:firstLineChars="350"/>
        <w:rPr>
          <w:rFonts w:hint="eastAsia" w:eastAsia="黑体"/>
          <w:szCs w:val="32"/>
        </w:rPr>
      </w:pPr>
      <w:r>
        <w:rPr>
          <w:rFonts w:hint="eastAsia" w:eastAsia="黑体"/>
          <w:szCs w:val="32"/>
        </w:rPr>
        <w:t>六、</w:t>
      </w:r>
      <w:r>
        <w:rPr>
          <w:rFonts w:eastAsia="黑体"/>
          <w:szCs w:val="32"/>
        </w:rPr>
        <w:t>部门整体支出绩效情况</w:t>
      </w:r>
    </w:p>
    <w:p>
      <w:pPr>
        <w:spacing w:line="560" w:lineRule="exact"/>
        <w:ind w:firstLine="948" w:firstLineChars="300"/>
        <w:rPr>
          <w:rFonts w:ascii="楷体" w:hAnsi="楷体" w:eastAsia="楷体" w:cs="仿宋"/>
          <w:b/>
          <w:szCs w:val="32"/>
        </w:rPr>
      </w:pPr>
      <w:r>
        <w:rPr>
          <w:rFonts w:hint="eastAsia" w:ascii="楷体" w:hAnsi="楷体" w:eastAsia="楷体" w:cs="仿宋"/>
          <w:b/>
          <w:szCs w:val="32"/>
        </w:rPr>
        <w:t>（一）</w:t>
      </w:r>
      <w:r>
        <w:rPr>
          <w:rFonts w:hint="eastAsia" w:ascii="楷体" w:hAnsi="楷体" w:eastAsia="楷体"/>
          <w:b/>
          <w:szCs w:val="32"/>
        </w:rPr>
        <w:t>提高站位，“法治建设”共识聚起来</w:t>
      </w:r>
    </w:p>
    <w:p>
      <w:pPr>
        <w:spacing w:line="560" w:lineRule="exact"/>
        <w:ind w:left="632" w:leftChars="200" w:firstLine="465" w:firstLineChars="147"/>
        <w:rPr>
          <w:rFonts w:ascii="仿宋" w:hAnsi="仿宋" w:eastAsia="仿宋" w:cs="仿宋"/>
          <w:szCs w:val="32"/>
        </w:rPr>
      </w:pPr>
      <w:r>
        <w:rPr>
          <w:rFonts w:hint="eastAsia" w:ascii="仿宋" w:hAnsi="仿宋" w:eastAsia="仿宋" w:cs="楷体_GB2312"/>
          <w:b/>
          <w:bCs/>
          <w:szCs w:val="32"/>
        </w:rPr>
        <w:t>一是强化部门联动，推动依法行政规范化。</w:t>
      </w:r>
      <w:r>
        <w:rPr>
          <w:rFonts w:hint="eastAsia" w:ascii="仿宋_GB2312" w:cs="仿宋_GB2312"/>
          <w:szCs w:val="32"/>
        </w:rPr>
        <w:t>以沙头镇为示范点，组织律师为乡镇（街道）执法人员进行授课，全面推进基层综合执法改革工作落地落实，</w:t>
      </w:r>
      <w:r>
        <w:rPr>
          <w:rFonts w:hint="eastAsia" w:ascii="仿宋_GB2312" w:hAnsi="仿宋_GB2312" w:cs="仿宋_GB2312"/>
          <w:szCs w:val="32"/>
        </w:rPr>
        <w:t>完善了持证上岗等16项行政执法基本制度，规范下放执法权限</w:t>
      </w:r>
      <w:r>
        <w:rPr>
          <w:rFonts w:ascii="仿宋_GB2312" w:hAnsi="仿宋_GB2312" w:cs="仿宋_GB2312"/>
          <w:szCs w:val="32"/>
        </w:rPr>
        <w:t>52</w:t>
      </w:r>
      <w:r>
        <w:rPr>
          <w:rFonts w:hint="eastAsia" w:ascii="仿宋_GB2312" w:hAnsi="仿宋_GB2312" w:cs="仿宋_GB2312"/>
          <w:szCs w:val="32"/>
        </w:rPr>
        <w:t>项，重大执法决定法制审核率达</w:t>
      </w:r>
      <w:r>
        <w:rPr>
          <w:rFonts w:ascii="仿宋_GB2312" w:hAnsi="仿宋_GB2312" w:cs="仿宋_GB2312"/>
          <w:szCs w:val="32"/>
        </w:rPr>
        <w:t>100%</w:t>
      </w:r>
      <w:r>
        <w:rPr>
          <w:rFonts w:hint="eastAsia" w:ascii="仿宋_GB2312" w:cs="仿宋_GB2312"/>
          <w:szCs w:val="32"/>
        </w:rPr>
        <w:t>；</w:t>
      </w:r>
      <w:r>
        <w:rPr>
          <w:rFonts w:hint="eastAsia" w:ascii="仿宋_GB2312" w:hAnsi="仿宋_GB2312" w:cs="仿宋_GB2312"/>
          <w:szCs w:val="32"/>
        </w:rPr>
        <w:t>制定《资阳区人民政府行政复议和应诉工作规则》并制作行政复议全流程文书样式模板，规范办案流程，2022年共受理行政复议案件50件，办案质量逐步提升。2022年，共接受有关部门</w:t>
      </w:r>
      <w:r>
        <w:rPr>
          <w:rFonts w:hint="eastAsia" w:ascii="仿宋" w:hAnsi="仿宋" w:eastAsia="仿宋" w:cs="仿宋"/>
          <w:kern w:val="0"/>
          <w:szCs w:val="32"/>
          <w:lang w:val="zh-CN"/>
        </w:rPr>
        <w:t>委托开展适用社区矫正调查评</w:t>
      </w:r>
      <w:r>
        <w:rPr>
          <w:rFonts w:hint="eastAsia" w:ascii="仿宋" w:hAnsi="仿宋" w:eastAsia="仿宋" w:cs="仿宋"/>
          <w:szCs w:val="32"/>
          <w:lang w:val="zh-CN"/>
        </w:rPr>
        <w:t>估</w:t>
      </w:r>
      <w:r>
        <w:rPr>
          <w:rFonts w:hint="eastAsia" w:ascii="仿宋" w:hAnsi="仿宋" w:eastAsia="仿宋" w:cs="仿宋"/>
          <w:szCs w:val="32"/>
        </w:rPr>
        <w:t>278例，接收164名社区矫正对象，解除社区矫正对象202人，终止社区矫正4人，迁出矫正对象8人，安置帮教对象共计1351人，2022年智慧矫正一体化平台在全省均名列前茅。</w:t>
      </w:r>
    </w:p>
    <w:p>
      <w:pPr>
        <w:spacing w:line="560" w:lineRule="exact"/>
        <w:ind w:left="632" w:leftChars="200" w:firstLine="632" w:firstLineChars="200"/>
        <w:rPr>
          <w:rFonts w:ascii="仿宋_GB2312" w:cs="仿宋_GB2312"/>
          <w:szCs w:val="32"/>
        </w:rPr>
      </w:pPr>
      <w:r>
        <w:rPr>
          <w:rFonts w:hint="eastAsia" w:ascii="仿宋" w:hAnsi="仿宋" w:eastAsia="仿宋" w:cs="楷体_GB2312"/>
          <w:b/>
          <w:bCs/>
          <w:kern w:val="0"/>
          <w:szCs w:val="32"/>
        </w:rPr>
        <w:t>二是强化组织功能，推动基础保障制度化</w:t>
      </w:r>
      <w:r>
        <w:rPr>
          <w:rFonts w:hint="eastAsia" w:ascii="仿宋" w:hAnsi="仿宋" w:eastAsia="仿宋"/>
          <w:b/>
          <w:bCs/>
          <w:kern w:val="0"/>
          <w:szCs w:val="32"/>
        </w:rPr>
        <w:t>。</w:t>
      </w:r>
      <w:r>
        <w:rPr>
          <w:rFonts w:hint="eastAsia" w:ascii="仿宋_GB2312" w:cs="仿宋_GB2312"/>
          <w:szCs w:val="32"/>
        </w:rPr>
        <w:t>推动 “一村（社区）一法律顾问”工作落实“四个一”制度（即每月进行一次值班、进行一次走访、进行一次宣讲、进行一次投稿）；区级领导带队到重点单位进行了实地督察，开具整改清单，</w:t>
      </w:r>
      <w:r>
        <w:rPr>
          <w:rFonts w:hint="eastAsia" w:ascii="仿宋_GB2312" w:cs="仿宋_GB2312"/>
          <w:bCs/>
          <w:szCs w:val="32"/>
        </w:rPr>
        <w:t>形成 “指导</w:t>
      </w:r>
      <w:r>
        <w:rPr>
          <w:rFonts w:ascii="仿宋_GB2312" w:cs="仿宋_GB2312"/>
          <w:bCs/>
          <w:szCs w:val="32"/>
        </w:rPr>
        <w:t>+</w:t>
      </w:r>
      <w:r>
        <w:rPr>
          <w:rFonts w:hint="eastAsia" w:ascii="仿宋_GB2312" w:cs="仿宋_GB2312"/>
          <w:bCs/>
          <w:szCs w:val="32"/>
        </w:rPr>
        <w:t>督察</w:t>
      </w:r>
      <w:r>
        <w:rPr>
          <w:rFonts w:ascii="仿宋_GB2312" w:cs="仿宋_GB2312"/>
          <w:bCs/>
          <w:szCs w:val="32"/>
        </w:rPr>
        <w:t>+</w:t>
      </w:r>
      <w:r>
        <w:rPr>
          <w:rFonts w:hint="eastAsia" w:ascii="仿宋_GB2312" w:cs="仿宋_GB2312"/>
          <w:bCs/>
          <w:szCs w:val="32"/>
        </w:rPr>
        <w:t>考评”的工作机制。通过法治人才队伍和机制的保障确保法治建设稳步推进。</w:t>
      </w:r>
    </w:p>
    <w:p>
      <w:pPr>
        <w:spacing w:line="560" w:lineRule="exact"/>
        <w:ind w:firstLine="1103" w:firstLineChars="349"/>
        <w:rPr>
          <w:rFonts w:ascii="楷体" w:hAnsi="楷体" w:eastAsia="楷体" w:cs="仿宋"/>
          <w:b/>
          <w:szCs w:val="32"/>
        </w:rPr>
      </w:pPr>
      <w:r>
        <w:rPr>
          <w:rFonts w:hint="eastAsia" w:ascii="楷体" w:hAnsi="楷体" w:eastAsia="楷体" w:cs="仿宋"/>
          <w:b/>
          <w:szCs w:val="32"/>
        </w:rPr>
        <w:t>（二）</w:t>
      </w:r>
      <w:r>
        <w:rPr>
          <w:rFonts w:hint="eastAsia" w:ascii="楷体" w:hAnsi="楷体" w:eastAsia="楷体"/>
          <w:b/>
          <w:szCs w:val="32"/>
        </w:rPr>
        <w:t>转变思维，“创新创优”品牌树起来</w:t>
      </w:r>
    </w:p>
    <w:p>
      <w:pPr>
        <w:spacing w:line="560" w:lineRule="exact"/>
        <w:ind w:left="632" w:leftChars="200" w:firstLine="632" w:firstLineChars="200"/>
        <w:rPr>
          <w:rFonts w:hint="eastAsia" w:ascii="仿宋_GB2312" w:eastAsia="仿宋"/>
          <w:szCs w:val="32"/>
        </w:rPr>
      </w:pPr>
      <w:r>
        <w:rPr>
          <w:rFonts w:hint="eastAsia" w:ascii="仿宋" w:hAnsi="仿宋" w:eastAsia="仿宋"/>
          <w:b/>
          <w:bCs/>
          <w:szCs w:val="32"/>
        </w:rPr>
        <w:t>一是志愿服务出彩。</w:t>
      </w:r>
      <w:r>
        <w:rPr>
          <w:rFonts w:hint="eastAsia" w:ascii="仿宋" w:hAnsi="仿宋" w:eastAsia="仿宋"/>
          <w:szCs w:val="32"/>
        </w:rPr>
        <w:t>组织全区律师、法律服务工作者队伍开展法律援助志愿服务活动。因活动丰富多彩且深受群众喜爱，2022年区司法局获评“2022年度益阳市优秀志愿服务组织”。</w:t>
      </w:r>
    </w:p>
    <w:p>
      <w:pPr>
        <w:spacing w:line="560" w:lineRule="exact"/>
        <w:ind w:left="632" w:leftChars="200" w:firstLine="632" w:firstLineChars="200"/>
        <w:rPr>
          <w:rFonts w:hint="eastAsia" w:ascii="仿宋_GB2312" w:hAnsi="仿宋_GB2312" w:cs="仿宋_GB2312"/>
          <w:szCs w:val="32"/>
        </w:rPr>
      </w:pPr>
      <w:r>
        <w:rPr>
          <w:rFonts w:hint="eastAsia" w:ascii="仿宋" w:hAnsi="仿宋" w:eastAsia="仿宋"/>
          <w:b/>
          <w:szCs w:val="32"/>
        </w:rPr>
        <w:t>二是宣传升级出效。</w:t>
      </w:r>
      <w:r>
        <w:rPr>
          <w:rFonts w:hint="eastAsia" w:ascii="仿宋_GB2312" w:hAnsi="仿宋_GB2312" w:cs="仿宋_GB2312"/>
          <w:szCs w:val="32"/>
        </w:rPr>
        <w:t>创新采取“法治+新媒体”、“法治+文艺”、“法治+主题实践”等模式开展宣传。全年组织律师、法律服务工作者、司法行政干部开展“法治体检”、宪法宣传等活动100余场，法治氛围空前浓厚；</w:t>
      </w:r>
    </w:p>
    <w:p>
      <w:pPr>
        <w:spacing w:line="560" w:lineRule="exact"/>
        <w:ind w:left="632" w:leftChars="200" w:firstLine="632" w:firstLineChars="200"/>
        <w:rPr>
          <w:rFonts w:hint="eastAsia" w:ascii="仿宋_GB2312" w:hAnsi="仿宋_GB2312" w:eastAsia="仿宋" w:cs="仿宋_GB2312"/>
          <w:szCs w:val="32"/>
        </w:rPr>
      </w:pPr>
      <w:r>
        <w:rPr>
          <w:rFonts w:hint="eastAsia" w:ascii="仿宋_GB2312" w:hAnsi="仿宋_GB2312" w:cs="仿宋_GB2312"/>
          <w:b/>
          <w:szCs w:val="32"/>
        </w:rPr>
        <w:t>三是“平安建设”出色。</w:t>
      </w:r>
      <w:r>
        <w:rPr>
          <w:rFonts w:hint="eastAsia" w:ascii="仿宋_GB2312" w:hAnsi="仿宋_GB2312" w:cs="仿宋_GB2312"/>
          <w:szCs w:val="32"/>
        </w:rPr>
        <w:t>2022年，在化解基层矛盾、助力基层治理方面取得了出色成绩。全年全区调解组织共排查出矛盾纠纷1631余件，调处成功率达98.71%，矛盾在“萌芽”状态即被化解。精心</w:t>
      </w:r>
      <w:r>
        <w:rPr>
          <w:rFonts w:hint="eastAsia" w:ascii="仿宋" w:hAnsi="仿宋" w:eastAsia="仿宋"/>
          <w:szCs w:val="32"/>
        </w:rPr>
        <w:t>指导村、社区开展“民主法治示范村（社区）”创建，迎风桥镇邹家桥村、汽车路街道人民路社区分别获“全国、全省民主法治示范社区”，大码头司法所获评“</w:t>
      </w:r>
      <w:r>
        <w:rPr>
          <w:rFonts w:ascii="仿宋" w:hAnsi="仿宋" w:eastAsia="仿宋"/>
          <w:szCs w:val="32"/>
        </w:rPr>
        <w:t>平安益阳</w:t>
      </w:r>
      <w:r>
        <w:rPr>
          <w:rFonts w:hint="eastAsia" w:ascii="仿宋" w:hAnsi="仿宋" w:eastAsia="仿宋"/>
          <w:szCs w:val="32"/>
        </w:rPr>
        <w:t>”</w:t>
      </w:r>
      <w:r>
        <w:rPr>
          <w:rFonts w:ascii="仿宋" w:hAnsi="仿宋" w:eastAsia="仿宋"/>
          <w:szCs w:val="32"/>
        </w:rPr>
        <w:t>建设先进集体</w:t>
      </w:r>
      <w:r>
        <w:rPr>
          <w:rFonts w:hint="eastAsia" w:ascii="仿宋" w:hAnsi="仿宋" w:eastAsia="仿宋"/>
          <w:szCs w:val="32"/>
        </w:rPr>
        <w:t>。</w:t>
      </w:r>
    </w:p>
    <w:p>
      <w:pPr>
        <w:spacing w:line="560" w:lineRule="exact"/>
        <w:ind w:left="632" w:leftChars="200" w:firstLine="632" w:firstLineChars="200"/>
        <w:rPr>
          <w:rFonts w:hint="eastAsia" w:ascii="仿宋_GB2312" w:hAnsi="仿宋_GB2312" w:eastAsia="仿宋" w:cs="仿宋_GB2312"/>
          <w:szCs w:val="32"/>
        </w:rPr>
      </w:pPr>
      <w:r>
        <w:rPr>
          <w:rFonts w:hint="eastAsia" w:ascii="仿宋_GB2312" w:hAnsi="仿宋_GB2312" w:cs="仿宋_GB2312"/>
          <w:b/>
          <w:szCs w:val="32"/>
        </w:rPr>
        <w:t>（三）</w:t>
      </w:r>
      <w:r>
        <w:rPr>
          <w:rFonts w:hint="eastAsia" w:ascii="楷体_GB2312" w:hAnsi="楷体_GB2312" w:eastAsia="楷体_GB2312"/>
          <w:b/>
          <w:bCs/>
          <w:kern w:val="0"/>
          <w:szCs w:val="32"/>
        </w:rPr>
        <w:t>整合优化，“队伍发展”动力强起来</w:t>
      </w:r>
    </w:p>
    <w:p>
      <w:pPr>
        <w:spacing w:line="560" w:lineRule="exact"/>
        <w:ind w:firstLine="620" w:firstLineChars="196"/>
        <w:rPr>
          <w:rFonts w:hint="eastAsia" w:ascii="仿宋_GB2312" w:hAnsi="仿宋_GB2312" w:cs="仿宋_GB2312"/>
          <w:szCs w:val="32"/>
        </w:rPr>
      </w:pPr>
      <w:r>
        <w:rPr>
          <w:rFonts w:hint="eastAsia" w:ascii="仿宋" w:hAnsi="仿宋" w:eastAsia="仿宋"/>
          <w:b/>
          <w:bCs/>
          <w:kern w:val="0"/>
          <w:szCs w:val="32"/>
        </w:rPr>
        <w:t>一是以学促行。</w:t>
      </w:r>
      <w:r>
        <w:rPr>
          <w:rFonts w:hint="eastAsia" w:ascii="仿宋_GB2312" w:hAnsi="仿宋_GB2312" w:cs="仿宋_GB2312"/>
          <w:szCs w:val="32"/>
        </w:rPr>
        <w:t>深入学习贯彻党的二十大精神，持续开展“古城法治课堂”，进一步提升干职工的业务素养。全年组织开展社区矫正、执法案卷制作、新闻写作、保密知识等讲座10余场；前往赫山区、桃江县、长沙市芙蓉区等地学习业务经验，学在深处、干到实处。2022年，我区法律援助和社区矫正工作被省司法厅发文通报表扬。</w:t>
      </w:r>
    </w:p>
    <w:p>
      <w:pPr>
        <w:spacing w:line="560" w:lineRule="exact"/>
        <w:ind w:firstLine="620" w:firstLineChars="196"/>
        <w:rPr>
          <w:rFonts w:hint="eastAsia" w:ascii="仿宋_GB2312" w:hAnsi="仿宋_GB2312" w:cs="仿宋_GB2312"/>
          <w:szCs w:val="32"/>
        </w:rPr>
      </w:pPr>
      <w:r>
        <w:rPr>
          <w:rFonts w:hint="eastAsia" w:ascii="仿宋" w:hAnsi="仿宋" w:eastAsia="仿宋" w:cs="仿宋_GB2312"/>
          <w:b/>
          <w:szCs w:val="32"/>
        </w:rPr>
        <w:t>二是以考促能。</w:t>
      </w:r>
      <w:r>
        <w:rPr>
          <w:rFonts w:hint="eastAsia" w:ascii="仿宋" w:hAnsi="仿宋" w:eastAsia="仿宋" w:cs="仿宋_GB2312"/>
          <w:szCs w:val="32"/>
        </w:rPr>
        <w:t>健全考核制度，将在编在岗人员和政府购买服务人员分门别类入考核体系，形成能者上、庸者下、劣者汰的竞争工作机制；强化对基层司法所管理，出台考核办法，从作风建设、工作效果等方面督促提升司法所工作能力和水平。</w:t>
      </w:r>
    </w:p>
    <w:p>
      <w:pPr>
        <w:spacing w:line="560" w:lineRule="exact"/>
        <w:ind w:left="316" w:leftChars="100" w:firstLine="632" w:firstLineChars="200"/>
        <w:rPr>
          <w:rFonts w:hint="eastAsia" w:ascii="仿宋_GB2312" w:hAnsi="楷体" w:eastAsia="仿宋" w:cs="仿宋"/>
          <w:b/>
          <w:szCs w:val="32"/>
        </w:rPr>
      </w:pPr>
      <w:r>
        <w:rPr>
          <w:rFonts w:hint="eastAsia" w:ascii="仿宋" w:hAnsi="仿宋" w:eastAsia="仿宋" w:cs="仿宋_GB2312"/>
          <w:b/>
          <w:szCs w:val="32"/>
        </w:rPr>
        <w:t>三是以问促效。</w:t>
      </w:r>
      <w:r>
        <w:rPr>
          <w:rFonts w:hint="eastAsia" w:ascii="仿宋_GB2312" w:hAnsi="仿宋_GB2312" w:cs="仿宋_GB2312"/>
          <w:szCs w:val="32"/>
        </w:rPr>
        <w:t>2022年，区司法局组织召开律师、法律服务工作者、涉企社区矫正对象等座谈会及相关走访活动10余次，积极主动对接管理、服务对象，以</w:t>
      </w:r>
      <w:r>
        <w:rPr>
          <w:rFonts w:hint="eastAsia" w:ascii="仿宋" w:hAnsi="仿宋" w:eastAsia="仿宋" w:cs="仿宋_GB2312"/>
          <w:szCs w:val="32"/>
        </w:rPr>
        <w:t>问题为导向广泛征求工作建议和意见，查找问题，进一步提升了工作效能。</w:t>
      </w:r>
    </w:p>
    <w:p>
      <w:pPr>
        <w:spacing w:line="560" w:lineRule="exact"/>
        <w:ind w:left="316" w:leftChars="100" w:firstLine="632" w:firstLineChars="200"/>
        <w:rPr>
          <w:rFonts w:hint="eastAsia" w:ascii="仿宋_GB2312" w:hAnsi="楷体" w:eastAsia="仿宋" w:cs="仿宋"/>
          <w:b/>
          <w:szCs w:val="32"/>
        </w:rPr>
      </w:pPr>
      <w:r>
        <w:rPr>
          <w:rFonts w:hint="eastAsia" w:ascii="仿宋" w:hAnsi="仿宋" w:eastAsia="仿宋" w:cs="仿宋_GB2312"/>
          <w:b/>
          <w:szCs w:val="32"/>
        </w:rPr>
        <w:t>七、</w:t>
      </w:r>
      <w:r>
        <w:rPr>
          <w:rFonts w:eastAsia="黑体"/>
          <w:szCs w:val="32"/>
        </w:rPr>
        <w:t>存在的问题及原因分析</w:t>
      </w:r>
    </w:p>
    <w:p>
      <w:pPr>
        <w:spacing w:line="560" w:lineRule="exact"/>
        <w:ind w:left="316" w:leftChars="100" w:firstLine="632" w:firstLineChars="200"/>
        <w:rPr>
          <w:rFonts w:hint="eastAsia" w:ascii="仿宋" w:hAnsi="仿宋" w:eastAsia="仿宋"/>
          <w:szCs w:val="32"/>
        </w:rPr>
      </w:pPr>
      <w:r>
        <w:rPr>
          <w:rFonts w:hint="eastAsia" w:ascii="仿宋" w:hAnsi="仿宋" w:eastAsia="仿宋"/>
          <w:szCs w:val="32"/>
        </w:rPr>
        <w:t>公共法律服务乏力、队伍力量仍比较薄弱、人员素质不能完全适应工作需要等。</w:t>
      </w:r>
    </w:p>
    <w:p>
      <w:pPr>
        <w:pStyle w:val="14"/>
        <w:numPr>
          <w:ilvl w:val="0"/>
          <w:numId w:val="3"/>
        </w:numPr>
        <w:spacing w:line="560" w:lineRule="exact"/>
        <w:ind w:firstLineChars="0"/>
        <w:rPr>
          <w:rFonts w:eastAsia="黑体"/>
          <w:szCs w:val="32"/>
        </w:rPr>
      </w:pPr>
      <w:r>
        <w:rPr>
          <w:rFonts w:eastAsia="黑体"/>
          <w:szCs w:val="32"/>
        </w:rPr>
        <w:t>下一步改进措施</w:t>
      </w:r>
    </w:p>
    <w:p>
      <w:pPr>
        <w:pStyle w:val="14"/>
        <w:widowControl/>
        <w:spacing w:line="560" w:lineRule="exact"/>
        <w:ind w:left="158" w:leftChars="50" w:firstLine="632"/>
        <w:rPr>
          <w:rFonts w:hint="eastAsia"/>
        </w:rPr>
      </w:pPr>
      <w:r>
        <w:rPr>
          <w:rFonts w:hint="eastAsia" w:ascii="仿宋" w:hAnsi="仿宋" w:eastAsia="仿宋" w:cs="仿宋_GB2312"/>
          <w:szCs w:val="32"/>
        </w:rPr>
        <w:t>（一）加强基</w:t>
      </w:r>
      <w:r>
        <w:rPr>
          <w:rFonts w:hint="eastAsia"/>
        </w:rPr>
        <w:t>层公共法律服务队伍建设，健全公共法律服务线上线下平台，优化公共法律服务资源配置，推动建立多元化公共法律服务供给主体。</w:t>
      </w:r>
    </w:p>
    <w:p>
      <w:pPr>
        <w:widowControl/>
        <w:spacing w:line="560" w:lineRule="exact"/>
        <w:ind w:firstLine="790" w:firstLineChars="250"/>
        <w:rPr>
          <w:rFonts w:hint="eastAsia"/>
        </w:rPr>
      </w:pPr>
      <w:r>
        <w:rPr>
          <w:rFonts w:hint="eastAsia"/>
        </w:rPr>
        <w:t>（二）加大政府投入，扩大政府购买公共法律服务的范围，完善公共法律服务阵地建设和经费投入保障机制，完善人民调解、法律援助等个案补贴标准。</w:t>
      </w:r>
    </w:p>
    <w:p>
      <w:pPr>
        <w:widowControl/>
        <w:spacing w:line="560" w:lineRule="exact"/>
        <w:ind w:firstLine="790" w:firstLineChars="250"/>
        <w:rPr>
          <w:rFonts w:hint="eastAsia"/>
        </w:rPr>
      </w:pPr>
      <w:r>
        <w:rPr>
          <w:rFonts w:hint="eastAsia"/>
        </w:rPr>
        <w:t xml:space="preserve">（三）培育法律服务社会组织，指导和支持建立以提供公益性法律服务为宗旨的新型社会组织，完善法律志愿服务制度，吸纳高校师生、志愿者、退休政法干警参与，推动建立多元化公共法律服务供给主体。   </w:t>
      </w:r>
    </w:p>
    <w:p>
      <w:pPr>
        <w:widowControl/>
        <w:spacing w:line="560" w:lineRule="exact"/>
        <w:ind w:firstLine="957" w:firstLineChars="303"/>
        <w:rPr>
          <w:rFonts w:hint="eastAsia" w:eastAsia="黑体"/>
          <w:szCs w:val="32"/>
        </w:rPr>
      </w:pPr>
      <w:r>
        <w:rPr>
          <w:rFonts w:hint="eastAsia" w:eastAsia="黑体"/>
          <w:szCs w:val="32"/>
        </w:rPr>
        <w:t>九、部门整体支出绩效自评结果拟应用和公开情况</w:t>
      </w:r>
    </w:p>
    <w:p>
      <w:pPr>
        <w:widowControl/>
        <w:spacing w:line="560" w:lineRule="exact"/>
        <w:ind w:left="316" w:leftChars="100" w:firstLine="632" w:firstLineChars="200"/>
        <w:rPr>
          <w:rFonts w:hint="eastAsia"/>
        </w:rPr>
      </w:pPr>
      <w:r>
        <w:rPr>
          <w:rFonts w:hint="eastAsia"/>
        </w:rPr>
        <w:t>本自评结果拟用于今后进一步规范业务工作开展和经费使用行为，确保专项经费专款专用。加强资金使用管理，健全资金支出项目、提高资金绩效管理，加大资金同时作为完善工作的指导依据，为整改落实指明方向。此次绩效自评报告将在资阳区公众信息网上及时进行公开公示，接受群众监督。</w:t>
      </w:r>
    </w:p>
    <w:p>
      <w:pPr>
        <w:widowControl/>
        <w:spacing w:line="560" w:lineRule="exact"/>
        <w:ind w:firstLine="948" w:firstLineChars="300"/>
        <w:rPr>
          <w:rFonts w:eastAsia="黑体"/>
          <w:szCs w:val="32"/>
        </w:rPr>
      </w:pPr>
      <w:r>
        <w:rPr>
          <w:rFonts w:hint="eastAsia" w:eastAsia="黑体"/>
          <w:szCs w:val="32"/>
        </w:rPr>
        <w:t>十、</w:t>
      </w:r>
      <w:r>
        <w:rPr>
          <w:rFonts w:eastAsia="黑体"/>
          <w:szCs w:val="32"/>
        </w:rPr>
        <w:t>其他需要说明的情况</w:t>
      </w:r>
    </w:p>
    <w:p>
      <w:pPr>
        <w:spacing w:line="560" w:lineRule="exact"/>
        <w:ind w:firstLine="948" w:firstLineChars="300"/>
        <w:rPr>
          <w:rFonts w:cs="黑体"/>
        </w:rPr>
      </w:pPr>
      <w:r>
        <w:rPr>
          <w:rFonts w:hint="eastAsia" w:ascii="仿宋" w:hAnsi="仿宋" w:eastAsia="仿宋"/>
          <w:szCs w:val="32"/>
        </w:rPr>
        <w:t>无其他需要说明的情况。</w:t>
      </w:r>
    </w:p>
    <w:p>
      <w:pPr>
        <w:widowControl/>
        <w:spacing w:line="560" w:lineRule="exact"/>
        <w:ind w:firstLine="948" w:firstLineChars="300"/>
        <w:rPr>
          <w:szCs w:val="32"/>
        </w:rPr>
      </w:pPr>
      <w:r>
        <w:rPr>
          <w:szCs w:val="32"/>
        </w:rPr>
        <w:t>附件：</w:t>
      </w:r>
    </w:p>
    <w:p>
      <w:pPr>
        <w:widowControl/>
        <w:spacing w:line="560" w:lineRule="exact"/>
        <w:ind w:firstLine="948" w:firstLineChars="300"/>
        <w:rPr>
          <w:szCs w:val="32"/>
        </w:rPr>
      </w:pPr>
      <w:r>
        <w:rPr>
          <w:szCs w:val="32"/>
        </w:rPr>
        <w:t>1、部门整体支出绩效评价基础数据表</w:t>
      </w:r>
    </w:p>
    <w:p>
      <w:pPr>
        <w:widowControl/>
        <w:spacing w:line="560" w:lineRule="exact"/>
        <w:ind w:firstLine="948" w:firstLineChars="300"/>
        <w:rPr>
          <w:szCs w:val="32"/>
        </w:rPr>
      </w:pPr>
      <w:r>
        <w:rPr>
          <w:szCs w:val="32"/>
        </w:rPr>
        <w:t>2、部门整体支出绩效自评表</w:t>
      </w:r>
    </w:p>
    <w:p>
      <w:pPr>
        <w:widowControl/>
        <w:spacing w:line="400" w:lineRule="exact"/>
        <w:jc w:val="left"/>
        <w:rPr>
          <w:rFonts w:hint="eastAsia" w:eastAsia="黑体"/>
          <w:szCs w:val="32"/>
        </w:rPr>
      </w:pPr>
      <w:r>
        <w:rPr>
          <w:rFonts w:eastAsia="黑体"/>
          <w:szCs w:val="32"/>
        </w:rPr>
        <w:t>附件</w:t>
      </w:r>
      <w:r>
        <w:rPr>
          <w:rFonts w:hint="eastAsia" w:eastAsia="黑体"/>
          <w:szCs w:val="32"/>
        </w:rPr>
        <w:t>1</w:t>
      </w:r>
    </w:p>
    <w:p>
      <w:pPr>
        <w:widowControl/>
        <w:spacing w:line="400" w:lineRule="exact"/>
        <w:ind w:firstLine="2136" w:firstLineChars="600"/>
        <w:jc w:val="left"/>
        <w:rPr>
          <w:rFonts w:eastAsia="方正小标宋_GBK"/>
          <w:kern w:val="0"/>
          <w:sz w:val="36"/>
          <w:szCs w:val="36"/>
        </w:rPr>
      </w:pPr>
      <w:r>
        <w:rPr>
          <w:rFonts w:eastAsia="方正小标宋_GBK"/>
          <w:kern w:val="0"/>
          <w:sz w:val="36"/>
          <w:szCs w:val="36"/>
        </w:rPr>
        <w:t>202</w:t>
      </w:r>
      <w:r>
        <w:rPr>
          <w:rFonts w:hint="eastAsia" w:eastAsia="方正小标宋_GBK"/>
          <w:kern w:val="0"/>
          <w:sz w:val="36"/>
          <w:szCs w:val="36"/>
        </w:rPr>
        <w:t>2</w:t>
      </w:r>
      <w:r>
        <w:rPr>
          <w:rFonts w:eastAsia="方正小标宋_GBK"/>
          <w:kern w:val="0"/>
          <w:sz w:val="36"/>
          <w:szCs w:val="36"/>
        </w:rPr>
        <w:t>年度部门整体支出绩效评价基础数据表</w:t>
      </w:r>
    </w:p>
    <w:tbl>
      <w:tblPr>
        <w:tblStyle w:val="8"/>
        <w:tblW w:w="9695" w:type="dxa"/>
        <w:jc w:val="center"/>
        <w:tblLayout w:type="fixed"/>
        <w:tblCellMar>
          <w:top w:w="0" w:type="dxa"/>
          <w:left w:w="108" w:type="dxa"/>
          <w:bottom w:w="0" w:type="dxa"/>
          <w:right w:w="108" w:type="dxa"/>
        </w:tblCellMar>
      </w:tblPr>
      <w:tblGrid>
        <w:gridCol w:w="3214"/>
        <w:gridCol w:w="1200"/>
        <w:gridCol w:w="1125"/>
        <w:gridCol w:w="1080"/>
        <w:gridCol w:w="1140"/>
        <w:gridCol w:w="960"/>
        <w:gridCol w:w="976"/>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kern w:val="0"/>
                <w:sz w:val="21"/>
                <w:szCs w:val="21"/>
              </w:rPr>
            </w:pPr>
            <w:r>
              <w:rPr>
                <w:kern w:val="0"/>
                <w:sz w:val="21"/>
                <w:szCs w:val="21"/>
              </w:rPr>
              <w:t>财政供养人员情况（人）</w:t>
            </w:r>
          </w:p>
        </w:tc>
        <w:tc>
          <w:tcPr>
            <w:tcW w:w="2325"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b/>
                <w:bCs/>
                <w:kern w:val="0"/>
                <w:sz w:val="21"/>
                <w:szCs w:val="21"/>
              </w:rPr>
            </w:pPr>
            <w:r>
              <w:rPr>
                <w:b/>
                <w:bCs/>
                <w:kern w:val="0"/>
                <w:sz w:val="21"/>
                <w:szCs w:val="21"/>
              </w:rPr>
              <w:t>编制数</w:t>
            </w:r>
          </w:p>
        </w:tc>
        <w:tc>
          <w:tcPr>
            <w:tcW w:w="2220"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b/>
                <w:bCs/>
                <w:kern w:val="0"/>
                <w:sz w:val="21"/>
                <w:szCs w:val="21"/>
              </w:rPr>
            </w:pPr>
            <w:r>
              <w:rPr>
                <w:b/>
                <w:bCs/>
                <w:kern w:val="0"/>
                <w:sz w:val="21"/>
                <w:szCs w:val="21"/>
              </w:rPr>
              <w:t>202</w:t>
            </w:r>
            <w:r>
              <w:rPr>
                <w:rFonts w:hint="eastAsia"/>
                <w:b/>
                <w:bCs/>
                <w:kern w:val="0"/>
                <w:sz w:val="21"/>
                <w:szCs w:val="21"/>
              </w:rPr>
              <w:t>2</w:t>
            </w:r>
            <w:r>
              <w:rPr>
                <w:b/>
                <w:bCs/>
                <w:kern w:val="0"/>
                <w:sz w:val="21"/>
                <w:szCs w:val="21"/>
              </w:rPr>
              <w:t>年实际在职人数</w:t>
            </w:r>
          </w:p>
        </w:tc>
        <w:tc>
          <w:tcPr>
            <w:tcW w:w="1936"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b/>
                <w:bCs/>
                <w:kern w:val="0"/>
                <w:sz w:val="21"/>
                <w:szCs w:val="21"/>
              </w:rPr>
            </w:pPr>
            <w:r>
              <w:rPr>
                <w:b/>
                <w:bCs/>
                <w:kern w:val="0"/>
                <w:sz w:val="21"/>
                <w:szCs w:val="21"/>
              </w:rPr>
              <w:t>控制率</w:t>
            </w:r>
          </w:p>
        </w:tc>
      </w:tr>
      <w:tr>
        <w:tblPrEx>
          <w:tblCellMar>
            <w:top w:w="0" w:type="dxa"/>
            <w:left w:w="108" w:type="dxa"/>
            <w:bottom w:w="0" w:type="dxa"/>
            <w:right w:w="108" w:type="dxa"/>
          </w:tblCellMar>
        </w:tblPrEx>
        <w:trPr>
          <w:trHeight w:val="239" w:hRule="atLeast"/>
          <w:jc w:val="center"/>
        </w:trPr>
        <w:tc>
          <w:tcPr>
            <w:tcW w:w="32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kern w:val="0"/>
                <w:sz w:val="21"/>
                <w:szCs w:val="21"/>
              </w:rPr>
            </w:pPr>
          </w:p>
        </w:tc>
        <w:tc>
          <w:tcPr>
            <w:tcW w:w="2325"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kern w:val="0"/>
                <w:sz w:val="21"/>
                <w:szCs w:val="21"/>
              </w:rPr>
            </w:pPr>
            <w:r>
              <w:rPr>
                <w:rFonts w:hint="eastAsia"/>
                <w:kern w:val="0"/>
                <w:sz w:val="21"/>
                <w:szCs w:val="21"/>
              </w:rPr>
              <w:t>56</w:t>
            </w:r>
          </w:p>
        </w:tc>
        <w:tc>
          <w:tcPr>
            <w:tcW w:w="2220"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kern w:val="0"/>
                <w:sz w:val="21"/>
                <w:szCs w:val="21"/>
              </w:rPr>
            </w:pPr>
            <w:r>
              <w:rPr>
                <w:rFonts w:hint="eastAsia"/>
                <w:kern w:val="0"/>
                <w:sz w:val="21"/>
                <w:szCs w:val="21"/>
              </w:rPr>
              <w:t>48</w:t>
            </w:r>
          </w:p>
        </w:tc>
        <w:tc>
          <w:tcPr>
            <w:tcW w:w="1936"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kern w:val="0"/>
                <w:sz w:val="21"/>
                <w:szCs w:val="21"/>
              </w:rPr>
            </w:pPr>
            <w:r>
              <w:rPr>
                <w:rFonts w:hint="eastAsia"/>
                <w:kern w:val="0"/>
                <w:sz w:val="21"/>
                <w:szCs w:val="21"/>
              </w:rPr>
              <w:t>100%</w:t>
            </w:r>
            <w:r>
              <w:rPr>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center"/>
              <w:rPr>
                <w:kern w:val="0"/>
                <w:sz w:val="21"/>
                <w:szCs w:val="21"/>
              </w:rPr>
            </w:pPr>
            <w:r>
              <w:rPr>
                <w:kern w:val="0"/>
                <w:sz w:val="21"/>
                <w:szCs w:val="21"/>
              </w:rPr>
              <w:t>经费控制情况（万元）</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b/>
                <w:bCs/>
                <w:kern w:val="0"/>
                <w:sz w:val="21"/>
                <w:szCs w:val="21"/>
              </w:rPr>
            </w:pPr>
            <w:r>
              <w:rPr>
                <w:b/>
                <w:bCs/>
                <w:kern w:val="0"/>
                <w:sz w:val="21"/>
                <w:szCs w:val="21"/>
              </w:rPr>
              <w:t>20</w:t>
            </w:r>
            <w:r>
              <w:rPr>
                <w:rFonts w:hint="eastAsia"/>
                <w:b/>
                <w:bCs/>
                <w:kern w:val="0"/>
                <w:sz w:val="21"/>
                <w:szCs w:val="21"/>
              </w:rPr>
              <w:t>21</w:t>
            </w:r>
            <w:r>
              <w:rPr>
                <w:b/>
                <w:bCs/>
                <w:kern w:val="0"/>
                <w:sz w:val="21"/>
                <w:szCs w:val="21"/>
              </w:rPr>
              <w:t>年决算数</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b/>
                <w:bCs/>
                <w:kern w:val="0"/>
                <w:sz w:val="21"/>
                <w:szCs w:val="21"/>
              </w:rPr>
            </w:pPr>
            <w:r>
              <w:rPr>
                <w:b/>
                <w:bCs/>
                <w:kern w:val="0"/>
                <w:sz w:val="21"/>
                <w:szCs w:val="21"/>
              </w:rPr>
              <w:t>202</w:t>
            </w:r>
            <w:r>
              <w:rPr>
                <w:rFonts w:hint="eastAsia"/>
                <w:b/>
                <w:bCs/>
                <w:kern w:val="0"/>
                <w:sz w:val="21"/>
                <w:szCs w:val="21"/>
              </w:rPr>
              <w:t>2</w:t>
            </w:r>
            <w:r>
              <w:rPr>
                <w:b/>
                <w:bCs/>
                <w:kern w:val="0"/>
                <w:sz w:val="21"/>
                <w:szCs w:val="21"/>
              </w:rPr>
              <w:t>年预算数</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b/>
                <w:bCs/>
                <w:kern w:val="0"/>
                <w:sz w:val="21"/>
                <w:szCs w:val="21"/>
              </w:rPr>
            </w:pPr>
            <w:r>
              <w:rPr>
                <w:b/>
                <w:bCs/>
                <w:kern w:val="0"/>
                <w:sz w:val="21"/>
                <w:szCs w:val="21"/>
              </w:rPr>
              <w:t>202</w:t>
            </w:r>
            <w:r>
              <w:rPr>
                <w:rFonts w:hint="eastAsia"/>
                <w:b/>
                <w:bCs/>
                <w:kern w:val="0"/>
                <w:sz w:val="21"/>
                <w:szCs w:val="21"/>
              </w:rPr>
              <w:t>2</w:t>
            </w:r>
            <w:r>
              <w:rPr>
                <w:b/>
                <w:bCs/>
                <w:kern w:val="0"/>
                <w:sz w:val="21"/>
                <w:szCs w:val="21"/>
              </w:rPr>
              <w:t>年决算数</w:t>
            </w:r>
          </w:p>
        </w:tc>
      </w:tr>
      <w:tr>
        <w:tblPrEx>
          <w:tblCellMar>
            <w:top w:w="0" w:type="dxa"/>
            <w:left w:w="108" w:type="dxa"/>
            <w:bottom w:w="0" w:type="dxa"/>
            <w:right w:w="108" w:type="dxa"/>
          </w:tblCellMar>
        </w:tblPrEx>
        <w:trPr>
          <w:trHeight w:val="263"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kern w:val="0"/>
                <w:sz w:val="21"/>
                <w:szCs w:val="21"/>
              </w:rPr>
            </w:pPr>
            <w:r>
              <w:rPr>
                <w:rFonts w:hint="eastAsia"/>
                <w:b/>
                <w:bCs/>
                <w:kern w:val="0"/>
                <w:sz w:val="21"/>
                <w:szCs w:val="21"/>
              </w:rPr>
              <w:t>支出总额</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b/>
                <w:bCs/>
                <w:kern w:val="0"/>
                <w:sz w:val="21"/>
                <w:szCs w:val="21"/>
              </w:rPr>
            </w:pPr>
            <w:r>
              <w:rPr>
                <w:rFonts w:hint="eastAsia"/>
                <w:b/>
                <w:bCs/>
                <w:kern w:val="0"/>
                <w:sz w:val="21"/>
                <w:szCs w:val="21"/>
              </w:rPr>
              <w:t>941.45</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b/>
                <w:bCs/>
                <w:kern w:val="0"/>
                <w:sz w:val="21"/>
                <w:szCs w:val="21"/>
              </w:rPr>
            </w:pPr>
            <w:r>
              <w:rPr>
                <w:rFonts w:hint="eastAsia"/>
                <w:b/>
                <w:bCs/>
                <w:kern w:val="0"/>
                <w:sz w:val="21"/>
                <w:szCs w:val="21"/>
              </w:rPr>
              <w:t>969.65</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b/>
                <w:bCs/>
                <w:kern w:val="0"/>
                <w:sz w:val="21"/>
                <w:szCs w:val="21"/>
              </w:rPr>
            </w:pPr>
            <w:r>
              <w:rPr>
                <w:rFonts w:hint="eastAsia"/>
                <w:b/>
                <w:bCs/>
                <w:kern w:val="0"/>
                <w:sz w:val="21"/>
                <w:szCs w:val="21"/>
              </w:rPr>
              <w:t>1008.22</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kern w:val="0"/>
                <w:sz w:val="21"/>
                <w:szCs w:val="21"/>
              </w:rPr>
            </w:pPr>
            <w:r>
              <w:rPr>
                <w:rFonts w:hint="eastAsia"/>
                <w:b/>
                <w:bCs/>
                <w:kern w:val="0"/>
                <w:sz w:val="21"/>
                <w:szCs w:val="21"/>
              </w:rPr>
              <w:t>基本支出</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690.86</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793.65</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827.19</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kern w:val="0"/>
                <w:sz w:val="21"/>
                <w:szCs w:val="21"/>
              </w:rPr>
            </w:pPr>
            <w:r>
              <w:rPr>
                <w:kern w:val="0"/>
                <w:sz w:val="21"/>
                <w:szCs w:val="21"/>
              </w:rPr>
              <w:t xml:space="preserve">    其中：</w:t>
            </w:r>
            <w:r>
              <w:rPr>
                <w:rFonts w:hint="eastAsia"/>
                <w:kern w:val="0"/>
                <w:sz w:val="21"/>
                <w:szCs w:val="21"/>
              </w:rPr>
              <w:t>公用</w:t>
            </w:r>
            <w:r>
              <w:rPr>
                <w:kern w:val="0"/>
                <w:sz w:val="21"/>
                <w:szCs w:val="21"/>
              </w:rPr>
              <w:t>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41.52</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82.18</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47.83</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kern w:val="0"/>
                <w:sz w:val="21"/>
                <w:szCs w:val="21"/>
              </w:rPr>
            </w:pPr>
            <w:r>
              <w:rPr>
                <w:b/>
                <w:bCs/>
                <w:kern w:val="0"/>
                <w:sz w:val="21"/>
                <w:szCs w:val="21"/>
              </w:rPr>
              <w:t>项目支出</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250.59</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176</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181.03</w:t>
            </w:r>
          </w:p>
        </w:tc>
      </w:tr>
      <w:tr>
        <w:tblPrEx>
          <w:tblCellMar>
            <w:top w:w="0" w:type="dxa"/>
            <w:left w:w="108" w:type="dxa"/>
            <w:bottom w:w="0" w:type="dxa"/>
            <w:right w:w="108" w:type="dxa"/>
          </w:tblCellMar>
        </w:tblPrEx>
        <w:trPr>
          <w:trHeight w:val="508"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b/>
                <w:bCs/>
                <w:kern w:val="0"/>
                <w:sz w:val="21"/>
                <w:szCs w:val="21"/>
              </w:rPr>
            </w:pPr>
            <w:r>
              <w:rPr>
                <w:kern w:val="0"/>
                <w:sz w:val="21"/>
                <w:szCs w:val="21"/>
              </w:rPr>
              <w:t xml:space="preserve"> </w:t>
            </w:r>
            <w:r>
              <w:rPr>
                <w:rFonts w:hint="eastAsia"/>
                <w:kern w:val="0"/>
                <w:sz w:val="21"/>
                <w:szCs w:val="21"/>
              </w:rPr>
              <w:t xml:space="preserve">   其中：1、运行维护经费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10</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44.16</w:t>
            </w:r>
          </w:p>
        </w:tc>
      </w:tr>
      <w:tr>
        <w:tblPrEx>
          <w:tblCellMar>
            <w:top w:w="0" w:type="dxa"/>
            <w:left w:w="108" w:type="dxa"/>
            <w:bottom w:w="0" w:type="dxa"/>
            <w:right w:w="108" w:type="dxa"/>
          </w:tblCellMar>
        </w:tblPrEx>
        <w:trPr>
          <w:trHeight w:val="330"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220" w:lineRule="exact"/>
              <w:ind w:firstLine="1030" w:firstLineChars="500"/>
              <w:rPr>
                <w:kern w:val="0"/>
                <w:sz w:val="21"/>
                <w:szCs w:val="21"/>
              </w:rPr>
            </w:pPr>
            <w:r>
              <w:rPr>
                <w:rFonts w:hint="eastAsia"/>
                <w:kern w:val="0"/>
                <w:sz w:val="21"/>
                <w:szCs w:val="21"/>
              </w:rPr>
              <w:t>2、普法宣传支出</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220" w:lineRule="exact"/>
              <w:jc w:val="center"/>
              <w:rPr>
                <w:kern w:val="0"/>
                <w:sz w:val="21"/>
                <w:szCs w:val="21"/>
              </w:rPr>
            </w:pPr>
            <w:r>
              <w:rPr>
                <w:rFonts w:hint="eastAsia"/>
                <w:kern w:val="0"/>
                <w:sz w:val="21"/>
                <w:szCs w:val="21"/>
              </w:rPr>
              <w:t>14</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220" w:lineRule="exact"/>
              <w:jc w:val="center"/>
              <w:rPr>
                <w:kern w:val="0"/>
                <w:sz w:val="21"/>
                <w:szCs w:val="21"/>
              </w:rPr>
            </w:pPr>
            <w:r>
              <w:rPr>
                <w:rFonts w:hint="eastAsia"/>
                <w:kern w:val="0"/>
                <w:sz w:val="21"/>
                <w:szCs w:val="21"/>
              </w:rPr>
              <w:t>12</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220" w:lineRule="exact"/>
              <w:jc w:val="center"/>
              <w:rPr>
                <w:kern w:val="0"/>
                <w:sz w:val="21"/>
                <w:szCs w:val="21"/>
              </w:rPr>
            </w:pPr>
            <w:r>
              <w:rPr>
                <w:rFonts w:hint="eastAsia"/>
                <w:kern w:val="0"/>
                <w:sz w:val="21"/>
                <w:szCs w:val="21"/>
              </w:rPr>
              <w:t>12</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ind w:left="1233" w:leftChars="325" w:hanging="206" w:hangingChars="100"/>
              <w:jc w:val="left"/>
              <w:rPr>
                <w:rFonts w:hint="eastAsia"/>
                <w:kern w:val="0"/>
                <w:sz w:val="21"/>
                <w:szCs w:val="21"/>
              </w:rPr>
            </w:pPr>
            <w:r>
              <w:rPr>
                <w:rFonts w:hint="eastAsia"/>
                <w:kern w:val="0"/>
                <w:sz w:val="21"/>
                <w:szCs w:val="21"/>
              </w:rPr>
              <w:t>3、公共法律服务支出</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11</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11</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9.6</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ind w:firstLine="1056" w:firstLineChars="600"/>
              <w:jc w:val="left"/>
              <w:rPr>
                <w:rFonts w:hint="eastAsia"/>
                <w:kern w:val="0"/>
                <w:sz w:val="21"/>
                <w:szCs w:val="21"/>
              </w:rPr>
            </w:pPr>
            <w:r>
              <w:rPr>
                <w:rFonts w:hint="eastAsia"/>
                <w:kern w:val="0"/>
                <w:sz w:val="18"/>
                <w:szCs w:val="18"/>
              </w:rPr>
              <w:t>4、社区矫正支出</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69.33</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38</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5.84</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ind w:firstLine="1030" w:firstLineChars="500"/>
              <w:jc w:val="left"/>
              <w:rPr>
                <w:rFonts w:hint="eastAsia"/>
                <w:kern w:val="0"/>
                <w:sz w:val="21"/>
                <w:szCs w:val="21"/>
              </w:rPr>
            </w:pPr>
            <w:r>
              <w:rPr>
                <w:rFonts w:hint="eastAsia"/>
                <w:kern w:val="0"/>
                <w:sz w:val="21"/>
                <w:szCs w:val="21"/>
              </w:rPr>
              <w:t>5、法制建设支出</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9.67</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10</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11.85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kern w:val="0"/>
                <w:sz w:val="21"/>
                <w:szCs w:val="21"/>
              </w:rPr>
            </w:pPr>
            <w:r>
              <w:rPr>
                <w:kern w:val="0"/>
                <w:sz w:val="21"/>
                <w:szCs w:val="21"/>
              </w:rPr>
              <w:t xml:space="preserve">    </w:t>
            </w:r>
            <w:r>
              <w:rPr>
                <w:rFonts w:hint="eastAsia"/>
                <w:kern w:val="0"/>
                <w:sz w:val="21"/>
                <w:szCs w:val="21"/>
              </w:rPr>
              <w:t xml:space="preserve">      6、其他司法支出事务</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142.62</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95</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47.58</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ind w:firstLine="1030" w:firstLineChars="500"/>
              <w:rPr>
                <w:rFonts w:hint="eastAsia"/>
                <w:kern w:val="0"/>
                <w:sz w:val="21"/>
                <w:szCs w:val="21"/>
              </w:rPr>
            </w:pPr>
            <w:r>
              <w:rPr>
                <w:rFonts w:hint="eastAsia"/>
                <w:kern w:val="0"/>
                <w:sz w:val="21"/>
                <w:szCs w:val="21"/>
              </w:rPr>
              <w:t>7、其他司法支出</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3.97</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ind w:firstLine="1030" w:firstLineChars="500"/>
              <w:rPr>
                <w:kern w:val="0"/>
                <w:sz w:val="21"/>
                <w:szCs w:val="21"/>
              </w:rPr>
            </w:pPr>
            <w:r>
              <w:rPr>
                <w:rFonts w:hint="eastAsia"/>
                <w:kern w:val="0"/>
                <w:sz w:val="21"/>
                <w:szCs w:val="21"/>
              </w:rPr>
              <w:t>8、应急管理支出</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left"/>
              <w:rPr>
                <w:kern w:val="0"/>
                <w:sz w:val="21"/>
                <w:szCs w:val="21"/>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35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ind w:firstLine="1030" w:firstLineChars="500"/>
              <w:rPr>
                <w:kern w:val="0"/>
                <w:sz w:val="21"/>
                <w:szCs w:val="21"/>
              </w:rPr>
            </w:pPr>
            <w:r>
              <w:rPr>
                <w:rFonts w:hint="eastAsia"/>
                <w:kern w:val="0"/>
                <w:sz w:val="21"/>
                <w:szCs w:val="21"/>
              </w:rPr>
              <w:t>9、消防救援事务支出</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left"/>
              <w:rPr>
                <w:kern w:val="0"/>
                <w:sz w:val="21"/>
                <w:szCs w:val="21"/>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kern w:val="0"/>
                <w:sz w:val="21"/>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15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kern w:val="0"/>
                <w:sz w:val="21"/>
                <w:szCs w:val="21"/>
              </w:rPr>
            </w:pPr>
            <w:r>
              <w:rPr>
                <w:b/>
                <w:bCs/>
                <w:kern w:val="0"/>
                <w:sz w:val="21"/>
                <w:szCs w:val="21"/>
              </w:rPr>
              <w:t>三公经费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kern w:val="0"/>
                <w:sz w:val="21"/>
                <w:szCs w:val="21"/>
              </w:rPr>
              <w:t>　</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kern w:val="0"/>
                <w:sz w:val="21"/>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kern w:val="0"/>
                <w:sz w:val="21"/>
                <w:szCs w:val="21"/>
              </w:rPr>
            </w:pPr>
            <w:r>
              <w:rPr>
                <w:kern w:val="0"/>
                <w:sz w:val="21"/>
                <w:szCs w:val="21"/>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2.8</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1.43</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kern w:val="0"/>
                <w:sz w:val="21"/>
                <w:szCs w:val="21"/>
              </w:rPr>
            </w:pPr>
            <w:r>
              <w:rPr>
                <w:kern w:val="0"/>
                <w:sz w:val="21"/>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kern w:val="0"/>
                <w:sz w:val="21"/>
                <w:szCs w:val="21"/>
              </w:rPr>
              <w:t>　</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kern w:val="0"/>
                <w:sz w:val="21"/>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kern w:val="0"/>
                <w:sz w:val="21"/>
                <w:szCs w:val="21"/>
              </w:rPr>
            </w:pPr>
            <w:r>
              <w:rPr>
                <w:kern w:val="0"/>
                <w:sz w:val="21"/>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2.8</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1.43</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kern w:val="0"/>
                <w:sz w:val="21"/>
                <w:szCs w:val="21"/>
              </w:rPr>
            </w:pPr>
            <w:r>
              <w:rPr>
                <w:kern w:val="0"/>
                <w:sz w:val="21"/>
                <w:szCs w:val="21"/>
              </w:rPr>
              <w:t xml:space="preserve">   2、出国经费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kern w:val="0"/>
                <w:sz w:val="21"/>
                <w:szCs w:val="21"/>
              </w:rPr>
              <w:t>　</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kern w:val="0"/>
                <w:sz w:val="21"/>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kern w:val="0"/>
                <w:sz w:val="21"/>
                <w:szCs w:val="21"/>
              </w:rPr>
            </w:pPr>
            <w:r>
              <w:rPr>
                <w:kern w:val="0"/>
                <w:sz w:val="21"/>
                <w:szCs w:val="21"/>
              </w:rPr>
              <w:t xml:space="preserve">   3、公务接待</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color w:val="FF0000"/>
                <w:kern w:val="0"/>
                <w:sz w:val="21"/>
                <w:szCs w:val="21"/>
              </w:rPr>
            </w:pPr>
            <w:r>
              <w:rPr>
                <w:color w:val="FF0000"/>
                <w:kern w:val="0"/>
                <w:sz w:val="21"/>
                <w:szCs w:val="21"/>
              </w:rPr>
              <w:t>　</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color w:val="FF0000"/>
                <w:kern w:val="0"/>
                <w:sz w:val="21"/>
                <w:szCs w:val="21"/>
              </w:rPr>
            </w:pPr>
            <w:r>
              <w:rPr>
                <w:rFonts w:hint="eastAsia"/>
                <w:kern w:val="0"/>
                <w:sz w:val="21"/>
                <w:szCs w:val="21"/>
              </w:rPr>
              <w:t>5.5</w:t>
            </w:r>
            <w:r>
              <w:rPr>
                <w:color w:val="FF0000"/>
                <w:kern w:val="0"/>
                <w:sz w:val="21"/>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color w:val="FF0000"/>
                <w:kern w:val="0"/>
                <w:sz w:val="21"/>
                <w:szCs w:val="21"/>
              </w:rPr>
            </w:pPr>
            <w:r>
              <w:rPr>
                <w:color w:val="FF0000"/>
                <w:kern w:val="0"/>
                <w:sz w:val="21"/>
                <w:szCs w:val="21"/>
              </w:rPr>
              <w:t>　</w:t>
            </w:r>
            <w:r>
              <w:rPr>
                <w:rFonts w:hint="eastAsia"/>
                <w:kern w:val="0"/>
                <w:sz w:val="21"/>
                <w:szCs w:val="21"/>
              </w:rPr>
              <w:t>1.55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kern w:val="0"/>
                <w:sz w:val="21"/>
                <w:szCs w:val="21"/>
              </w:rPr>
            </w:pPr>
            <w:r>
              <w:rPr>
                <w:b/>
                <w:bCs/>
                <w:kern w:val="0"/>
                <w:sz w:val="21"/>
                <w:szCs w:val="21"/>
              </w:rPr>
              <w:t>政府采购金额</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kern w:val="0"/>
                <w:sz w:val="21"/>
                <w:szCs w:val="21"/>
              </w:rPr>
              <w:t>——</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162.20</w:t>
            </w:r>
            <w:r>
              <w:rPr>
                <w:kern w:val="0"/>
                <w:sz w:val="21"/>
                <w:szCs w:val="21"/>
              </w:rPr>
              <w:t>　</w:t>
            </w:r>
          </w:p>
        </w:tc>
      </w:tr>
      <w:tr>
        <w:tblPrEx>
          <w:tblCellMar>
            <w:top w:w="0" w:type="dxa"/>
            <w:left w:w="108" w:type="dxa"/>
            <w:bottom w:w="0" w:type="dxa"/>
            <w:right w:w="108" w:type="dxa"/>
          </w:tblCellMar>
        </w:tblPrEx>
        <w:trPr>
          <w:trHeight w:val="491" w:hRule="atLeast"/>
          <w:jc w:val="center"/>
        </w:trPr>
        <w:tc>
          <w:tcPr>
            <w:tcW w:w="3214" w:type="dxa"/>
            <w:vMerge w:val="restart"/>
            <w:tcBorders>
              <w:top w:val="nil"/>
              <w:left w:val="single" w:color="auto" w:sz="4" w:space="0"/>
              <w:bottom w:val="single" w:color="auto" w:sz="4" w:space="0"/>
              <w:right w:val="single" w:color="auto" w:sz="4" w:space="0"/>
            </w:tcBorders>
            <w:vAlign w:val="center"/>
          </w:tcPr>
          <w:p>
            <w:pPr>
              <w:widowControl/>
              <w:spacing w:line="440" w:lineRule="exact"/>
              <w:jc w:val="center"/>
              <w:rPr>
                <w:kern w:val="0"/>
                <w:sz w:val="21"/>
                <w:szCs w:val="21"/>
              </w:rPr>
            </w:pPr>
            <w:r>
              <w:rPr>
                <w:kern w:val="0"/>
                <w:sz w:val="21"/>
                <w:szCs w:val="21"/>
              </w:rPr>
              <w:t>楼堂馆所控制情况</w:t>
            </w:r>
            <w:r>
              <w:rPr>
                <w:kern w:val="0"/>
                <w:sz w:val="21"/>
                <w:szCs w:val="21"/>
              </w:rPr>
              <w:br w:type="textWrapping"/>
            </w:r>
            <w:r>
              <w:rPr>
                <w:kern w:val="0"/>
                <w:sz w:val="21"/>
                <w:szCs w:val="21"/>
              </w:rPr>
              <w:t>（202</w:t>
            </w:r>
            <w:r>
              <w:rPr>
                <w:rFonts w:hint="eastAsia"/>
                <w:kern w:val="0"/>
                <w:sz w:val="21"/>
                <w:szCs w:val="21"/>
              </w:rPr>
              <w:t>1</w:t>
            </w:r>
            <w:r>
              <w:rPr>
                <w:kern w:val="0"/>
                <w:sz w:val="21"/>
                <w:szCs w:val="21"/>
              </w:rPr>
              <w:t>年完工项目）</w:t>
            </w:r>
          </w:p>
        </w:tc>
        <w:tc>
          <w:tcPr>
            <w:tcW w:w="1200" w:type="dxa"/>
            <w:tcBorders>
              <w:top w:val="nil"/>
              <w:left w:val="nil"/>
              <w:bottom w:val="single" w:color="auto" w:sz="4" w:space="0"/>
              <w:right w:val="single" w:color="auto" w:sz="4" w:space="0"/>
            </w:tcBorders>
            <w:vAlign w:val="center"/>
          </w:tcPr>
          <w:p>
            <w:pPr>
              <w:widowControl/>
              <w:spacing w:line="300" w:lineRule="exact"/>
              <w:jc w:val="center"/>
              <w:rPr>
                <w:kern w:val="0"/>
                <w:sz w:val="18"/>
                <w:szCs w:val="18"/>
              </w:rPr>
            </w:pPr>
            <w:r>
              <w:rPr>
                <w:kern w:val="0"/>
                <w:sz w:val="18"/>
                <w:szCs w:val="18"/>
              </w:rPr>
              <w:t>批复规模</w:t>
            </w:r>
            <w:r>
              <w:rPr>
                <w:kern w:val="0"/>
                <w:sz w:val="18"/>
                <w:szCs w:val="18"/>
              </w:rPr>
              <w:br w:type="textWrapping"/>
            </w:r>
            <w:r>
              <w:rPr>
                <w:kern w:val="0"/>
                <w:sz w:val="18"/>
                <w:szCs w:val="18"/>
              </w:rPr>
              <w:t>（㎡）</w:t>
            </w:r>
          </w:p>
        </w:tc>
        <w:tc>
          <w:tcPr>
            <w:tcW w:w="1125" w:type="dxa"/>
            <w:tcBorders>
              <w:top w:val="nil"/>
              <w:left w:val="nil"/>
              <w:bottom w:val="single" w:color="auto" w:sz="4" w:space="0"/>
              <w:right w:val="single" w:color="auto" w:sz="4" w:space="0"/>
            </w:tcBorders>
            <w:vAlign w:val="center"/>
          </w:tcPr>
          <w:p>
            <w:pPr>
              <w:widowControl/>
              <w:spacing w:line="300" w:lineRule="exact"/>
              <w:jc w:val="center"/>
              <w:rPr>
                <w:kern w:val="0"/>
                <w:sz w:val="18"/>
                <w:szCs w:val="18"/>
              </w:rPr>
            </w:pPr>
            <w:r>
              <w:rPr>
                <w:kern w:val="0"/>
                <w:sz w:val="18"/>
                <w:szCs w:val="18"/>
              </w:rPr>
              <w:t>实际规模（㎡）</w:t>
            </w:r>
          </w:p>
        </w:tc>
        <w:tc>
          <w:tcPr>
            <w:tcW w:w="1080" w:type="dxa"/>
            <w:tcBorders>
              <w:top w:val="nil"/>
              <w:left w:val="nil"/>
              <w:bottom w:val="single" w:color="auto" w:sz="4" w:space="0"/>
              <w:right w:val="single" w:color="auto" w:sz="4" w:space="0"/>
            </w:tcBorders>
            <w:vAlign w:val="center"/>
          </w:tcPr>
          <w:p>
            <w:pPr>
              <w:widowControl/>
              <w:spacing w:line="300" w:lineRule="exact"/>
              <w:jc w:val="center"/>
              <w:rPr>
                <w:kern w:val="0"/>
                <w:sz w:val="18"/>
                <w:szCs w:val="18"/>
              </w:rPr>
            </w:pPr>
            <w:r>
              <w:rPr>
                <w:kern w:val="0"/>
                <w:sz w:val="18"/>
                <w:szCs w:val="18"/>
              </w:rPr>
              <w:t>规模控制率</w:t>
            </w:r>
          </w:p>
        </w:tc>
        <w:tc>
          <w:tcPr>
            <w:tcW w:w="1140" w:type="dxa"/>
            <w:tcBorders>
              <w:top w:val="nil"/>
              <w:left w:val="nil"/>
              <w:bottom w:val="single" w:color="auto" w:sz="4" w:space="0"/>
              <w:right w:val="single" w:color="auto" w:sz="4" w:space="0"/>
            </w:tcBorders>
            <w:vAlign w:val="center"/>
          </w:tcPr>
          <w:p>
            <w:pPr>
              <w:widowControl/>
              <w:spacing w:line="300" w:lineRule="exact"/>
              <w:jc w:val="center"/>
              <w:rPr>
                <w:kern w:val="0"/>
                <w:sz w:val="18"/>
                <w:szCs w:val="18"/>
              </w:rPr>
            </w:pPr>
            <w:r>
              <w:rPr>
                <w:kern w:val="0"/>
                <w:sz w:val="18"/>
                <w:szCs w:val="18"/>
              </w:rPr>
              <w:t>预算投资（万元）</w:t>
            </w:r>
          </w:p>
        </w:tc>
        <w:tc>
          <w:tcPr>
            <w:tcW w:w="960" w:type="dxa"/>
            <w:tcBorders>
              <w:top w:val="nil"/>
              <w:left w:val="nil"/>
              <w:bottom w:val="single" w:color="auto" w:sz="4" w:space="0"/>
              <w:right w:val="single" w:color="auto" w:sz="4" w:space="0"/>
            </w:tcBorders>
            <w:vAlign w:val="center"/>
          </w:tcPr>
          <w:p>
            <w:pPr>
              <w:widowControl/>
              <w:spacing w:line="300" w:lineRule="exact"/>
              <w:jc w:val="center"/>
              <w:rPr>
                <w:kern w:val="0"/>
                <w:sz w:val="18"/>
                <w:szCs w:val="18"/>
              </w:rPr>
            </w:pPr>
            <w:r>
              <w:rPr>
                <w:kern w:val="0"/>
                <w:sz w:val="18"/>
                <w:szCs w:val="18"/>
              </w:rPr>
              <w:t>实际投资（万元）</w:t>
            </w:r>
          </w:p>
        </w:tc>
        <w:tc>
          <w:tcPr>
            <w:tcW w:w="976" w:type="dxa"/>
            <w:tcBorders>
              <w:top w:val="nil"/>
              <w:left w:val="nil"/>
              <w:bottom w:val="single" w:color="auto" w:sz="4" w:space="0"/>
              <w:right w:val="single" w:color="auto" w:sz="4" w:space="0"/>
            </w:tcBorders>
            <w:vAlign w:val="center"/>
          </w:tcPr>
          <w:p>
            <w:pPr>
              <w:widowControl/>
              <w:spacing w:line="300" w:lineRule="exact"/>
              <w:jc w:val="center"/>
              <w:rPr>
                <w:kern w:val="0"/>
                <w:sz w:val="18"/>
                <w:szCs w:val="18"/>
              </w:rPr>
            </w:pPr>
            <w:r>
              <w:rPr>
                <w:kern w:val="0"/>
                <w:sz w:val="18"/>
                <w:szCs w:val="18"/>
              </w:rPr>
              <w:t>投资概算控制率</w:t>
            </w:r>
          </w:p>
        </w:tc>
      </w:tr>
      <w:tr>
        <w:tblPrEx>
          <w:tblCellMar>
            <w:top w:w="0" w:type="dxa"/>
            <w:left w:w="108" w:type="dxa"/>
            <w:bottom w:w="0" w:type="dxa"/>
            <w:right w:w="108" w:type="dxa"/>
          </w:tblCellMar>
        </w:tblPrEx>
        <w:trPr>
          <w:trHeight w:val="195" w:hRule="atLeast"/>
          <w:jc w:val="center"/>
        </w:trPr>
        <w:tc>
          <w:tcPr>
            <w:tcW w:w="3214"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kern w:val="0"/>
                <w:sz w:val="21"/>
                <w:szCs w:val="21"/>
              </w:rPr>
            </w:pPr>
          </w:p>
        </w:tc>
        <w:tc>
          <w:tcPr>
            <w:tcW w:w="1200" w:type="dxa"/>
            <w:tcBorders>
              <w:top w:val="nil"/>
              <w:left w:val="nil"/>
              <w:bottom w:val="single" w:color="auto" w:sz="4" w:space="0"/>
              <w:right w:val="single" w:color="auto" w:sz="4" w:space="0"/>
            </w:tcBorders>
            <w:vAlign w:val="center"/>
          </w:tcPr>
          <w:p>
            <w:pPr>
              <w:widowControl/>
              <w:spacing w:line="440" w:lineRule="exact"/>
              <w:jc w:val="center"/>
              <w:rPr>
                <w:kern w:val="0"/>
                <w:sz w:val="21"/>
                <w:szCs w:val="21"/>
              </w:rPr>
            </w:pPr>
            <w:r>
              <w:rPr>
                <w:kern w:val="0"/>
                <w:sz w:val="21"/>
                <w:szCs w:val="21"/>
              </w:rPr>
              <w:t>　</w:t>
            </w:r>
          </w:p>
        </w:tc>
        <w:tc>
          <w:tcPr>
            <w:tcW w:w="1125" w:type="dxa"/>
            <w:tcBorders>
              <w:top w:val="nil"/>
              <w:left w:val="nil"/>
              <w:bottom w:val="single" w:color="auto" w:sz="4" w:space="0"/>
              <w:right w:val="single" w:color="auto" w:sz="4" w:space="0"/>
            </w:tcBorders>
            <w:vAlign w:val="center"/>
          </w:tcPr>
          <w:p>
            <w:pPr>
              <w:widowControl/>
              <w:spacing w:line="440" w:lineRule="exact"/>
              <w:jc w:val="left"/>
              <w:rPr>
                <w:kern w:val="0"/>
                <w:sz w:val="21"/>
                <w:szCs w:val="21"/>
              </w:rPr>
            </w:pPr>
            <w:r>
              <w:rPr>
                <w:kern w:val="0"/>
                <w:sz w:val="21"/>
                <w:szCs w:val="21"/>
              </w:rPr>
              <w:t>　</w:t>
            </w:r>
          </w:p>
        </w:tc>
        <w:tc>
          <w:tcPr>
            <w:tcW w:w="1080" w:type="dxa"/>
            <w:tcBorders>
              <w:top w:val="nil"/>
              <w:left w:val="nil"/>
              <w:bottom w:val="single" w:color="auto" w:sz="4" w:space="0"/>
              <w:right w:val="single" w:color="auto" w:sz="4" w:space="0"/>
            </w:tcBorders>
            <w:vAlign w:val="center"/>
          </w:tcPr>
          <w:p>
            <w:pPr>
              <w:widowControl/>
              <w:spacing w:line="440" w:lineRule="exact"/>
              <w:jc w:val="left"/>
              <w:rPr>
                <w:kern w:val="0"/>
                <w:sz w:val="21"/>
                <w:szCs w:val="21"/>
              </w:rPr>
            </w:pPr>
            <w:r>
              <w:rPr>
                <w:kern w:val="0"/>
                <w:sz w:val="21"/>
                <w:szCs w:val="21"/>
              </w:rPr>
              <w:t>　</w:t>
            </w:r>
          </w:p>
        </w:tc>
        <w:tc>
          <w:tcPr>
            <w:tcW w:w="1140" w:type="dxa"/>
            <w:tcBorders>
              <w:top w:val="nil"/>
              <w:left w:val="nil"/>
              <w:bottom w:val="single" w:color="auto" w:sz="4" w:space="0"/>
              <w:right w:val="single" w:color="auto" w:sz="4" w:space="0"/>
            </w:tcBorders>
            <w:vAlign w:val="center"/>
          </w:tcPr>
          <w:p>
            <w:pPr>
              <w:widowControl/>
              <w:spacing w:line="440" w:lineRule="exact"/>
              <w:jc w:val="left"/>
              <w:rPr>
                <w:kern w:val="0"/>
                <w:sz w:val="21"/>
                <w:szCs w:val="21"/>
              </w:rPr>
            </w:pPr>
            <w:r>
              <w:rPr>
                <w:kern w:val="0"/>
                <w:sz w:val="21"/>
                <w:szCs w:val="21"/>
              </w:rPr>
              <w:t>　</w:t>
            </w:r>
          </w:p>
        </w:tc>
        <w:tc>
          <w:tcPr>
            <w:tcW w:w="960" w:type="dxa"/>
            <w:tcBorders>
              <w:top w:val="nil"/>
              <w:left w:val="nil"/>
              <w:bottom w:val="single" w:color="auto" w:sz="4" w:space="0"/>
              <w:right w:val="single" w:color="auto" w:sz="4" w:space="0"/>
            </w:tcBorders>
            <w:vAlign w:val="center"/>
          </w:tcPr>
          <w:p>
            <w:pPr>
              <w:widowControl/>
              <w:spacing w:line="440" w:lineRule="exact"/>
              <w:jc w:val="left"/>
              <w:rPr>
                <w:kern w:val="0"/>
                <w:sz w:val="21"/>
                <w:szCs w:val="21"/>
              </w:rPr>
            </w:pPr>
            <w:r>
              <w:rPr>
                <w:kern w:val="0"/>
                <w:sz w:val="21"/>
                <w:szCs w:val="21"/>
              </w:rPr>
              <w:t>　</w:t>
            </w:r>
          </w:p>
        </w:tc>
        <w:tc>
          <w:tcPr>
            <w:tcW w:w="976" w:type="dxa"/>
            <w:tcBorders>
              <w:top w:val="nil"/>
              <w:left w:val="nil"/>
              <w:bottom w:val="single" w:color="auto" w:sz="4" w:space="0"/>
              <w:right w:val="single" w:color="auto" w:sz="4" w:space="0"/>
            </w:tcBorders>
            <w:vAlign w:val="center"/>
          </w:tcPr>
          <w:p>
            <w:pPr>
              <w:widowControl/>
              <w:spacing w:line="440" w:lineRule="exact"/>
              <w:jc w:val="left"/>
              <w:rPr>
                <w:kern w:val="0"/>
                <w:sz w:val="21"/>
                <w:szCs w:val="21"/>
              </w:rPr>
            </w:pPr>
            <w:r>
              <w:rPr>
                <w:kern w:val="0"/>
                <w:sz w:val="21"/>
                <w:szCs w:val="21"/>
              </w:rPr>
              <w:t>　</w:t>
            </w:r>
          </w:p>
        </w:tc>
      </w:tr>
      <w:tr>
        <w:tblPrEx>
          <w:tblCellMar>
            <w:top w:w="0" w:type="dxa"/>
            <w:left w:w="108" w:type="dxa"/>
            <w:bottom w:w="0" w:type="dxa"/>
            <w:right w:w="108" w:type="dxa"/>
          </w:tblCellMar>
        </w:tblPrEx>
        <w:trPr>
          <w:trHeight w:val="833"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center"/>
              <w:rPr>
                <w:kern w:val="0"/>
                <w:sz w:val="21"/>
                <w:szCs w:val="21"/>
              </w:rPr>
            </w:pPr>
            <w:r>
              <w:rPr>
                <w:kern w:val="0"/>
                <w:sz w:val="21"/>
                <w:szCs w:val="21"/>
              </w:rPr>
              <w:t>厉行节约保障措施</w:t>
            </w:r>
          </w:p>
        </w:tc>
        <w:tc>
          <w:tcPr>
            <w:tcW w:w="6481" w:type="dxa"/>
            <w:gridSpan w:val="6"/>
            <w:tcBorders>
              <w:top w:val="single" w:color="auto" w:sz="4" w:space="0"/>
              <w:left w:val="nil"/>
              <w:bottom w:val="single" w:color="auto" w:sz="4" w:space="0"/>
              <w:right w:val="single" w:color="000000" w:sz="4" w:space="0"/>
            </w:tcBorders>
            <w:vAlign w:val="center"/>
          </w:tcPr>
          <w:p>
            <w:pPr>
              <w:widowControl/>
              <w:jc w:val="left"/>
              <w:rPr>
                <w:rFonts w:eastAsia="宋体"/>
                <w:kern w:val="0"/>
                <w:sz w:val="18"/>
                <w:szCs w:val="18"/>
              </w:rPr>
            </w:pPr>
            <w:r>
              <w:rPr>
                <w:rFonts w:hint="eastAsia"/>
                <w:kern w:val="0"/>
                <w:sz w:val="18"/>
                <w:szCs w:val="18"/>
              </w:rPr>
              <w:t>1、</w:t>
            </w:r>
            <w:r>
              <w:rPr>
                <w:kern w:val="0"/>
                <w:sz w:val="18"/>
                <w:szCs w:val="18"/>
              </w:rPr>
              <w:t>增强资源忧患意识、节约意识和责任意识，从节约一度电、一滴水、一张纸等点滴小事做起，勤俭办事，逐步形成崇尚节约、厉行节约的良好氛围。</w:t>
            </w:r>
            <w:r>
              <w:rPr>
                <w:rFonts w:hint="eastAsia"/>
                <w:kern w:val="0"/>
                <w:sz w:val="18"/>
                <w:szCs w:val="18"/>
              </w:rPr>
              <w:t>2、</w:t>
            </w:r>
            <w:r>
              <w:rPr>
                <w:kern w:val="0"/>
                <w:sz w:val="18"/>
                <w:szCs w:val="18"/>
              </w:rPr>
              <w:t>充分利用政务平台、微信（QQ）工作群发送文件、会议通知、学习资料等，积极推进无纸化办公</w:t>
            </w:r>
            <w:r>
              <w:rPr>
                <w:rFonts w:hint="eastAsia"/>
                <w:kern w:val="0"/>
                <w:sz w:val="18"/>
                <w:szCs w:val="18"/>
              </w:rPr>
              <w:t>。3、认真落实政府提出的费用零增长的要求，严格预算支出管理，降低行政运行成本。</w:t>
            </w:r>
          </w:p>
        </w:tc>
      </w:tr>
    </w:tbl>
    <w:p>
      <w:pPr>
        <w:widowControl/>
        <w:spacing w:line="300" w:lineRule="exact"/>
        <w:ind w:left="644" w:leftChars="204"/>
        <w:jc w:val="left"/>
        <w:rPr>
          <w:kern w:val="0"/>
          <w:sz w:val="22"/>
          <w:szCs w:val="24"/>
        </w:rPr>
      </w:pPr>
      <w:r>
        <w:rPr>
          <w:kern w:val="0"/>
          <w:sz w:val="22"/>
          <w:szCs w:val="24"/>
        </w:rPr>
        <w:t>说明：“公用经费”填报基本支出中的一般商品和服务支出。“项目支出”需要填报基本支出以外的所有项</w:t>
      </w:r>
    </w:p>
    <w:p>
      <w:pPr>
        <w:widowControl/>
        <w:spacing w:line="300" w:lineRule="exact"/>
        <w:ind w:left="644" w:leftChars="204"/>
        <w:jc w:val="left"/>
        <w:rPr>
          <w:rFonts w:hint="eastAsia"/>
          <w:kern w:val="0"/>
          <w:sz w:val="22"/>
          <w:szCs w:val="24"/>
        </w:rPr>
      </w:pPr>
      <w:r>
        <w:rPr>
          <w:kern w:val="0"/>
          <w:sz w:val="22"/>
          <w:szCs w:val="24"/>
        </w:rPr>
        <w:t>目支出情况，</w:t>
      </w:r>
      <w:r>
        <w:rPr>
          <w:rFonts w:hint="eastAsia"/>
          <w:kern w:val="0"/>
          <w:sz w:val="22"/>
          <w:szCs w:val="24"/>
        </w:rPr>
        <w:t>“运行维护经费”填报项目支出中用于人员类和公用运转类的支出。</w:t>
      </w:r>
    </w:p>
    <w:p>
      <w:pPr>
        <w:widowControl/>
        <w:spacing w:line="300" w:lineRule="exact"/>
        <w:ind w:firstLine="648" w:firstLineChars="300"/>
        <w:jc w:val="left"/>
        <w:rPr>
          <w:kern w:val="0"/>
          <w:sz w:val="22"/>
          <w:szCs w:val="24"/>
        </w:rPr>
      </w:pPr>
      <w:r>
        <w:rPr>
          <w:kern w:val="0"/>
          <w:sz w:val="22"/>
          <w:szCs w:val="24"/>
        </w:rPr>
        <w:t>填表人：</w:t>
      </w:r>
      <w:r>
        <w:rPr>
          <w:rFonts w:hint="eastAsia"/>
          <w:kern w:val="0"/>
          <w:sz w:val="22"/>
          <w:szCs w:val="24"/>
        </w:rPr>
        <w:t>周科先</w:t>
      </w:r>
      <w:r>
        <w:rPr>
          <w:kern w:val="0"/>
          <w:sz w:val="22"/>
          <w:szCs w:val="24"/>
        </w:rPr>
        <w:t xml:space="preserve"> </w:t>
      </w:r>
      <w:r>
        <w:rPr>
          <w:rFonts w:hint="eastAsia"/>
          <w:kern w:val="0"/>
          <w:sz w:val="22"/>
          <w:szCs w:val="24"/>
        </w:rPr>
        <w:t xml:space="preserve"> </w:t>
      </w:r>
      <w:r>
        <w:rPr>
          <w:kern w:val="0"/>
          <w:sz w:val="22"/>
          <w:szCs w:val="24"/>
        </w:rPr>
        <w:t xml:space="preserve">填报日期： </w:t>
      </w:r>
      <w:r>
        <w:rPr>
          <w:rFonts w:hint="eastAsia"/>
          <w:kern w:val="0"/>
          <w:sz w:val="22"/>
          <w:szCs w:val="24"/>
        </w:rPr>
        <w:t>2023.4.25</w:t>
      </w:r>
      <w:r>
        <w:rPr>
          <w:kern w:val="0"/>
          <w:sz w:val="22"/>
          <w:szCs w:val="24"/>
        </w:rPr>
        <w:t xml:space="preserve"> 联系电话：</w:t>
      </w:r>
      <w:r>
        <w:rPr>
          <w:rFonts w:hint="eastAsia"/>
          <w:kern w:val="0"/>
          <w:sz w:val="22"/>
          <w:szCs w:val="24"/>
        </w:rPr>
        <w:t>13873712365</w:t>
      </w:r>
      <w:r>
        <w:rPr>
          <w:kern w:val="0"/>
          <w:sz w:val="22"/>
          <w:szCs w:val="24"/>
        </w:rPr>
        <w:t xml:space="preserve">    单位负责人签字：</w:t>
      </w:r>
    </w:p>
    <w:p>
      <w:pPr>
        <w:widowControl/>
        <w:spacing w:line="300" w:lineRule="exact"/>
        <w:jc w:val="left"/>
        <w:rPr>
          <w:rFonts w:hint="eastAsia" w:eastAsia="黑体"/>
          <w:szCs w:val="32"/>
        </w:rPr>
      </w:pPr>
      <w:r>
        <w:rPr>
          <w:rFonts w:eastAsia="黑体"/>
          <w:szCs w:val="32"/>
        </w:rPr>
        <w:t>附件</w:t>
      </w:r>
      <w:r>
        <w:rPr>
          <w:rFonts w:hint="eastAsia" w:eastAsia="黑体"/>
          <w:szCs w:val="32"/>
        </w:rPr>
        <w:t>2</w:t>
      </w:r>
    </w:p>
    <w:p>
      <w:pPr>
        <w:widowControl/>
        <w:spacing w:line="400" w:lineRule="exact"/>
        <w:jc w:val="center"/>
        <w:rPr>
          <w:rFonts w:eastAsia="方正小标宋_GBK"/>
          <w:color w:val="000000"/>
          <w:kern w:val="0"/>
          <w:sz w:val="36"/>
          <w:szCs w:val="36"/>
        </w:rPr>
      </w:pPr>
      <w:r>
        <w:rPr>
          <w:rFonts w:eastAsia="方正小标宋_GBK"/>
          <w:color w:val="000000"/>
          <w:kern w:val="0"/>
          <w:sz w:val="36"/>
          <w:szCs w:val="36"/>
        </w:rPr>
        <w:t>202</w:t>
      </w:r>
      <w:r>
        <w:rPr>
          <w:rFonts w:hint="eastAsia" w:eastAsia="方正小标宋_GBK"/>
          <w:color w:val="000000"/>
          <w:kern w:val="0"/>
          <w:sz w:val="36"/>
          <w:szCs w:val="36"/>
        </w:rPr>
        <w:t>2</w:t>
      </w:r>
      <w:r>
        <w:rPr>
          <w:rFonts w:eastAsia="方正小标宋_GBK"/>
          <w:color w:val="000000"/>
          <w:kern w:val="0"/>
          <w:sz w:val="36"/>
          <w:szCs w:val="36"/>
        </w:rPr>
        <w:t>年度部门整体支出绩效自评表</w:t>
      </w:r>
    </w:p>
    <w:tbl>
      <w:tblPr>
        <w:tblStyle w:val="8"/>
        <w:tblW w:w="9993" w:type="dxa"/>
        <w:jc w:val="center"/>
        <w:tblLayout w:type="fixed"/>
        <w:tblCellMar>
          <w:top w:w="0" w:type="dxa"/>
          <w:left w:w="108" w:type="dxa"/>
          <w:bottom w:w="0" w:type="dxa"/>
          <w:right w:w="108" w:type="dxa"/>
        </w:tblCellMar>
      </w:tblPr>
      <w:tblGrid>
        <w:gridCol w:w="1080"/>
        <w:gridCol w:w="1080"/>
        <w:gridCol w:w="1179"/>
        <w:gridCol w:w="1395"/>
        <w:gridCol w:w="75"/>
        <w:gridCol w:w="930"/>
        <w:gridCol w:w="1201"/>
        <w:gridCol w:w="812"/>
        <w:gridCol w:w="889"/>
        <w:gridCol w:w="1352"/>
      </w:tblGrid>
      <w:tr>
        <w:tblPrEx>
          <w:tblCellMar>
            <w:top w:w="0" w:type="dxa"/>
            <w:left w:w="108" w:type="dxa"/>
            <w:bottom w:w="0" w:type="dxa"/>
            <w:right w:w="108" w:type="dxa"/>
          </w:tblCellMar>
        </w:tblPrEx>
        <w:trPr>
          <w:trHeight w:val="32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预算部门</w:t>
            </w:r>
          </w:p>
        </w:tc>
        <w:tc>
          <w:tcPr>
            <w:tcW w:w="8913"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益阳市资阳区</w:t>
            </w:r>
            <w:r>
              <w:rPr>
                <w:rFonts w:hint="eastAsia"/>
                <w:color w:val="000000"/>
                <w:kern w:val="0"/>
                <w:sz w:val="21"/>
                <w:szCs w:val="21"/>
                <w:lang w:eastAsia="zh-CN"/>
              </w:rPr>
              <w:t>司</w:t>
            </w:r>
            <w:r>
              <w:rPr>
                <w:rFonts w:hint="eastAsia"/>
                <w:color w:val="000000"/>
                <w:kern w:val="0"/>
                <w:sz w:val="21"/>
                <w:szCs w:val="21"/>
              </w:rPr>
              <w:t>法局</w:t>
            </w:r>
            <w:r>
              <w:rPr>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年度预</w:t>
            </w:r>
          </w:p>
          <w:p>
            <w:pPr>
              <w:widowControl/>
              <w:spacing w:line="240" w:lineRule="exact"/>
              <w:jc w:val="center"/>
              <w:rPr>
                <w:color w:val="000000"/>
                <w:kern w:val="0"/>
                <w:sz w:val="21"/>
                <w:szCs w:val="21"/>
              </w:rPr>
            </w:pPr>
            <w:r>
              <w:rPr>
                <w:color w:val="000000"/>
                <w:kern w:val="0"/>
                <w:sz w:val="21"/>
                <w:szCs w:val="21"/>
              </w:rPr>
              <w:t>算申请</w:t>
            </w:r>
            <w:r>
              <w:rPr>
                <w:color w:val="000000"/>
                <w:kern w:val="0"/>
                <w:sz w:val="21"/>
                <w:szCs w:val="21"/>
              </w:rPr>
              <w:br w:type="textWrapping"/>
            </w:r>
            <w:r>
              <w:rPr>
                <w:color w:val="000000"/>
                <w:kern w:val="0"/>
                <w:sz w:val="21"/>
                <w:szCs w:val="21"/>
              </w:rPr>
              <w:t>（万元）</w:t>
            </w:r>
          </w:p>
        </w:tc>
        <w:tc>
          <w:tcPr>
            <w:tcW w:w="2259" w:type="dxa"/>
            <w:gridSpan w:val="2"/>
            <w:tcBorders>
              <w:top w:val="nil"/>
              <w:left w:val="nil"/>
              <w:bottom w:val="single" w:color="auto" w:sz="4" w:space="0"/>
              <w:right w:val="single" w:color="auto" w:sz="4" w:space="0"/>
            </w:tcBorders>
            <w:vAlign w:val="center"/>
          </w:tcPr>
          <w:p>
            <w:pPr>
              <w:spacing w:line="240" w:lineRule="exact"/>
              <w:jc w:val="center"/>
              <w:rPr>
                <w:sz w:val="21"/>
                <w:szCs w:val="21"/>
              </w:rPr>
            </w:pPr>
          </w:p>
        </w:tc>
        <w:tc>
          <w:tcPr>
            <w:tcW w:w="1470" w:type="dxa"/>
            <w:gridSpan w:val="2"/>
            <w:tcBorders>
              <w:top w:val="nil"/>
              <w:left w:val="nil"/>
              <w:bottom w:val="single" w:color="auto" w:sz="4" w:space="0"/>
              <w:right w:val="single" w:color="auto" w:sz="4" w:space="0"/>
            </w:tcBorders>
            <w:vAlign w:val="center"/>
          </w:tcPr>
          <w:p>
            <w:pPr>
              <w:spacing w:line="240" w:lineRule="exact"/>
              <w:jc w:val="center"/>
              <w:rPr>
                <w:sz w:val="21"/>
                <w:szCs w:val="21"/>
              </w:rPr>
            </w:pPr>
            <w:r>
              <w:rPr>
                <w:sz w:val="21"/>
                <w:szCs w:val="21"/>
              </w:rPr>
              <w:t>年初</w:t>
            </w:r>
          </w:p>
          <w:p>
            <w:pPr>
              <w:spacing w:line="240" w:lineRule="exact"/>
              <w:jc w:val="center"/>
              <w:rPr>
                <w:sz w:val="21"/>
                <w:szCs w:val="21"/>
              </w:rPr>
            </w:pPr>
            <w:r>
              <w:rPr>
                <w:sz w:val="21"/>
                <w:szCs w:val="21"/>
              </w:rPr>
              <w:t>预算数</w:t>
            </w:r>
          </w:p>
        </w:tc>
        <w:tc>
          <w:tcPr>
            <w:tcW w:w="930" w:type="dxa"/>
            <w:tcBorders>
              <w:top w:val="nil"/>
              <w:left w:val="nil"/>
              <w:bottom w:val="single" w:color="auto" w:sz="4" w:space="0"/>
              <w:right w:val="single" w:color="auto" w:sz="4" w:space="0"/>
            </w:tcBorders>
            <w:vAlign w:val="center"/>
          </w:tcPr>
          <w:p>
            <w:pPr>
              <w:spacing w:line="240" w:lineRule="exact"/>
              <w:jc w:val="center"/>
              <w:rPr>
                <w:sz w:val="21"/>
                <w:szCs w:val="21"/>
              </w:rPr>
            </w:pPr>
            <w:r>
              <w:rPr>
                <w:sz w:val="21"/>
                <w:szCs w:val="21"/>
              </w:rPr>
              <w:t>全年预算数</w:t>
            </w:r>
          </w:p>
        </w:tc>
        <w:tc>
          <w:tcPr>
            <w:tcW w:w="1201" w:type="dxa"/>
            <w:tcBorders>
              <w:top w:val="nil"/>
              <w:left w:val="nil"/>
              <w:bottom w:val="single" w:color="auto" w:sz="4" w:space="0"/>
              <w:right w:val="single" w:color="auto" w:sz="4" w:space="0"/>
            </w:tcBorders>
            <w:vAlign w:val="center"/>
          </w:tcPr>
          <w:p>
            <w:pPr>
              <w:spacing w:line="240" w:lineRule="exact"/>
              <w:jc w:val="center"/>
              <w:rPr>
                <w:sz w:val="21"/>
                <w:szCs w:val="21"/>
              </w:rPr>
            </w:pPr>
            <w:r>
              <w:rPr>
                <w:sz w:val="21"/>
                <w:szCs w:val="21"/>
              </w:rPr>
              <w:t>全年执行数</w:t>
            </w:r>
          </w:p>
        </w:tc>
        <w:tc>
          <w:tcPr>
            <w:tcW w:w="812" w:type="dxa"/>
            <w:tcBorders>
              <w:top w:val="nil"/>
              <w:left w:val="nil"/>
              <w:bottom w:val="single" w:color="auto" w:sz="4" w:space="0"/>
              <w:right w:val="single" w:color="auto" w:sz="4" w:space="0"/>
            </w:tcBorders>
            <w:vAlign w:val="center"/>
          </w:tcPr>
          <w:p>
            <w:pPr>
              <w:spacing w:line="240" w:lineRule="exact"/>
              <w:jc w:val="center"/>
              <w:rPr>
                <w:sz w:val="21"/>
                <w:szCs w:val="21"/>
              </w:rPr>
            </w:pPr>
            <w:r>
              <w:rPr>
                <w:sz w:val="21"/>
                <w:szCs w:val="21"/>
              </w:rPr>
              <w:t>分值</w:t>
            </w:r>
          </w:p>
        </w:tc>
        <w:tc>
          <w:tcPr>
            <w:tcW w:w="889" w:type="dxa"/>
            <w:tcBorders>
              <w:top w:val="nil"/>
              <w:left w:val="nil"/>
              <w:bottom w:val="single" w:color="auto" w:sz="4" w:space="0"/>
              <w:right w:val="single" w:color="auto" w:sz="4" w:space="0"/>
            </w:tcBorders>
            <w:vAlign w:val="center"/>
          </w:tcPr>
          <w:p>
            <w:pPr>
              <w:spacing w:line="240" w:lineRule="exact"/>
              <w:jc w:val="center"/>
              <w:rPr>
                <w:sz w:val="21"/>
                <w:szCs w:val="21"/>
              </w:rPr>
            </w:pPr>
            <w:r>
              <w:rPr>
                <w:sz w:val="21"/>
                <w:szCs w:val="21"/>
              </w:rPr>
              <w:t>执行率</w:t>
            </w:r>
          </w:p>
        </w:tc>
        <w:tc>
          <w:tcPr>
            <w:tcW w:w="1352" w:type="dxa"/>
            <w:tcBorders>
              <w:top w:val="nil"/>
              <w:left w:val="nil"/>
              <w:bottom w:val="single" w:color="auto" w:sz="4" w:space="0"/>
              <w:right w:val="single" w:color="auto" w:sz="4" w:space="0"/>
            </w:tcBorders>
            <w:vAlign w:val="center"/>
          </w:tcPr>
          <w:p>
            <w:pPr>
              <w:spacing w:line="240" w:lineRule="exact"/>
              <w:jc w:val="center"/>
              <w:rPr>
                <w:sz w:val="21"/>
                <w:szCs w:val="21"/>
              </w:rPr>
            </w:pPr>
            <w:r>
              <w:rPr>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color w:val="000000"/>
                <w:kern w:val="0"/>
                <w:sz w:val="21"/>
                <w:szCs w:val="21"/>
              </w:rPr>
            </w:pPr>
          </w:p>
        </w:tc>
        <w:tc>
          <w:tcPr>
            <w:tcW w:w="2259" w:type="dxa"/>
            <w:gridSpan w:val="2"/>
            <w:tcBorders>
              <w:top w:val="nil"/>
              <w:left w:val="nil"/>
              <w:bottom w:val="single" w:color="auto" w:sz="4" w:space="0"/>
              <w:right w:val="single" w:color="auto" w:sz="4" w:space="0"/>
            </w:tcBorders>
            <w:vAlign w:val="center"/>
          </w:tcPr>
          <w:p>
            <w:pPr>
              <w:spacing w:line="240" w:lineRule="exact"/>
              <w:jc w:val="center"/>
              <w:rPr>
                <w:sz w:val="21"/>
                <w:szCs w:val="21"/>
              </w:rPr>
            </w:pPr>
            <w:r>
              <w:rPr>
                <w:color w:val="000000"/>
                <w:kern w:val="0"/>
                <w:sz w:val="21"/>
                <w:szCs w:val="21"/>
              </w:rPr>
              <w:t>年度资金总额</w:t>
            </w:r>
          </w:p>
        </w:tc>
        <w:tc>
          <w:tcPr>
            <w:tcW w:w="1470" w:type="dxa"/>
            <w:gridSpan w:val="2"/>
            <w:tcBorders>
              <w:top w:val="nil"/>
              <w:left w:val="nil"/>
              <w:bottom w:val="single" w:color="auto" w:sz="4" w:space="0"/>
              <w:right w:val="single" w:color="auto" w:sz="4" w:space="0"/>
            </w:tcBorders>
            <w:vAlign w:val="center"/>
          </w:tcPr>
          <w:p>
            <w:pPr>
              <w:spacing w:line="240" w:lineRule="exact"/>
              <w:jc w:val="center"/>
              <w:rPr>
                <w:sz w:val="21"/>
                <w:szCs w:val="21"/>
              </w:rPr>
            </w:pPr>
            <w:r>
              <w:rPr>
                <w:rFonts w:hint="eastAsia"/>
                <w:sz w:val="21"/>
                <w:szCs w:val="21"/>
              </w:rPr>
              <w:t>969.65</w:t>
            </w:r>
          </w:p>
        </w:tc>
        <w:tc>
          <w:tcPr>
            <w:tcW w:w="930" w:type="dxa"/>
            <w:tcBorders>
              <w:top w:val="nil"/>
              <w:left w:val="nil"/>
              <w:bottom w:val="single" w:color="auto" w:sz="4" w:space="0"/>
              <w:right w:val="single" w:color="auto" w:sz="4" w:space="0"/>
            </w:tcBorders>
            <w:vAlign w:val="center"/>
          </w:tcPr>
          <w:p>
            <w:pPr>
              <w:spacing w:line="240" w:lineRule="exact"/>
              <w:jc w:val="center"/>
              <w:rPr>
                <w:sz w:val="21"/>
                <w:szCs w:val="21"/>
              </w:rPr>
            </w:pPr>
            <w:r>
              <w:rPr>
                <w:rFonts w:hint="eastAsia"/>
                <w:sz w:val="21"/>
                <w:szCs w:val="21"/>
              </w:rPr>
              <w:t>1008.22</w:t>
            </w:r>
          </w:p>
        </w:tc>
        <w:tc>
          <w:tcPr>
            <w:tcW w:w="1201" w:type="dxa"/>
            <w:tcBorders>
              <w:top w:val="nil"/>
              <w:left w:val="nil"/>
              <w:bottom w:val="single" w:color="auto" w:sz="4" w:space="0"/>
              <w:right w:val="single" w:color="auto" w:sz="4" w:space="0"/>
            </w:tcBorders>
            <w:vAlign w:val="center"/>
          </w:tcPr>
          <w:p>
            <w:pPr>
              <w:spacing w:line="240" w:lineRule="exact"/>
              <w:jc w:val="center"/>
              <w:rPr>
                <w:sz w:val="21"/>
                <w:szCs w:val="21"/>
              </w:rPr>
            </w:pPr>
            <w:r>
              <w:rPr>
                <w:rFonts w:hint="eastAsia"/>
                <w:sz w:val="21"/>
                <w:szCs w:val="21"/>
              </w:rPr>
              <w:t>1008.22</w:t>
            </w:r>
          </w:p>
        </w:tc>
        <w:tc>
          <w:tcPr>
            <w:tcW w:w="812" w:type="dxa"/>
            <w:tcBorders>
              <w:top w:val="nil"/>
              <w:left w:val="nil"/>
              <w:bottom w:val="single" w:color="auto" w:sz="4" w:space="0"/>
              <w:right w:val="single" w:color="auto" w:sz="4" w:space="0"/>
            </w:tcBorders>
            <w:vAlign w:val="center"/>
          </w:tcPr>
          <w:p>
            <w:pPr>
              <w:spacing w:line="240" w:lineRule="exact"/>
              <w:jc w:val="center"/>
              <w:rPr>
                <w:rFonts w:hint="eastAsia"/>
                <w:sz w:val="21"/>
                <w:szCs w:val="21"/>
              </w:rPr>
            </w:pPr>
            <w:r>
              <w:rPr>
                <w:sz w:val="21"/>
                <w:szCs w:val="21"/>
              </w:rPr>
              <w:t>10</w:t>
            </w:r>
            <w:r>
              <w:rPr>
                <w:rFonts w:hint="eastAsia"/>
                <w:sz w:val="21"/>
                <w:szCs w:val="21"/>
              </w:rPr>
              <w:t>分</w:t>
            </w:r>
          </w:p>
        </w:tc>
        <w:tc>
          <w:tcPr>
            <w:tcW w:w="889" w:type="dxa"/>
            <w:tcBorders>
              <w:top w:val="nil"/>
              <w:left w:val="nil"/>
              <w:bottom w:val="single" w:color="auto" w:sz="4" w:space="0"/>
              <w:right w:val="single" w:color="auto" w:sz="4" w:space="0"/>
            </w:tcBorders>
            <w:vAlign w:val="center"/>
          </w:tcPr>
          <w:p>
            <w:pPr>
              <w:spacing w:line="240" w:lineRule="exact"/>
              <w:jc w:val="center"/>
              <w:rPr>
                <w:sz w:val="21"/>
                <w:szCs w:val="21"/>
              </w:rPr>
            </w:pPr>
            <w:r>
              <w:rPr>
                <w:rFonts w:hint="eastAsia"/>
                <w:sz w:val="21"/>
                <w:szCs w:val="21"/>
              </w:rPr>
              <w:t>100%</w:t>
            </w:r>
          </w:p>
        </w:tc>
        <w:tc>
          <w:tcPr>
            <w:tcW w:w="1352" w:type="dxa"/>
            <w:tcBorders>
              <w:top w:val="nil"/>
              <w:left w:val="nil"/>
              <w:bottom w:val="single" w:color="auto" w:sz="4" w:space="0"/>
              <w:right w:val="single" w:color="auto" w:sz="4" w:space="0"/>
            </w:tcBorders>
            <w:vAlign w:val="center"/>
          </w:tcPr>
          <w:p>
            <w:pPr>
              <w:spacing w:line="240" w:lineRule="exact"/>
              <w:jc w:val="center"/>
              <w:rPr>
                <w:sz w:val="21"/>
                <w:szCs w:val="21"/>
              </w:rPr>
            </w:pPr>
            <w:r>
              <w:rPr>
                <w:rFonts w:hint="eastAsia"/>
                <w:sz w:val="21"/>
                <w:szCs w:val="21"/>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color w:val="000000"/>
                <w:kern w:val="0"/>
                <w:sz w:val="21"/>
                <w:szCs w:val="21"/>
              </w:rPr>
            </w:pPr>
          </w:p>
        </w:tc>
        <w:tc>
          <w:tcPr>
            <w:tcW w:w="4659" w:type="dxa"/>
            <w:gridSpan w:val="5"/>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按收入性质分：</w:t>
            </w:r>
          </w:p>
        </w:tc>
        <w:tc>
          <w:tcPr>
            <w:tcW w:w="4254" w:type="dxa"/>
            <w:gridSpan w:val="4"/>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color w:val="000000"/>
                <w:kern w:val="0"/>
                <w:sz w:val="21"/>
                <w:szCs w:val="21"/>
              </w:rPr>
            </w:pPr>
          </w:p>
        </w:tc>
        <w:tc>
          <w:tcPr>
            <w:tcW w:w="4659" w:type="dxa"/>
            <w:gridSpan w:val="5"/>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xml:space="preserve">  其中：  一般公共预算：</w:t>
            </w:r>
            <w:r>
              <w:rPr>
                <w:rFonts w:hint="eastAsia"/>
                <w:color w:val="000000"/>
                <w:kern w:val="0"/>
                <w:sz w:val="21"/>
                <w:szCs w:val="21"/>
              </w:rPr>
              <w:t>984.41</w:t>
            </w:r>
          </w:p>
        </w:tc>
        <w:tc>
          <w:tcPr>
            <w:tcW w:w="4254" w:type="dxa"/>
            <w:gridSpan w:val="4"/>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其中：基本支出：</w:t>
            </w:r>
            <w:r>
              <w:rPr>
                <w:rFonts w:hint="eastAsia"/>
                <w:color w:val="000000"/>
                <w:kern w:val="0"/>
                <w:sz w:val="21"/>
                <w:szCs w:val="21"/>
              </w:rPr>
              <w:t>827.19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color w:val="000000"/>
                <w:kern w:val="0"/>
                <w:sz w:val="21"/>
                <w:szCs w:val="21"/>
              </w:rPr>
            </w:pPr>
          </w:p>
        </w:tc>
        <w:tc>
          <w:tcPr>
            <w:tcW w:w="4659" w:type="dxa"/>
            <w:gridSpan w:val="5"/>
            <w:tcBorders>
              <w:top w:val="nil"/>
              <w:left w:val="nil"/>
              <w:bottom w:val="single" w:color="auto" w:sz="4" w:space="0"/>
              <w:right w:val="single" w:color="auto" w:sz="4" w:space="0"/>
            </w:tcBorders>
            <w:vAlign w:val="center"/>
          </w:tcPr>
          <w:p>
            <w:pPr>
              <w:widowControl/>
              <w:spacing w:line="240" w:lineRule="exact"/>
              <w:ind w:firstLine="824" w:firstLineChars="400"/>
              <w:jc w:val="left"/>
              <w:rPr>
                <w:color w:val="000000"/>
                <w:kern w:val="0"/>
                <w:sz w:val="21"/>
                <w:szCs w:val="21"/>
              </w:rPr>
            </w:pPr>
            <w:r>
              <w:rPr>
                <w:color w:val="000000"/>
                <w:kern w:val="0"/>
                <w:sz w:val="21"/>
                <w:szCs w:val="21"/>
              </w:rPr>
              <w:t>政府性基金拨款：</w:t>
            </w:r>
          </w:p>
        </w:tc>
        <w:tc>
          <w:tcPr>
            <w:tcW w:w="4254" w:type="dxa"/>
            <w:gridSpan w:val="4"/>
            <w:tcBorders>
              <w:top w:val="nil"/>
              <w:left w:val="nil"/>
              <w:bottom w:val="single" w:color="auto" w:sz="4" w:space="0"/>
              <w:right w:val="single" w:color="auto" w:sz="4" w:space="0"/>
            </w:tcBorders>
            <w:vAlign w:val="center"/>
          </w:tcPr>
          <w:p>
            <w:pPr>
              <w:widowControl/>
              <w:spacing w:line="240" w:lineRule="exact"/>
              <w:ind w:firstLine="618" w:firstLineChars="300"/>
              <w:jc w:val="left"/>
              <w:rPr>
                <w:color w:val="000000"/>
                <w:kern w:val="0"/>
                <w:sz w:val="21"/>
                <w:szCs w:val="21"/>
              </w:rPr>
            </w:pPr>
            <w:r>
              <w:rPr>
                <w:color w:val="000000"/>
                <w:kern w:val="0"/>
                <w:sz w:val="21"/>
                <w:szCs w:val="21"/>
              </w:rPr>
              <w:t>项目支出：</w:t>
            </w:r>
            <w:r>
              <w:rPr>
                <w:rFonts w:hint="eastAsia"/>
                <w:color w:val="000000"/>
                <w:kern w:val="0"/>
                <w:sz w:val="21"/>
                <w:szCs w:val="21"/>
              </w:rPr>
              <w:t>181.03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color w:val="000000"/>
                <w:kern w:val="0"/>
                <w:sz w:val="21"/>
                <w:szCs w:val="21"/>
              </w:rPr>
            </w:pPr>
          </w:p>
        </w:tc>
        <w:tc>
          <w:tcPr>
            <w:tcW w:w="4659" w:type="dxa"/>
            <w:gridSpan w:val="5"/>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纳入专户管理的非税收入拨款：</w:t>
            </w:r>
          </w:p>
        </w:tc>
        <w:tc>
          <w:tcPr>
            <w:tcW w:w="4254" w:type="dxa"/>
            <w:gridSpan w:val="4"/>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color w:val="000000"/>
                <w:kern w:val="0"/>
                <w:sz w:val="21"/>
                <w:szCs w:val="21"/>
              </w:rPr>
            </w:pPr>
          </w:p>
        </w:tc>
        <w:tc>
          <w:tcPr>
            <w:tcW w:w="4659" w:type="dxa"/>
            <w:gridSpan w:val="5"/>
            <w:tcBorders>
              <w:top w:val="nil"/>
              <w:left w:val="nil"/>
              <w:bottom w:val="single" w:color="auto" w:sz="4" w:space="0"/>
              <w:right w:val="single" w:color="auto" w:sz="4" w:space="0"/>
            </w:tcBorders>
            <w:vAlign w:val="center"/>
          </w:tcPr>
          <w:p>
            <w:pPr>
              <w:widowControl/>
              <w:spacing w:line="240" w:lineRule="exact"/>
              <w:ind w:firstLine="1442" w:firstLineChars="700"/>
              <w:jc w:val="left"/>
              <w:rPr>
                <w:color w:val="000000"/>
                <w:kern w:val="0"/>
                <w:sz w:val="21"/>
                <w:szCs w:val="21"/>
              </w:rPr>
            </w:pPr>
            <w:r>
              <w:rPr>
                <w:color w:val="000000"/>
                <w:kern w:val="0"/>
                <w:sz w:val="21"/>
                <w:szCs w:val="21"/>
              </w:rPr>
              <w:t>其他资金：</w:t>
            </w:r>
            <w:r>
              <w:rPr>
                <w:rFonts w:hint="eastAsia"/>
                <w:color w:val="000000"/>
                <w:kern w:val="0"/>
                <w:sz w:val="21"/>
                <w:szCs w:val="21"/>
              </w:rPr>
              <w:t>23.81</w:t>
            </w:r>
          </w:p>
        </w:tc>
        <w:tc>
          <w:tcPr>
            <w:tcW w:w="4254" w:type="dxa"/>
            <w:gridSpan w:val="4"/>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r>
      <w:tr>
        <w:tblPrEx>
          <w:tblCellMar>
            <w:top w:w="0" w:type="dxa"/>
            <w:left w:w="108" w:type="dxa"/>
            <w:bottom w:w="0" w:type="dxa"/>
            <w:right w:w="108" w:type="dxa"/>
          </w:tblCellMar>
        </w:tblPrEx>
        <w:trPr>
          <w:trHeight w:val="278"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年度总体目标</w:t>
            </w:r>
          </w:p>
        </w:tc>
        <w:tc>
          <w:tcPr>
            <w:tcW w:w="4659"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color w:val="000000"/>
                <w:kern w:val="0"/>
                <w:sz w:val="21"/>
                <w:szCs w:val="21"/>
              </w:rPr>
            </w:pPr>
            <w:r>
              <w:rPr>
                <w:color w:val="000000"/>
                <w:kern w:val="0"/>
                <w:sz w:val="21"/>
                <w:szCs w:val="21"/>
              </w:rPr>
              <w:t>预期目标</w:t>
            </w:r>
          </w:p>
        </w:tc>
        <w:tc>
          <w:tcPr>
            <w:tcW w:w="425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color w:val="000000"/>
                <w:kern w:val="0"/>
                <w:sz w:val="21"/>
                <w:szCs w:val="21"/>
              </w:rPr>
            </w:pPr>
          </w:p>
        </w:tc>
        <w:tc>
          <w:tcPr>
            <w:tcW w:w="4659" w:type="dxa"/>
            <w:gridSpan w:val="5"/>
            <w:tcBorders>
              <w:top w:val="single" w:color="auto" w:sz="4" w:space="0"/>
              <w:left w:val="nil"/>
              <w:bottom w:val="single" w:color="auto" w:sz="4" w:space="0"/>
              <w:right w:val="single" w:color="000000" w:sz="4" w:space="0"/>
            </w:tcBorders>
            <w:vAlign w:val="center"/>
          </w:tcPr>
          <w:p>
            <w:pPr>
              <w:widowControl/>
              <w:spacing w:line="240" w:lineRule="exact"/>
              <w:jc w:val="left"/>
              <w:rPr>
                <w:rFonts w:hint="eastAsia"/>
                <w:color w:val="000000"/>
                <w:kern w:val="0"/>
                <w:sz w:val="21"/>
                <w:szCs w:val="21"/>
              </w:rPr>
            </w:pPr>
            <w:r>
              <w:rPr>
                <w:color w:val="000000"/>
                <w:kern w:val="0"/>
                <w:sz w:val="21"/>
                <w:szCs w:val="21"/>
              </w:rPr>
              <w:t>　</w:t>
            </w:r>
            <w:r>
              <w:rPr>
                <w:rFonts w:hint="eastAsia"/>
                <w:color w:val="000000"/>
                <w:kern w:val="0"/>
                <w:sz w:val="21"/>
                <w:szCs w:val="21"/>
              </w:rPr>
              <w:t>1、</w:t>
            </w:r>
            <w:r>
              <w:rPr>
                <w:color w:val="000000"/>
                <w:kern w:val="0"/>
                <w:sz w:val="21"/>
                <w:szCs w:val="21"/>
              </w:rPr>
              <w:t>特殊人群管理。坚持教育为先，管理为重，科技为辅</w:t>
            </w:r>
            <w:r>
              <w:rPr>
                <w:rFonts w:hint="eastAsia"/>
                <w:color w:val="000000"/>
                <w:kern w:val="0"/>
                <w:sz w:val="21"/>
                <w:szCs w:val="21"/>
              </w:rPr>
              <w:t>，</w:t>
            </w:r>
            <w:r>
              <w:rPr>
                <w:color w:val="000000"/>
                <w:kern w:val="0"/>
                <w:sz w:val="21"/>
                <w:szCs w:val="21"/>
              </w:rPr>
              <w:t>全力打造一个功能</w:t>
            </w:r>
            <w:r>
              <w:rPr>
                <w:rFonts w:hint="eastAsia"/>
                <w:color w:val="000000"/>
                <w:kern w:val="0"/>
                <w:sz w:val="21"/>
                <w:szCs w:val="21"/>
              </w:rPr>
              <w:t>、</w:t>
            </w:r>
            <w:r>
              <w:rPr>
                <w:color w:val="000000"/>
                <w:kern w:val="0"/>
                <w:sz w:val="21"/>
                <w:szCs w:val="21"/>
              </w:rPr>
              <w:t>设施齐全、执法规范、运行智能的“</w:t>
            </w:r>
            <w:r>
              <w:rPr>
                <w:rFonts w:hint="eastAsia"/>
                <w:color w:val="000000"/>
                <w:kern w:val="0"/>
                <w:sz w:val="21"/>
                <w:szCs w:val="21"/>
              </w:rPr>
              <w:t>智慧矫正中心”。2、</w:t>
            </w:r>
            <w:r>
              <w:rPr>
                <w:color w:val="000000"/>
                <w:kern w:val="0"/>
                <w:sz w:val="21"/>
                <w:szCs w:val="21"/>
              </w:rPr>
              <w:t>公共法律服务。加强公共法律服务体系建设，强化公共法律服务便民举措</w:t>
            </w:r>
            <w:r>
              <w:rPr>
                <w:rFonts w:hint="eastAsia"/>
                <w:color w:val="000000"/>
                <w:kern w:val="0"/>
                <w:sz w:val="21"/>
                <w:szCs w:val="21"/>
              </w:rPr>
              <w:t>，</w:t>
            </w:r>
            <w:r>
              <w:rPr>
                <w:color w:val="000000"/>
                <w:kern w:val="0"/>
                <w:sz w:val="21"/>
                <w:szCs w:val="21"/>
              </w:rPr>
              <w:t>为弱势群体提供优质高效的法律援助服务。</w:t>
            </w:r>
            <w:r>
              <w:rPr>
                <w:rFonts w:hint="eastAsia"/>
                <w:color w:val="000000"/>
                <w:kern w:val="0"/>
                <w:sz w:val="21"/>
                <w:szCs w:val="21"/>
              </w:rPr>
              <w:t>3、</w:t>
            </w:r>
            <w:r>
              <w:rPr>
                <w:color w:val="000000"/>
                <w:kern w:val="0"/>
                <w:sz w:val="21"/>
                <w:szCs w:val="21"/>
              </w:rPr>
              <w:t>人民参与和促进法治。壮大专职调解员队伍，聘任热心公益事业</w:t>
            </w:r>
            <w:r>
              <w:rPr>
                <w:rFonts w:hint="eastAsia"/>
                <w:color w:val="000000"/>
                <w:kern w:val="0"/>
                <w:sz w:val="21"/>
                <w:szCs w:val="21"/>
              </w:rPr>
              <w:t>的</w:t>
            </w:r>
            <w:r>
              <w:rPr>
                <w:color w:val="000000"/>
                <w:kern w:val="0"/>
                <w:sz w:val="21"/>
                <w:szCs w:val="21"/>
              </w:rPr>
              <w:t>退休政法系统老干部、老党员等作为专职人民调解员，建立个人调解工作室。</w:t>
            </w:r>
            <w:r>
              <w:rPr>
                <w:rFonts w:hint="eastAsia"/>
                <w:color w:val="000000"/>
                <w:kern w:val="0"/>
                <w:sz w:val="21"/>
                <w:szCs w:val="21"/>
              </w:rPr>
              <w:t>4、</w:t>
            </w:r>
            <w:r>
              <w:rPr>
                <w:color w:val="000000"/>
                <w:kern w:val="0"/>
                <w:sz w:val="21"/>
                <w:szCs w:val="21"/>
              </w:rPr>
              <w:t>法治政府建设。加强行政执法监督工</w:t>
            </w:r>
            <w:r>
              <w:rPr>
                <w:rFonts w:hint="eastAsia"/>
                <w:color w:val="000000"/>
                <w:kern w:val="0"/>
                <w:sz w:val="21"/>
                <w:szCs w:val="21"/>
              </w:rPr>
              <w:t>作和</w:t>
            </w:r>
            <w:r>
              <w:rPr>
                <w:color w:val="000000"/>
                <w:kern w:val="0"/>
                <w:sz w:val="21"/>
                <w:szCs w:val="21"/>
              </w:rPr>
              <w:t>行政复议应诉工作，提高多元化化解行政纠纷能力靶向解决应诉答辩不积极等问题。</w:t>
            </w:r>
          </w:p>
        </w:tc>
        <w:tc>
          <w:tcPr>
            <w:tcW w:w="4254"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color w:val="000000"/>
                <w:kern w:val="0"/>
                <w:sz w:val="21"/>
                <w:szCs w:val="21"/>
              </w:rPr>
            </w:pPr>
            <w:r>
              <w:rPr>
                <w:color w:val="000000"/>
                <w:kern w:val="0"/>
                <w:sz w:val="21"/>
                <w:szCs w:val="21"/>
              </w:rPr>
              <w:t>　按照“限额控制、保障重点、积极稳妥、滚动调整”原则，合理规划支出。重点保障基本支出，</w:t>
            </w:r>
            <w:r>
              <w:rPr>
                <w:rFonts w:hint="eastAsia"/>
                <w:color w:val="000000"/>
                <w:kern w:val="0"/>
                <w:sz w:val="21"/>
                <w:szCs w:val="21"/>
              </w:rPr>
              <w:t>合理</w:t>
            </w:r>
            <w:r>
              <w:rPr>
                <w:color w:val="000000"/>
                <w:kern w:val="0"/>
                <w:sz w:val="21"/>
                <w:szCs w:val="21"/>
              </w:rPr>
              <w:t>安排项目支出，严控“三公”经费支出，严格落实人员工资津贴、奖金福利、社会保障以及社区矫正、安置帮教、人民调解、法律援助等业务要求的必要支出，保障本单位履职目标以及工作任务的完成</w:t>
            </w:r>
            <w:r>
              <w:rPr>
                <w:rFonts w:ascii="仿宋" w:hAnsi="仿宋" w:eastAsia="仿宋" w:cs="仿宋"/>
                <w:color w:val="666666"/>
                <w:szCs w:val="32"/>
                <w:shd w:val="clear" w:color="auto" w:fill="FFFFFF"/>
              </w:rPr>
              <w:t>。</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绩</w:t>
            </w:r>
          </w:p>
          <w:p>
            <w:pPr>
              <w:widowControl/>
              <w:spacing w:line="240" w:lineRule="exact"/>
              <w:jc w:val="center"/>
              <w:rPr>
                <w:color w:val="000000"/>
                <w:kern w:val="0"/>
                <w:sz w:val="21"/>
                <w:szCs w:val="21"/>
              </w:rPr>
            </w:pPr>
            <w:r>
              <w:rPr>
                <w:color w:val="000000"/>
                <w:kern w:val="0"/>
                <w:sz w:val="21"/>
                <w:szCs w:val="21"/>
              </w:rPr>
              <w:t>效</w:t>
            </w:r>
          </w:p>
          <w:p>
            <w:pPr>
              <w:widowControl/>
              <w:spacing w:line="240" w:lineRule="exact"/>
              <w:jc w:val="center"/>
              <w:rPr>
                <w:color w:val="000000"/>
                <w:kern w:val="0"/>
                <w:sz w:val="21"/>
                <w:szCs w:val="21"/>
              </w:rPr>
            </w:pPr>
            <w:r>
              <w:rPr>
                <w:color w:val="000000"/>
                <w:kern w:val="0"/>
                <w:sz w:val="21"/>
                <w:szCs w:val="21"/>
              </w:rPr>
              <w:t>指</w:t>
            </w:r>
          </w:p>
          <w:p>
            <w:pPr>
              <w:widowControl/>
              <w:spacing w:line="240" w:lineRule="exact"/>
              <w:jc w:val="center"/>
              <w:rPr>
                <w:color w:val="000000"/>
                <w:kern w:val="0"/>
                <w:sz w:val="21"/>
                <w:szCs w:val="21"/>
              </w:rPr>
            </w:pPr>
            <w:r>
              <w:rPr>
                <w:color w:val="000000"/>
                <w:kern w:val="0"/>
                <w:sz w:val="21"/>
                <w:szCs w:val="21"/>
              </w:rPr>
              <w:t>标</w:t>
            </w:r>
          </w:p>
          <w:p>
            <w:pPr>
              <w:widowControl/>
              <w:spacing w:line="240" w:lineRule="exact"/>
              <w:jc w:val="center"/>
              <w:rPr>
                <w:color w:val="000000"/>
                <w:kern w:val="0"/>
                <w:sz w:val="21"/>
                <w:szCs w:val="21"/>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一级指标</w:t>
            </w:r>
          </w:p>
        </w:tc>
        <w:tc>
          <w:tcPr>
            <w:tcW w:w="1179"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二级指标</w:t>
            </w:r>
          </w:p>
        </w:tc>
        <w:tc>
          <w:tcPr>
            <w:tcW w:w="1395"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三级指标</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年度</w:t>
            </w:r>
          </w:p>
          <w:p>
            <w:pPr>
              <w:widowControl/>
              <w:spacing w:line="240" w:lineRule="exact"/>
              <w:jc w:val="center"/>
              <w:rPr>
                <w:color w:val="000000"/>
                <w:kern w:val="0"/>
                <w:sz w:val="21"/>
                <w:szCs w:val="21"/>
              </w:rPr>
            </w:pPr>
            <w:r>
              <w:rPr>
                <w:color w:val="000000"/>
                <w:kern w:val="0"/>
                <w:sz w:val="21"/>
                <w:szCs w:val="21"/>
              </w:rPr>
              <w:t>指标值</w:t>
            </w:r>
          </w:p>
        </w:tc>
        <w:tc>
          <w:tcPr>
            <w:tcW w:w="1201" w:type="dxa"/>
            <w:tcBorders>
              <w:top w:val="nil"/>
              <w:left w:val="nil"/>
              <w:bottom w:val="single" w:color="auto" w:sz="4" w:space="0"/>
              <w:right w:val="single" w:color="auto" w:sz="4" w:space="0"/>
            </w:tcBorders>
            <w:vAlign w:val="center"/>
          </w:tcPr>
          <w:p>
            <w:pPr>
              <w:widowControl/>
              <w:spacing w:line="240" w:lineRule="exact"/>
              <w:rPr>
                <w:color w:val="000000"/>
                <w:kern w:val="0"/>
                <w:sz w:val="21"/>
                <w:szCs w:val="21"/>
              </w:rPr>
            </w:pPr>
            <w:r>
              <w:rPr>
                <w:color w:val="000000"/>
                <w:kern w:val="0"/>
                <w:sz w:val="21"/>
                <w:szCs w:val="21"/>
              </w:rPr>
              <w:t>实际完成值</w:t>
            </w:r>
          </w:p>
        </w:tc>
        <w:tc>
          <w:tcPr>
            <w:tcW w:w="812"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分值</w:t>
            </w:r>
          </w:p>
        </w:tc>
        <w:tc>
          <w:tcPr>
            <w:tcW w:w="889"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得分</w:t>
            </w:r>
          </w:p>
        </w:tc>
        <w:tc>
          <w:tcPr>
            <w:tcW w:w="1352"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偏差原因</w:t>
            </w:r>
          </w:p>
          <w:p>
            <w:pPr>
              <w:widowControl/>
              <w:spacing w:line="240" w:lineRule="exact"/>
              <w:jc w:val="center"/>
              <w:rPr>
                <w:color w:val="000000"/>
                <w:kern w:val="0"/>
                <w:sz w:val="21"/>
                <w:szCs w:val="21"/>
              </w:rPr>
            </w:pPr>
            <w:r>
              <w:rPr>
                <w:color w:val="000000"/>
                <w:kern w:val="0"/>
                <w:sz w:val="21"/>
                <w:szCs w:val="21"/>
              </w:rPr>
              <w:t>分析及</w:t>
            </w:r>
          </w:p>
          <w:p>
            <w:pPr>
              <w:widowControl/>
              <w:spacing w:line="240" w:lineRule="exact"/>
              <w:jc w:val="center"/>
              <w:rPr>
                <w:color w:val="000000"/>
                <w:kern w:val="0"/>
                <w:sz w:val="21"/>
                <w:szCs w:val="21"/>
              </w:rPr>
            </w:pPr>
            <w:r>
              <w:rPr>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restart"/>
            <w:tcBorders>
              <w:top w:val="nil"/>
              <w:left w:val="nil"/>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产出指标</w:t>
            </w:r>
          </w:p>
          <w:p>
            <w:pPr>
              <w:widowControl/>
              <w:spacing w:line="240" w:lineRule="exact"/>
              <w:jc w:val="center"/>
              <w:rPr>
                <w:color w:val="000000"/>
                <w:kern w:val="0"/>
                <w:sz w:val="21"/>
                <w:szCs w:val="21"/>
              </w:rPr>
            </w:pPr>
          </w:p>
          <w:p>
            <w:pPr>
              <w:widowControl/>
              <w:spacing w:line="240" w:lineRule="exact"/>
              <w:jc w:val="center"/>
              <w:rPr>
                <w:color w:val="000000"/>
                <w:kern w:val="0"/>
                <w:sz w:val="21"/>
                <w:szCs w:val="21"/>
              </w:rPr>
            </w:pPr>
            <w:r>
              <w:rPr>
                <w:color w:val="000000"/>
                <w:kern w:val="0"/>
                <w:sz w:val="21"/>
                <w:szCs w:val="21"/>
              </w:rPr>
              <w:t>(50分)</w:t>
            </w:r>
          </w:p>
        </w:tc>
        <w:tc>
          <w:tcPr>
            <w:tcW w:w="1179" w:type="dxa"/>
            <w:vMerge w:val="restart"/>
            <w:tcBorders>
              <w:top w:val="nil"/>
              <w:left w:val="nil"/>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数量指标</w:t>
            </w: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1、受理行政复议案件</w:t>
            </w:r>
          </w:p>
        </w:tc>
        <w:tc>
          <w:tcPr>
            <w:tcW w:w="1005" w:type="dxa"/>
            <w:gridSpan w:val="2"/>
            <w:tcBorders>
              <w:top w:val="nil"/>
              <w:left w:val="nil"/>
              <w:bottom w:val="single" w:color="auto" w:sz="4" w:space="0"/>
              <w:right w:val="single" w:color="auto" w:sz="4" w:space="0"/>
            </w:tcBorders>
            <w:vAlign w:val="center"/>
          </w:tcPr>
          <w:p>
            <w:pPr>
              <w:widowControl/>
              <w:spacing w:line="240" w:lineRule="exact"/>
              <w:ind w:left="206" w:hanging="206" w:hangingChars="100"/>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50件</w:t>
            </w:r>
          </w:p>
        </w:tc>
        <w:tc>
          <w:tcPr>
            <w:tcW w:w="1201"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ascii="Arial" w:hAnsi="Arial" w:cs="Arial"/>
                <w:color w:val="000000"/>
                <w:kern w:val="0"/>
                <w:sz w:val="21"/>
                <w:szCs w:val="21"/>
              </w:rPr>
              <w:t>≥</w:t>
            </w:r>
            <w:r>
              <w:rPr>
                <w:rFonts w:hint="eastAsia"/>
                <w:color w:val="000000"/>
                <w:kern w:val="0"/>
                <w:sz w:val="21"/>
                <w:szCs w:val="21"/>
              </w:rPr>
              <w:t>50件</w:t>
            </w:r>
          </w:p>
        </w:tc>
        <w:tc>
          <w:tcPr>
            <w:tcW w:w="812" w:type="dxa"/>
            <w:vMerge w:val="restart"/>
            <w:tcBorders>
              <w:top w:val="nil"/>
              <w:left w:val="nil"/>
              <w:right w:val="single" w:color="auto" w:sz="4" w:space="0"/>
            </w:tcBorders>
            <w:vAlign w:val="center"/>
          </w:tcPr>
          <w:p>
            <w:pPr>
              <w:widowControl/>
              <w:spacing w:line="240" w:lineRule="exact"/>
              <w:jc w:val="center"/>
              <w:rPr>
                <w:color w:val="000000"/>
                <w:kern w:val="0"/>
                <w:sz w:val="21"/>
                <w:szCs w:val="21"/>
              </w:rPr>
            </w:pPr>
          </w:p>
          <w:p>
            <w:pPr>
              <w:widowControl/>
              <w:spacing w:line="240" w:lineRule="exact"/>
              <w:jc w:val="center"/>
              <w:rPr>
                <w:color w:val="000000"/>
                <w:kern w:val="0"/>
                <w:sz w:val="21"/>
                <w:szCs w:val="21"/>
              </w:rPr>
            </w:pPr>
            <w:r>
              <w:rPr>
                <w:rFonts w:hint="eastAsia"/>
                <w:color w:val="000000"/>
                <w:kern w:val="0"/>
                <w:sz w:val="21"/>
                <w:szCs w:val="21"/>
              </w:rPr>
              <w:t>15</w:t>
            </w:r>
          </w:p>
          <w:p>
            <w:pPr>
              <w:widowControl/>
              <w:spacing w:line="240" w:lineRule="exact"/>
              <w:jc w:val="center"/>
              <w:rPr>
                <w:color w:val="000000"/>
                <w:kern w:val="0"/>
                <w:sz w:val="21"/>
                <w:szCs w:val="21"/>
              </w:rPr>
            </w:pPr>
          </w:p>
        </w:tc>
        <w:tc>
          <w:tcPr>
            <w:tcW w:w="889" w:type="dxa"/>
            <w:vMerge w:val="restart"/>
            <w:tcBorders>
              <w:top w:val="nil"/>
              <w:left w:val="nil"/>
              <w:right w:val="single" w:color="auto" w:sz="4" w:space="0"/>
            </w:tcBorders>
            <w:vAlign w:val="center"/>
          </w:tcPr>
          <w:p>
            <w:pPr>
              <w:widowControl/>
              <w:spacing w:line="240" w:lineRule="exact"/>
              <w:jc w:val="center"/>
              <w:rPr>
                <w:color w:val="000000"/>
                <w:kern w:val="0"/>
                <w:sz w:val="21"/>
                <w:szCs w:val="21"/>
              </w:rPr>
            </w:pPr>
          </w:p>
          <w:p>
            <w:pPr>
              <w:widowControl/>
              <w:spacing w:line="240" w:lineRule="exact"/>
              <w:jc w:val="center"/>
              <w:rPr>
                <w:color w:val="000000"/>
                <w:kern w:val="0"/>
                <w:sz w:val="21"/>
                <w:szCs w:val="21"/>
              </w:rPr>
            </w:pPr>
            <w:r>
              <w:rPr>
                <w:rFonts w:hint="eastAsia"/>
                <w:color w:val="000000"/>
                <w:kern w:val="0"/>
                <w:sz w:val="21"/>
                <w:szCs w:val="21"/>
              </w:rPr>
              <w:t>15</w:t>
            </w:r>
          </w:p>
          <w:p>
            <w:pPr>
              <w:widowControl/>
              <w:spacing w:line="240" w:lineRule="exact"/>
              <w:jc w:val="center"/>
              <w:rPr>
                <w:color w:val="000000"/>
                <w:kern w:val="0"/>
                <w:sz w:val="21"/>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continue"/>
            <w:tcBorders>
              <w:left w:val="nil"/>
              <w:right w:val="single" w:color="auto" w:sz="4" w:space="0"/>
            </w:tcBorders>
            <w:vAlign w:val="center"/>
          </w:tcPr>
          <w:p>
            <w:pPr>
              <w:spacing w:line="240" w:lineRule="exact"/>
              <w:jc w:val="center"/>
              <w:rPr>
                <w:color w:val="000000"/>
                <w:kern w:val="0"/>
                <w:sz w:val="21"/>
                <w:szCs w:val="21"/>
              </w:rPr>
            </w:pP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2.全年排查出矛盾纠纷</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ascii="Arial" w:hAnsi="Arial" w:cs="Arial"/>
                <w:color w:val="000000"/>
                <w:kern w:val="0"/>
                <w:sz w:val="21"/>
                <w:szCs w:val="21"/>
              </w:rPr>
              <w:t>≥</w:t>
            </w:r>
            <w:r>
              <w:rPr>
                <w:rFonts w:hint="eastAsia"/>
                <w:color w:val="000000"/>
                <w:kern w:val="0"/>
                <w:sz w:val="21"/>
                <w:szCs w:val="21"/>
              </w:rPr>
              <w:t>1600件</w:t>
            </w:r>
          </w:p>
        </w:tc>
        <w:tc>
          <w:tcPr>
            <w:tcW w:w="1201"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1631件</w:t>
            </w:r>
          </w:p>
        </w:tc>
        <w:tc>
          <w:tcPr>
            <w:tcW w:w="812" w:type="dxa"/>
            <w:vMerge w:val="continue"/>
            <w:tcBorders>
              <w:left w:val="nil"/>
              <w:right w:val="single" w:color="auto" w:sz="4" w:space="0"/>
            </w:tcBorders>
            <w:vAlign w:val="center"/>
          </w:tcPr>
          <w:p>
            <w:pPr>
              <w:widowControl/>
              <w:spacing w:line="240" w:lineRule="exact"/>
              <w:jc w:val="left"/>
              <w:rPr>
                <w:color w:val="000000"/>
                <w:kern w:val="0"/>
                <w:sz w:val="21"/>
                <w:szCs w:val="21"/>
              </w:rPr>
            </w:pPr>
          </w:p>
        </w:tc>
        <w:tc>
          <w:tcPr>
            <w:tcW w:w="889" w:type="dxa"/>
            <w:vMerge w:val="continue"/>
            <w:tcBorders>
              <w:left w:val="nil"/>
              <w:right w:val="single" w:color="auto" w:sz="4" w:space="0"/>
            </w:tcBorders>
            <w:vAlign w:val="center"/>
          </w:tcPr>
          <w:p>
            <w:pPr>
              <w:widowControl/>
              <w:spacing w:line="240" w:lineRule="exact"/>
              <w:jc w:val="left"/>
              <w:rPr>
                <w:color w:val="000000"/>
                <w:kern w:val="0"/>
                <w:sz w:val="21"/>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continue"/>
            <w:tcBorders>
              <w:left w:val="nil"/>
              <w:bottom w:val="single" w:color="auto" w:sz="4" w:space="0"/>
              <w:right w:val="single" w:color="auto" w:sz="4" w:space="0"/>
            </w:tcBorders>
            <w:vAlign w:val="center"/>
          </w:tcPr>
          <w:p>
            <w:pPr>
              <w:widowControl/>
              <w:spacing w:line="240" w:lineRule="exact"/>
              <w:jc w:val="center"/>
              <w:rPr>
                <w:color w:val="000000"/>
                <w:kern w:val="0"/>
                <w:sz w:val="21"/>
                <w:szCs w:val="21"/>
              </w:rPr>
            </w:pP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3.矛盾纠纷调处成功率</w:t>
            </w:r>
          </w:p>
        </w:tc>
        <w:tc>
          <w:tcPr>
            <w:tcW w:w="1005" w:type="dxa"/>
            <w:gridSpan w:val="2"/>
            <w:tcBorders>
              <w:top w:val="nil"/>
              <w:left w:val="nil"/>
              <w:bottom w:val="single" w:color="auto" w:sz="4" w:space="0"/>
              <w:right w:val="single" w:color="auto" w:sz="4" w:space="0"/>
            </w:tcBorders>
            <w:vAlign w:val="center"/>
          </w:tcPr>
          <w:p>
            <w:pPr>
              <w:widowControl/>
              <w:spacing w:line="240" w:lineRule="exact"/>
              <w:rPr>
                <w:color w:val="000000"/>
                <w:kern w:val="0"/>
                <w:sz w:val="21"/>
                <w:szCs w:val="21"/>
              </w:rPr>
            </w:pPr>
            <w:r>
              <w:rPr>
                <w:rFonts w:ascii="Arial" w:hAnsi="Arial" w:cs="Arial"/>
                <w:color w:val="000000"/>
                <w:kern w:val="0"/>
                <w:sz w:val="21"/>
                <w:szCs w:val="21"/>
              </w:rPr>
              <w:t>≥</w:t>
            </w:r>
            <w:r>
              <w:rPr>
                <w:rFonts w:hint="eastAsia"/>
                <w:color w:val="000000"/>
                <w:kern w:val="0"/>
                <w:sz w:val="21"/>
                <w:szCs w:val="21"/>
              </w:rPr>
              <w:t>98.00%</w:t>
            </w:r>
          </w:p>
        </w:tc>
        <w:tc>
          <w:tcPr>
            <w:tcW w:w="1201"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ascii="Arial" w:hAnsi="Arial" w:cs="Arial"/>
                <w:color w:val="000000"/>
                <w:kern w:val="0"/>
                <w:sz w:val="21"/>
                <w:szCs w:val="21"/>
              </w:rPr>
              <w:t>≥</w:t>
            </w:r>
            <w:r>
              <w:rPr>
                <w:rFonts w:hint="eastAsia" w:ascii="Arial" w:hAnsi="Arial" w:cs="Arial"/>
                <w:color w:val="000000"/>
                <w:kern w:val="0"/>
                <w:sz w:val="21"/>
                <w:szCs w:val="21"/>
              </w:rPr>
              <w:t>98.71%</w:t>
            </w:r>
          </w:p>
        </w:tc>
        <w:tc>
          <w:tcPr>
            <w:tcW w:w="812" w:type="dxa"/>
            <w:vMerge w:val="continue"/>
            <w:tcBorders>
              <w:left w:val="nil"/>
              <w:right w:val="single" w:color="auto" w:sz="4" w:space="0"/>
            </w:tcBorders>
            <w:vAlign w:val="center"/>
          </w:tcPr>
          <w:p>
            <w:pPr>
              <w:widowControl/>
              <w:spacing w:line="240" w:lineRule="exact"/>
              <w:jc w:val="left"/>
              <w:rPr>
                <w:color w:val="000000"/>
                <w:kern w:val="0"/>
                <w:sz w:val="21"/>
                <w:szCs w:val="21"/>
              </w:rPr>
            </w:pPr>
          </w:p>
        </w:tc>
        <w:tc>
          <w:tcPr>
            <w:tcW w:w="889" w:type="dxa"/>
            <w:vMerge w:val="continue"/>
            <w:tcBorders>
              <w:left w:val="nil"/>
              <w:right w:val="single" w:color="auto" w:sz="4" w:space="0"/>
            </w:tcBorders>
            <w:vAlign w:val="center"/>
          </w:tcPr>
          <w:p>
            <w:pPr>
              <w:widowControl/>
              <w:spacing w:line="240" w:lineRule="exact"/>
              <w:jc w:val="left"/>
              <w:rPr>
                <w:color w:val="000000"/>
                <w:kern w:val="0"/>
                <w:sz w:val="21"/>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r>
      <w:tr>
        <w:trPr>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continue"/>
            <w:tcBorders>
              <w:left w:val="nil"/>
              <w:bottom w:val="single" w:color="auto" w:sz="4" w:space="0"/>
              <w:right w:val="single" w:color="auto" w:sz="4" w:space="0"/>
            </w:tcBorders>
            <w:vAlign w:val="center"/>
          </w:tcPr>
          <w:p>
            <w:pPr>
              <w:widowControl/>
              <w:spacing w:line="240" w:lineRule="exact"/>
              <w:jc w:val="center"/>
              <w:rPr>
                <w:color w:val="000000"/>
                <w:kern w:val="0"/>
                <w:sz w:val="21"/>
                <w:szCs w:val="21"/>
              </w:rPr>
            </w:pP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4.矫正对象技能培训合格人数</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30人</w:t>
            </w:r>
          </w:p>
        </w:tc>
        <w:tc>
          <w:tcPr>
            <w:tcW w:w="1201"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ascii="Arial" w:hAnsi="Arial" w:cs="Arial"/>
                <w:color w:val="000000"/>
                <w:kern w:val="0"/>
                <w:sz w:val="21"/>
                <w:szCs w:val="21"/>
              </w:rPr>
              <w:t>≥</w:t>
            </w:r>
            <w:r>
              <w:rPr>
                <w:rFonts w:hint="eastAsia"/>
                <w:color w:val="000000"/>
                <w:kern w:val="0"/>
                <w:sz w:val="21"/>
                <w:szCs w:val="21"/>
              </w:rPr>
              <w:t>35人</w:t>
            </w:r>
          </w:p>
        </w:tc>
        <w:tc>
          <w:tcPr>
            <w:tcW w:w="812" w:type="dxa"/>
            <w:vMerge w:val="continue"/>
            <w:tcBorders>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c>
          <w:tcPr>
            <w:tcW w:w="889" w:type="dxa"/>
            <w:vMerge w:val="continue"/>
            <w:tcBorders>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restart"/>
            <w:tcBorders>
              <w:top w:val="nil"/>
              <w:left w:val="nil"/>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质量指标</w:t>
            </w: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1.受理案件完成率</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100%</w:t>
            </w:r>
          </w:p>
        </w:tc>
        <w:tc>
          <w:tcPr>
            <w:tcW w:w="1201"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达标</w:t>
            </w:r>
          </w:p>
        </w:tc>
        <w:tc>
          <w:tcPr>
            <w:tcW w:w="812" w:type="dxa"/>
            <w:vMerge w:val="restart"/>
            <w:tcBorders>
              <w:top w:val="nil"/>
              <w:left w:val="nil"/>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15</w:t>
            </w:r>
          </w:p>
          <w:p>
            <w:pPr>
              <w:widowControl/>
              <w:spacing w:line="240" w:lineRule="exact"/>
              <w:jc w:val="left"/>
              <w:rPr>
                <w:color w:val="000000"/>
                <w:kern w:val="0"/>
                <w:sz w:val="21"/>
                <w:szCs w:val="21"/>
              </w:rPr>
            </w:pPr>
            <w:r>
              <w:rPr>
                <w:color w:val="000000"/>
                <w:kern w:val="0"/>
                <w:sz w:val="21"/>
                <w:szCs w:val="21"/>
              </w:rPr>
              <w:t>　</w:t>
            </w:r>
          </w:p>
        </w:tc>
        <w:tc>
          <w:tcPr>
            <w:tcW w:w="889" w:type="dxa"/>
            <w:vMerge w:val="restart"/>
            <w:tcBorders>
              <w:top w:val="nil"/>
              <w:left w:val="nil"/>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15</w:t>
            </w:r>
          </w:p>
          <w:p>
            <w:pPr>
              <w:widowControl/>
              <w:spacing w:line="240" w:lineRule="exact"/>
              <w:jc w:val="left"/>
              <w:rPr>
                <w:color w:val="000000"/>
                <w:kern w:val="0"/>
                <w:sz w:val="21"/>
                <w:szCs w:val="21"/>
              </w:rPr>
            </w:pPr>
            <w:r>
              <w:rPr>
                <w:color w:val="000000"/>
                <w:kern w:val="0"/>
                <w:sz w:val="21"/>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continue"/>
            <w:tcBorders>
              <w:left w:val="nil"/>
              <w:right w:val="single" w:color="auto" w:sz="4" w:space="0"/>
            </w:tcBorders>
            <w:vAlign w:val="center"/>
          </w:tcPr>
          <w:p>
            <w:pPr>
              <w:spacing w:line="240" w:lineRule="exact"/>
              <w:jc w:val="center"/>
              <w:rPr>
                <w:color w:val="000000"/>
                <w:kern w:val="0"/>
                <w:sz w:val="21"/>
                <w:szCs w:val="21"/>
              </w:rPr>
            </w:pP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2.开展矛盾纠纷排查率</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98%</w:t>
            </w:r>
          </w:p>
        </w:tc>
        <w:tc>
          <w:tcPr>
            <w:tcW w:w="1201"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达标</w:t>
            </w:r>
          </w:p>
        </w:tc>
        <w:tc>
          <w:tcPr>
            <w:tcW w:w="812" w:type="dxa"/>
            <w:vMerge w:val="continue"/>
            <w:tcBorders>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c>
          <w:tcPr>
            <w:tcW w:w="889" w:type="dxa"/>
            <w:vMerge w:val="continue"/>
            <w:tcBorders>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restart"/>
            <w:tcBorders>
              <w:top w:val="nil"/>
              <w:left w:val="nil"/>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时效指标</w:t>
            </w: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1.部门预算及三公经费公开时间及平台</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达标</w:t>
            </w:r>
          </w:p>
        </w:tc>
        <w:tc>
          <w:tcPr>
            <w:tcW w:w="1201"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达标</w:t>
            </w:r>
          </w:p>
        </w:tc>
        <w:tc>
          <w:tcPr>
            <w:tcW w:w="812" w:type="dxa"/>
            <w:vMerge w:val="restart"/>
            <w:tcBorders>
              <w:top w:val="nil"/>
              <w:left w:val="nil"/>
              <w:right w:val="single" w:color="auto" w:sz="4" w:space="0"/>
            </w:tcBorders>
            <w:vAlign w:val="center"/>
          </w:tcPr>
          <w:p>
            <w:pPr>
              <w:widowControl/>
              <w:spacing w:line="240" w:lineRule="exact"/>
              <w:jc w:val="center"/>
              <w:rPr>
                <w:color w:val="000000"/>
                <w:kern w:val="0"/>
                <w:sz w:val="21"/>
                <w:szCs w:val="21"/>
              </w:rPr>
            </w:pPr>
          </w:p>
          <w:p>
            <w:pPr>
              <w:widowControl/>
              <w:spacing w:line="240" w:lineRule="exact"/>
              <w:jc w:val="center"/>
              <w:rPr>
                <w:color w:val="000000"/>
                <w:kern w:val="0"/>
                <w:sz w:val="21"/>
                <w:szCs w:val="21"/>
              </w:rPr>
            </w:pPr>
            <w:r>
              <w:rPr>
                <w:rFonts w:hint="eastAsia"/>
                <w:color w:val="000000"/>
                <w:kern w:val="0"/>
                <w:sz w:val="21"/>
                <w:szCs w:val="21"/>
              </w:rPr>
              <w:t>10</w:t>
            </w:r>
          </w:p>
        </w:tc>
        <w:tc>
          <w:tcPr>
            <w:tcW w:w="889" w:type="dxa"/>
            <w:vMerge w:val="restart"/>
            <w:tcBorders>
              <w:top w:val="nil"/>
              <w:left w:val="nil"/>
              <w:right w:val="single" w:color="auto" w:sz="4" w:space="0"/>
            </w:tcBorders>
            <w:vAlign w:val="center"/>
          </w:tcPr>
          <w:p>
            <w:pPr>
              <w:widowControl/>
              <w:spacing w:line="240" w:lineRule="exact"/>
              <w:jc w:val="center"/>
              <w:rPr>
                <w:color w:val="000000"/>
                <w:kern w:val="0"/>
                <w:sz w:val="21"/>
                <w:szCs w:val="21"/>
              </w:rPr>
            </w:pPr>
          </w:p>
          <w:p>
            <w:pPr>
              <w:widowControl/>
              <w:spacing w:line="240" w:lineRule="exact"/>
              <w:jc w:val="center"/>
              <w:rPr>
                <w:color w:val="000000"/>
                <w:kern w:val="0"/>
                <w:sz w:val="21"/>
                <w:szCs w:val="21"/>
              </w:rPr>
            </w:pPr>
            <w:r>
              <w:rPr>
                <w:rFonts w:hint="eastAsia"/>
                <w:color w:val="000000"/>
                <w:kern w:val="0"/>
                <w:sz w:val="21"/>
                <w:szCs w:val="21"/>
              </w:rPr>
              <w:t>10</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continue"/>
            <w:tcBorders>
              <w:left w:val="nil"/>
              <w:right w:val="single" w:color="auto" w:sz="4" w:space="0"/>
            </w:tcBorders>
            <w:vAlign w:val="center"/>
          </w:tcPr>
          <w:p>
            <w:pPr>
              <w:spacing w:line="240" w:lineRule="exact"/>
              <w:jc w:val="center"/>
              <w:rPr>
                <w:color w:val="000000"/>
                <w:kern w:val="0"/>
                <w:sz w:val="21"/>
                <w:szCs w:val="21"/>
              </w:rPr>
            </w:pP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2.开展社区矫正、保密知识等讲坐</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10场</w:t>
            </w:r>
          </w:p>
        </w:tc>
        <w:tc>
          <w:tcPr>
            <w:tcW w:w="1201"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10场</w:t>
            </w:r>
          </w:p>
        </w:tc>
        <w:tc>
          <w:tcPr>
            <w:tcW w:w="812" w:type="dxa"/>
            <w:vMerge w:val="continue"/>
            <w:tcBorders>
              <w:left w:val="nil"/>
              <w:bottom w:val="single" w:color="auto" w:sz="4" w:space="0"/>
              <w:right w:val="single" w:color="auto" w:sz="4" w:space="0"/>
            </w:tcBorders>
            <w:vAlign w:val="center"/>
          </w:tcPr>
          <w:p>
            <w:pPr>
              <w:widowControl/>
              <w:spacing w:line="240" w:lineRule="exact"/>
              <w:jc w:val="center"/>
              <w:rPr>
                <w:color w:val="000000"/>
                <w:kern w:val="0"/>
                <w:sz w:val="21"/>
                <w:szCs w:val="21"/>
              </w:rPr>
            </w:pPr>
          </w:p>
        </w:tc>
        <w:tc>
          <w:tcPr>
            <w:tcW w:w="889" w:type="dxa"/>
            <w:vMerge w:val="continue"/>
            <w:tcBorders>
              <w:left w:val="nil"/>
              <w:bottom w:val="single" w:color="auto" w:sz="4" w:space="0"/>
              <w:right w:val="single" w:color="auto" w:sz="4" w:space="0"/>
            </w:tcBorders>
            <w:vAlign w:val="center"/>
          </w:tcPr>
          <w:p>
            <w:pPr>
              <w:widowControl/>
              <w:spacing w:line="240" w:lineRule="exact"/>
              <w:jc w:val="center"/>
              <w:rPr>
                <w:color w:val="000000"/>
                <w:kern w:val="0"/>
                <w:sz w:val="21"/>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523" w:hRule="atLeast"/>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restart"/>
            <w:tcBorders>
              <w:top w:val="nil"/>
              <w:left w:val="nil"/>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成本指标</w:t>
            </w: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1.项目成本控制</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达标</w:t>
            </w:r>
          </w:p>
        </w:tc>
        <w:tc>
          <w:tcPr>
            <w:tcW w:w="1201"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达标</w:t>
            </w:r>
          </w:p>
        </w:tc>
        <w:tc>
          <w:tcPr>
            <w:tcW w:w="812" w:type="dxa"/>
            <w:vMerge w:val="restart"/>
            <w:tcBorders>
              <w:top w:val="nil"/>
              <w:left w:val="nil"/>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10</w:t>
            </w:r>
          </w:p>
          <w:p>
            <w:pPr>
              <w:widowControl/>
              <w:spacing w:line="240" w:lineRule="exact"/>
              <w:jc w:val="center"/>
              <w:rPr>
                <w:color w:val="000000"/>
                <w:kern w:val="0"/>
                <w:sz w:val="21"/>
                <w:szCs w:val="21"/>
              </w:rPr>
            </w:pPr>
          </w:p>
        </w:tc>
        <w:tc>
          <w:tcPr>
            <w:tcW w:w="889" w:type="dxa"/>
            <w:vMerge w:val="restart"/>
            <w:tcBorders>
              <w:top w:val="nil"/>
              <w:left w:val="nil"/>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10</w:t>
            </w:r>
          </w:p>
          <w:p>
            <w:pPr>
              <w:widowControl/>
              <w:spacing w:line="240" w:lineRule="exact"/>
              <w:jc w:val="center"/>
              <w:rPr>
                <w:color w:val="000000"/>
                <w:kern w:val="0"/>
                <w:sz w:val="21"/>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445" w:hRule="atLeast"/>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2.成本控制率</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98%</w:t>
            </w:r>
          </w:p>
        </w:tc>
        <w:tc>
          <w:tcPr>
            <w:tcW w:w="1201"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98%</w:t>
            </w:r>
          </w:p>
        </w:tc>
        <w:tc>
          <w:tcPr>
            <w:tcW w:w="812" w:type="dxa"/>
            <w:vMerge w:val="continue"/>
            <w:tcBorders>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c>
          <w:tcPr>
            <w:tcW w:w="889" w:type="dxa"/>
            <w:vMerge w:val="continue"/>
            <w:tcBorders>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370" w:hRule="atLeast"/>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restart"/>
            <w:tcBorders>
              <w:top w:val="nil"/>
              <w:left w:val="nil"/>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效益指标</w:t>
            </w:r>
          </w:p>
          <w:p>
            <w:pPr>
              <w:widowControl/>
              <w:spacing w:line="240" w:lineRule="exact"/>
              <w:jc w:val="left"/>
              <w:rPr>
                <w:color w:val="000000"/>
                <w:kern w:val="0"/>
                <w:sz w:val="21"/>
                <w:szCs w:val="21"/>
              </w:rPr>
            </w:pPr>
          </w:p>
          <w:p>
            <w:pPr>
              <w:widowControl/>
              <w:spacing w:line="240" w:lineRule="exact"/>
              <w:jc w:val="left"/>
              <w:rPr>
                <w:color w:val="000000"/>
                <w:kern w:val="0"/>
                <w:sz w:val="21"/>
                <w:szCs w:val="21"/>
              </w:rPr>
            </w:pPr>
            <w:r>
              <w:rPr>
                <w:color w:val="000000"/>
                <w:kern w:val="0"/>
                <w:sz w:val="21"/>
                <w:szCs w:val="21"/>
              </w:rPr>
              <w:t>（</w:t>
            </w:r>
            <w:r>
              <w:rPr>
                <w:rFonts w:hint="eastAsia"/>
                <w:color w:val="000000"/>
                <w:kern w:val="0"/>
                <w:sz w:val="21"/>
                <w:szCs w:val="21"/>
              </w:rPr>
              <w:t>4</w:t>
            </w:r>
            <w:r>
              <w:rPr>
                <w:color w:val="000000"/>
                <w:kern w:val="0"/>
                <w:sz w:val="21"/>
                <w:szCs w:val="21"/>
              </w:rPr>
              <w:t>0分）</w:t>
            </w:r>
          </w:p>
          <w:p>
            <w:pPr>
              <w:widowControl/>
              <w:spacing w:line="240" w:lineRule="exact"/>
              <w:jc w:val="left"/>
              <w:rPr>
                <w:color w:val="000000"/>
                <w:kern w:val="0"/>
                <w:sz w:val="21"/>
                <w:szCs w:val="21"/>
              </w:rPr>
            </w:pPr>
            <w:r>
              <w:rPr>
                <w:color w:val="000000"/>
                <w:kern w:val="0"/>
                <w:sz w:val="21"/>
                <w:szCs w:val="21"/>
              </w:rPr>
              <w:t>　</w:t>
            </w:r>
          </w:p>
          <w:p>
            <w:pPr>
              <w:widowControl/>
              <w:spacing w:line="240" w:lineRule="exact"/>
              <w:jc w:val="center"/>
              <w:rPr>
                <w:color w:val="000000"/>
                <w:kern w:val="0"/>
                <w:sz w:val="21"/>
                <w:szCs w:val="21"/>
              </w:rPr>
            </w:pPr>
          </w:p>
        </w:tc>
        <w:tc>
          <w:tcPr>
            <w:tcW w:w="1179"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经济效</w:t>
            </w:r>
          </w:p>
          <w:p>
            <w:pPr>
              <w:widowControl/>
              <w:spacing w:line="240" w:lineRule="exact"/>
              <w:jc w:val="center"/>
              <w:rPr>
                <w:color w:val="000000"/>
                <w:kern w:val="0"/>
                <w:sz w:val="21"/>
                <w:szCs w:val="21"/>
              </w:rPr>
            </w:pPr>
            <w:r>
              <w:rPr>
                <w:rFonts w:hint="eastAsia"/>
                <w:color w:val="000000"/>
                <w:kern w:val="0"/>
                <w:sz w:val="21"/>
                <w:szCs w:val="21"/>
              </w:rPr>
              <w:t>益指标</w:t>
            </w: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1、降低犯罪率</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95%</w:t>
            </w:r>
          </w:p>
        </w:tc>
        <w:tc>
          <w:tcPr>
            <w:tcW w:w="1201"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95%</w:t>
            </w: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社会效</w:t>
            </w:r>
          </w:p>
          <w:p>
            <w:pPr>
              <w:widowControl/>
              <w:spacing w:line="240" w:lineRule="exact"/>
              <w:jc w:val="center"/>
              <w:rPr>
                <w:color w:val="000000"/>
                <w:kern w:val="0"/>
                <w:sz w:val="21"/>
                <w:szCs w:val="21"/>
              </w:rPr>
            </w:pPr>
            <w:r>
              <w:rPr>
                <w:color w:val="000000"/>
                <w:kern w:val="0"/>
                <w:sz w:val="21"/>
                <w:szCs w:val="21"/>
              </w:rPr>
              <w:t>益指标</w:t>
            </w: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1.及时受理、审查、指派法律援助案件率</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99%</w:t>
            </w:r>
          </w:p>
        </w:tc>
        <w:tc>
          <w:tcPr>
            <w:tcW w:w="1201"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99%</w:t>
            </w:r>
          </w:p>
        </w:tc>
        <w:tc>
          <w:tcPr>
            <w:tcW w:w="8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10</w:t>
            </w:r>
          </w:p>
        </w:tc>
        <w:tc>
          <w:tcPr>
            <w:tcW w:w="889"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10</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kern w:val="0"/>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2.化解矛盾、维护社会稳定</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olor w:val="000000"/>
                <w:kern w:val="0"/>
                <w:sz w:val="21"/>
                <w:szCs w:val="21"/>
              </w:rPr>
            </w:pPr>
            <w:r>
              <w:rPr>
                <w:color w:val="000000"/>
                <w:kern w:val="0"/>
                <w:sz w:val="21"/>
                <w:szCs w:val="21"/>
              </w:rPr>
              <w:t>　</w:t>
            </w:r>
            <w:r>
              <w:rPr>
                <w:rFonts w:hint="eastAsia"/>
                <w:color w:val="000000"/>
                <w:kern w:val="0"/>
                <w:sz w:val="21"/>
                <w:szCs w:val="21"/>
              </w:rPr>
              <w:t>提升</w:t>
            </w:r>
          </w:p>
        </w:tc>
        <w:tc>
          <w:tcPr>
            <w:tcW w:w="1201"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提升</w:t>
            </w: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21"/>
                <w:szCs w:val="21"/>
              </w:rPr>
            </w:pPr>
          </w:p>
        </w:tc>
        <w:tc>
          <w:tcPr>
            <w:tcW w:w="889"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468" w:hRule="atLeast"/>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生态效</w:t>
            </w:r>
          </w:p>
          <w:p>
            <w:pPr>
              <w:widowControl/>
              <w:spacing w:line="240" w:lineRule="exact"/>
              <w:jc w:val="center"/>
              <w:rPr>
                <w:color w:val="000000"/>
                <w:kern w:val="0"/>
                <w:sz w:val="21"/>
                <w:szCs w:val="21"/>
              </w:rPr>
            </w:pPr>
            <w:r>
              <w:rPr>
                <w:color w:val="000000"/>
                <w:kern w:val="0"/>
                <w:sz w:val="21"/>
                <w:szCs w:val="21"/>
              </w:rPr>
              <w:t>益指标</w:t>
            </w:r>
          </w:p>
        </w:tc>
        <w:tc>
          <w:tcPr>
            <w:tcW w:w="139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color w:val="000000"/>
                <w:kern w:val="0"/>
                <w:sz w:val="21"/>
                <w:szCs w:val="21"/>
              </w:rPr>
            </w:pPr>
            <w:r>
              <w:rPr>
                <w:rFonts w:hint="eastAsia"/>
                <w:color w:val="000000"/>
                <w:kern w:val="0"/>
                <w:sz w:val="21"/>
                <w:szCs w:val="21"/>
              </w:rPr>
              <w:t>1.生态环境</w:t>
            </w:r>
          </w:p>
        </w:tc>
        <w:tc>
          <w:tcPr>
            <w:tcW w:w="10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改善</w:t>
            </w:r>
          </w:p>
        </w:tc>
        <w:tc>
          <w:tcPr>
            <w:tcW w:w="1201"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改善</w:t>
            </w:r>
          </w:p>
        </w:tc>
        <w:tc>
          <w:tcPr>
            <w:tcW w:w="812" w:type="dxa"/>
            <w:vMerge w:val="restart"/>
            <w:tcBorders>
              <w:top w:val="single" w:color="auto" w:sz="4" w:space="0"/>
              <w:left w:val="nil"/>
              <w:right w:val="single" w:color="auto" w:sz="4" w:space="0"/>
            </w:tcBorders>
            <w:vAlign w:val="center"/>
          </w:tcPr>
          <w:p>
            <w:pPr>
              <w:widowControl/>
              <w:spacing w:line="240" w:lineRule="exact"/>
              <w:jc w:val="center"/>
              <w:rPr>
                <w:rFonts w:hint="eastAsia"/>
                <w:color w:val="000000"/>
                <w:kern w:val="0"/>
                <w:sz w:val="21"/>
                <w:szCs w:val="21"/>
              </w:rPr>
            </w:pPr>
            <w:r>
              <w:rPr>
                <w:rFonts w:hint="eastAsia"/>
                <w:color w:val="000000"/>
                <w:kern w:val="0"/>
                <w:sz w:val="21"/>
                <w:szCs w:val="21"/>
              </w:rPr>
              <w:t>5</w:t>
            </w:r>
          </w:p>
          <w:p>
            <w:pPr>
              <w:widowControl/>
              <w:spacing w:line="240" w:lineRule="exact"/>
              <w:jc w:val="center"/>
              <w:rPr>
                <w:color w:val="000000"/>
                <w:kern w:val="0"/>
                <w:sz w:val="21"/>
                <w:szCs w:val="21"/>
              </w:rPr>
            </w:pPr>
          </w:p>
        </w:tc>
        <w:tc>
          <w:tcPr>
            <w:tcW w:w="889" w:type="dxa"/>
            <w:vMerge w:val="restart"/>
            <w:tcBorders>
              <w:top w:val="single" w:color="auto" w:sz="4" w:space="0"/>
              <w:left w:val="nil"/>
              <w:right w:val="single" w:color="auto" w:sz="4" w:space="0"/>
            </w:tcBorders>
            <w:vAlign w:val="center"/>
          </w:tcPr>
          <w:p>
            <w:pPr>
              <w:widowControl/>
              <w:spacing w:line="240" w:lineRule="exact"/>
              <w:jc w:val="center"/>
              <w:rPr>
                <w:rFonts w:hint="eastAsia"/>
                <w:color w:val="000000"/>
                <w:kern w:val="0"/>
                <w:sz w:val="21"/>
                <w:szCs w:val="21"/>
              </w:rPr>
            </w:pPr>
            <w:r>
              <w:rPr>
                <w:rFonts w:hint="eastAsia"/>
                <w:color w:val="000000"/>
                <w:kern w:val="0"/>
                <w:sz w:val="21"/>
                <w:szCs w:val="21"/>
              </w:rPr>
              <w:t>5</w:t>
            </w:r>
          </w:p>
          <w:p>
            <w:pPr>
              <w:widowControl/>
              <w:spacing w:line="240" w:lineRule="exact"/>
              <w:jc w:val="center"/>
              <w:rPr>
                <w:color w:val="000000"/>
                <w:kern w:val="0"/>
                <w:sz w:val="21"/>
                <w:szCs w:val="21"/>
              </w:rPr>
            </w:pP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235" w:hRule="atLeast"/>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color w:val="000000"/>
                <w:kern w:val="0"/>
                <w:sz w:val="21"/>
                <w:szCs w:val="21"/>
              </w:rPr>
            </w:pPr>
          </w:p>
        </w:tc>
        <w:tc>
          <w:tcPr>
            <w:tcW w:w="1395"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2.水电能源节约率</w:t>
            </w:r>
          </w:p>
        </w:tc>
        <w:tc>
          <w:tcPr>
            <w:tcW w:w="10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ascii="Arial" w:hAnsi="Arial" w:cs="Arial"/>
                <w:color w:val="000000"/>
                <w:kern w:val="0"/>
                <w:sz w:val="21"/>
                <w:szCs w:val="21"/>
              </w:rPr>
              <w:t>≥</w:t>
            </w:r>
            <w:r>
              <w:rPr>
                <w:rFonts w:hint="eastAsia"/>
                <w:color w:val="000000"/>
                <w:kern w:val="0"/>
                <w:sz w:val="21"/>
                <w:szCs w:val="21"/>
              </w:rPr>
              <w:t>98%</w:t>
            </w:r>
          </w:p>
        </w:tc>
        <w:tc>
          <w:tcPr>
            <w:tcW w:w="1201" w:type="dxa"/>
            <w:tcBorders>
              <w:top w:val="single" w:color="auto" w:sz="4" w:space="0"/>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ascii="Arial" w:hAnsi="Arial" w:cs="Arial"/>
                <w:color w:val="000000"/>
                <w:kern w:val="0"/>
                <w:sz w:val="21"/>
                <w:szCs w:val="21"/>
              </w:rPr>
              <w:t>≥</w:t>
            </w:r>
            <w:r>
              <w:rPr>
                <w:rFonts w:hint="eastAsia"/>
                <w:color w:val="000000"/>
                <w:kern w:val="0"/>
                <w:sz w:val="21"/>
                <w:szCs w:val="21"/>
              </w:rPr>
              <w:t>99%</w:t>
            </w:r>
          </w:p>
        </w:tc>
        <w:tc>
          <w:tcPr>
            <w:tcW w:w="812" w:type="dxa"/>
            <w:vMerge w:val="continue"/>
            <w:tcBorders>
              <w:left w:val="nil"/>
              <w:bottom w:val="single" w:color="auto" w:sz="4" w:space="0"/>
              <w:right w:val="single" w:color="auto" w:sz="4" w:space="0"/>
            </w:tcBorders>
            <w:vAlign w:val="center"/>
          </w:tcPr>
          <w:p>
            <w:pPr>
              <w:widowControl/>
              <w:spacing w:line="240" w:lineRule="exact"/>
              <w:jc w:val="center"/>
              <w:rPr>
                <w:color w:val="000000"/>
                <w:kern w:val="0"/>
                <w:sz w:val="21"/>
                <w:szCs w:val="21"/>
              </w:rPr>
            </w:pPr>
          </w:p>
        </w:tc>
        <w:tc>
          <w:tcPr>
            <w:tcW w:w="889" w:type="dxa"/>
            <w:vMerge w:val="continue"/>
            <w:tcBorders>
              <w:left w:val="nil"/>
              <w:bottom w:val="single" w:color="auto" w:sz="4" w:space="0"/>
              <w:right w:val="single" w:color="auto" w:sz="4" w:space="0"/>
            </w:tcBorders>
            <w:vAlign w:val="center"/>
          </w:tcPr>
          <w:p>
            <w:pPr>
              <w:widowControl/>
              <w:spacing w:line="240" w:lineRule="exact"/>
              <w:jc w:val="center"/>
              <w:rPr>
                <w:color w:val="000000"/>
                <w:kern w:val="0"/>
                <w:sz w:val="21"/>
                <w:szCs w:val="21"/>
              </w:rPr>
            </w:pP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r>
      <w:tr>
        <w:trPr>
          <w:trHeight w:val="480"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center"/>
              <w:rPr>
                <w:color w:val="000000"/>
                <w:kern w:val="0"/>
                <w:sz w:val="21"/>
                <w:szCs w:val="21"/>
              </w:rPr>
            </w:pPr>
          </w:p>
        </w:tc>
        <w:tc>
          <w:tcPr>
            <w:tcW w:w="1080" w:type="dxa"/>
            <w:vMerge w:val="continue"/>
            <w:tcBorders>
              <w:left w:val="nil"/>
              <w:right w:val="single" w:color="auto" w:sz="4" w:space="0"/>
            </w:tcBorders>
            <w:vAlign w:val="center"/>
          </w:tcPr>
          <w:p>
            <w:pPr>
              <w:widowControl/>
              <w:spacing w:line="240" w:lineRule="exact"/>
              <w:jc w:val="left"/>
              <w:rPr>
                <w:color w:val="000000"/>
                <w:kern w:val="0"/>
                <w:sz w:val="21"/>
                <w:szCs w:val="21"/>
              </w:rPr>
            </w:pPr>
          </w:p>
        </w:tc>
        <w:tc>
          <w:tcPr>
            <w:tcW w:w="11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可持续影响指标</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1.维护当事人合法权益、维护法律正确实施率</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97%</w:t>
            </w:r>
          </w:p>
        </w:tc>
        <w:tc>
          <w:tcPr>
            <w:tcW w:w="12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98%</w:t>
            </w:r>
          </w:p>
        </w:tc>
        <w:tc>
          <w:tcPr>
            <w:tcW w:w="812" w:type="dxa"/>
            <w:vMerge w:val="restart"/>
            <w:tcBorders>
              <w:top w:val="single" w:color="auto" w:sz="4" w:space="0"/>
              <w:left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15</w:t>
            </w:r>
          </w:p>
        </w:tc>
        <w:tc>
          <w:tcPr>
            <w:tcW w:w="889" w:type="dxa"/>
            <w:vMerge w:val="restart"/>
            <w:tcBorders>
              <w:top w:val="single" w:color="auto" w:sz="4" w:space="0"/>
              <w:left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15</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rPr>
          <w:trHeight w:val="1106"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center"/>
              <w:rPr>
                <w:color w:val="000000"/>
                <w:kern w:val="0"/>
                <w:sz w:val="21"/>
                <w:szCs w:val="21"/>
              </w:rPr>
            </w:pPr>
          </w:p>
        </w:tc>
        <w:tc>
          <w:tcPr>
            <w:tcW w:w="1080" w:type="dxa"/>
            <w:vMerge w:val="continue"/>
            <w:tcBorders>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olor w:val="000000"/>
                <w:kern w:val="0"/>
                <w:sz w:val="21"/>
                <w:szCs w:val="21"/>
              </w:rPr>
            </w:pPr>
            <w:r>
              <w:rPr>
                <w:rFonts w:hint="eastAsia"/>
                <w:color w:val="000000"/>
                <w:kern w:val="0"/>
                <w:sz w:val="21"/>
                <w:szCs w:val="21"/>
              </w:rPr>
              <w:t>2.管理社矫对象到位率</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100%</w:t>
            </w:r>
          </w:p>
        </w:tc>
        <w:tc>
          <w:tcPr>
            <w:tcW w:w="12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100%</w:t>
            </w:r>
          </w:p>
        </w:tc>
        <w:tc>
          <w:tcPr>
            <w:tcW w:w="81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color w:val="000000"/>
                <w:kern w:val="0"/>
                <w:sz w:val="21"/>
                <w:szCs w:val="21"/>
              </w:rPr>
            </w:pPr>
          </w:p>
        </w:tc>
        <w:tc>
          <w:tcPr>
            <w:tcW w:w="88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color w:val="000000"/>
                <w:kern w:val="0"/>
                <w:sz w:val="21"/>
                <w:szCs w:val="21"/>
              </w:rPr>
            </w:pP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21"/>
                <w:szCs w:val="21"/>
              </w:rPr>
            </w:pP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tcBorders>
              <w:top w:val="single" w:color="auto" w:sz="4" w:space="0"/>
              <w:left w:val="nil"/>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满意度指标（10分）</w:t>
            </w:r>
          </w:p>
        </w:tc>
        <w:tc>
          <w:tcPr>
            <w:tcW w:w="1179" w:type="dxa"/>
            <w:tcBorders>
              <w:top w:val="single" w:color="auto" w:sz="4" w:space="0"/>
              <w:left w:val="nil"/>
              <w:right w:val="single" w:color="auto" w:sz="4" w:space="0"/>
            </w:tcBorders>
            <w:vAlign w:val="center"/>
          </w:tcPr>
          <w:p>
            <w:pPr>
              <w:widowControl/>
              <w:spacing w:line="240" w:lineRule="exact"/>
              <w:jc w:val="center"/>
              <w:rPr>
                <w:color w:val="000000"/>
                <w:kern w:val="0"/>
                <w:sz w:val="21"/>
                <w:szCs w:val="21"/>
              </w:rPr>
            </w:pPr>
          </w:p>
          <w:p>
            <w:pPr>
              <w:widowControl/>
              <w:spacing w:line="240" w:lineRule="exact"/>
              <w:jc w:val="center"/>
              <w:rPr>
                <w:color w:val="000000"/>
                <w:kern w:val="0"/>
                <w:sz w:val="21"/>
                <w:szCs w:val="21"/>
              </w:rPr>
            </w:pPr>
            <w:r>
              <w:rPr>
                <w:color w:val="000000"/>
                <w:kern w:val="0"/>
                <w:sz w:val="21"/>
                <w:szCs w:val="21"/>
              </w:rPr>
              <w:t>服务对象满意度指标</w:t>
            </w: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1.法律援助工作满意率</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98%</w:t>
            </w:r>
          </w:p>
        </w:tc>
        <w:tc>
          <w:tcPr>
            <w:tcW w:w="1201"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98%</w:t>
            </w:r>
          </w:p>
        </w:tc>
        <w:tc>
          <w:tcPr>
            <w:tcW w:w="81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889"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tcBorders>
              <w:top w:val="single" w:color="auto" w:sz="4" w:space="0"/>
              <w:left w:val="nil"/>
              <w:right w:val="single" w:color="auto" w:sz="4" w:space="0"/>
            </w:tcBorders>
            <w:vAlign w:val="center"/>
          </w:tcPr>
          <w:p>
            <w:pPr>
              <w:widowControl/>
              <w:spacing w:line="240" w:lineRule="exact"/>
              <w:jc w:val="center"/>
              <w:rPr>
                <w:rFonts w:hint="eastAsia"/>
                <w:color w:val="000000"/>
                <w:kern w:val="0"/>
                <w:sz w:val="21"/>
                <w:szCs w:val="21"/>
              </w:rPr>
            </w:pPr>
          </w:p>
        </w:tc>
        <w:tc>
          <w:tcPr>
            <w:tcW w:w="1179" w:type="dxa"/>
            <w:tcBorders>
              <w:top w:val="single" w:color="auto" w:sz="4" w:space="0"/>
              <w:left w:val="nil"/>
              <w:right w:val="single" w:color="auto" w:sz="4" w:space="0"/>
            </w:tcBorders>
            <w:vAlign w:val="center"/>
          </w:tcPr>
          <w:p>
            <w:pPr>
              <w:widowControl/>
              <w:spacing w:line="240" w:lineRule="exact"/>
              <w:jc w:val="center"/>
              <w:rPr>
                <w:color w:val="000000"/>
                <w:kern w:val="0"/>
                <w:sz w:val="21"/>
                <w:szCs w:val="21"/>
              </w:rPr>
            </w:pPr>
          </w:p>
        </w:tc>
        <w:tc>
          <w:tcPr>
            <w:tcW w:w="1395" w:type="dxa"/>
            <w:tcBorders>
              <w:top w:val="nil"/>
              <w:left w:val="nil"/>
              <w:bottom w:val="single" w:color="auto" w:sz="4" w:space="0"/>
              <w:right w:val="single" w:color="auto" w:sz="4" w:space="0"/>
            </w:tcBorders>
            <w:vAlign w:val="center"/>
          </w:tcPr>
          <w:p>
            <w:pPr>
              <w:widowControl/>
              <w:spacing w:line="240" w:lineRule="exact"/>
              <w:jc w:val="left"/>
              <w:rPr>
                <w:rFonts w:hint="eastAsia"/>
                <w:color w:val="000000"/>
                <w:kern w:val="0"/>
                <w:sz w:val="21"/>
                <w:szCs w:val="21"/>
              </w:rPr>
            </w:pPr>
            <w:r>
              <w:rPr>
                <w:rFonts w:hint="eastAsia"/>
                <w:color w:val="000000"/>
                <w:kern w:val="0"/>
                <w:sz w:val="21"/>
                <w:szCs w:val="21"/>
              </w:rPr>
              <w:t>2、人民调解满意率</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ascii="Arial" w:hAnsi="Arial" w:cs="Arial"/>
                <w:color w:val="000000"/>
                <w:kern w:val="0"/>
                <w:sz w:val="21"/>
                <w:szCs w:val="21"/>
              </w:rPr>
              <w:t>≥</w:t>
            </w:r>
            <w:r>
              <w:rPr>
                <w:rFonts w:hint="eastAsia"/>
                <w:color w:val="000000"/>
                <w:kern w:val="0"/>
                <w:sz w:val="21"/>
                <w:szCs w:val="21"/>
              </w:rPr>
              <w:t>95%</w:t>
            </w:r>
          </w:p>
        </w:tc>
        <w:tc>
          <w:tcPr>
            <w:tcW w:w="1201"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ascii="Arial" w:hAnsi="Arial" w:cs="Arial"/>
                <w:color w:val="000000"/>
                <w:kern w:val="0"/>
                <w:sz w:val="21"/>
                <w:szCs w:val="21"/>
              </w:rPr>
              <w:t>≥</w:t>
            </w:r>
            <w:r>
              <w:rPr>
                <w:rFonts w:hint="eastAsia"/>
                <w:color w:val="000000"/>
                <w:kern w:val="0"/>
                <w:sz w:val="21"/>
                <w:szCs w:val="21"/>
              </w:rPr>
              <w:t>95%</w:t>
            </w:r>
          </w:p>
        </w:tc>
        <w:tc>
          <w:tcPr>
            <w:tcW w:w="81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c>
          <w:tcPr>
            <w:tcW w:w="889"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color w:val="000000"/>
                <w:kern w:val="0"/>
                <w:sz w:val="21"/>
                <w:szCs w:val="21"/>
              </w:rPr>
            </w:pPr>
            <w:r>
              <w:rPr>
                <w:color w:val="000000"/>
                <w:kern w:val="0"/>
                <w:sz w:val="21"/>
                <w:szCs w:val="21"/>
              </w:rPr>
              <w:t>总分</w:t>
            </w:r>
          </w:p>
        </w:tc>
        <w:tc>
          <w:tcPr>
            <w:tcW w:w="812" w:type="dxa"/>
            <w:tcBorders>
              <w:top w:val="nil"/>
              <w:left w:val="nil"/>
              <w:bottom w:val="single" w:color="auto" w:sz="4" w:space="0"/>
              <w:right w:val="single" w:color="auto" w:sz="4" w:space="0"/>
            </w:tcBorders>
            <w:vAlign w:val="center"/>
          </w:tcPr>
          <w:p>
            <w:pPr>
              <w:widowControl/>
              <w:spacing w:line="240" w:lineRule="exact"/>
              <w:rPr>
                <w:rFonts w:hint="eastAsia"/>
                <w:color w:val="000000"/>
                <w:kern w:val="0"/>
                <w:sz w:val="21"/>
                <w:szCs w:val="21"/>
              </w:rPr>
            </w:pPr>
            <w:r>
              <w:rPr>
                <w:color w:val="000000"/>
                <w:kern w:val="0"/>
                <w:sz w:val="21"/>
                <w:szCs w:val="21"/>
              </w:rPr>
              <w:t>100</w:t>
            </w:r>
            <w:r>
              <w:rPr>
                <w:rFonts w:hint="eastAsia"/>
                <w:color w:val="000000"/>
                <w:kern w:val="0"/>
                <w:sz w:val="21"/>
                <w:szCs w:val="21"/>
              </w:rPr>
              <w:t>分</w:t>
            </w:r>
          </w:p>
        </w:tc>
        <w:tc>
          <w:tcPr>
            <w:tcW w:w="889"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100分</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bl>
    <w:p>
      <w:pPr>
        <w:ind w:firstLine="618" w:firstLineChars="300"/>
        <w:jc w:val="left"/>
        <w:rPr>
          <w:kern w:val="0"/>
          <w:sz w:val="22"/>
          <w:szCs w:val="24"/>
        </w:rPr>
      </w:pPr>
      <w:r>
        <w:rPr>
          <w:kern w:val="0"/>
          <w:sz w:val="21"/>
          <w:szCs w:val="21"/>
        </w:rPr>
        <w:t>填表人：</w:t>
      </w:r>
      <w:r>
        <w:rPr>
          <w:rFonts w:hint="eastAsia"/>
          <w:kern w:val="0"/>
          <w:sz w:val="21"/>
          <w:szCs w:val="21"/>
        </w:rPr>
        <w:t>周科先</w:t>
      </w:r>
      <w:r>
        <w:rPr>
          <w:kern w:val="0"/>
          <w:sz w:val="21"/>
          <w:szCs w:val="21"/>
        </w:rPr>
        <w:t xml:space="preserve">   填报日期：</w:t>
      </w:r>
      <w:r>
        <w:rPr>
          <w:rFonts w:hint="eastAsia"/>
          <w:kern w:val="0"/>
          <w:sz w:val="21"/>
          <w:szCs w:val="21"/>
        </w:rPr>
        <w:t>2023.4.25</w:t>
      </w:r>
      <w:r>
        <w:rPr>
          <w:kern w:val="0"/>
          <w:sz w:val="21"/>
          <w:szCs w:val="21"/>
        </w:rPr>
        <w:t xml:space="preserve">   联系电话：</w:t>
      </w:r>
      <w:r>
        <w:rPr>
          <w:rFonts w:hint="eastAsia"/>
          <w:kern w:val="0"/>
          <w:sz w:val="21"/>
          <w:szCs w:val="21"/>
        </w:rPr>
        <w:t>13873712365</w:t>
      </w:r>
      <w:r>
        <w:rPr>
          <w:kern w:val="0"/>
          <w:sz w:val="21"/>
          <w:szCs w:val="21"/>
        </w:rPr>
        <w:t xml:space="preserve">   单位负责人签字</w:t>
      </w:r>
    </w:p>
    <w:p>
      <w:pPr>
        <w:jc w:val="left"/>
        <w:rPr>
          <w:rFonts w:hint="eastAsia" w:eastAsia="黑体"/>
          <w:szCs w:val="32"/>
        </w:rPr>
      </w:pPr>
      <w:r>
        <w:rPr>
          <w:kern w:val="0"/>
          <w:sz w:val="22"/>
          <w:szCs w:val="24"/>
        </w:rPr>
        <w:br w:type="page"/>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益阳市资阳区司法局</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2022年度社区矫正项目资金绩效自评报告</w:t>
      </w:r>
    </w:p>
    <w:p>
      <w:pPr>
        <w:adjustRightInd w:val="0"/>
        <w:spacing w:line="560" w:lineRule="exact"/>
        <w:ind w:right="641"/>
        <w:rPr>
          <w:szCs w:val="32"/>
        </w:rPr>
      </w:pPr>
    </w:p>
    <w:p>
      <w:pPr>
        <w:numPr>
          <w:ilvl w:val="0"/>
          <w:numId w:val="4"/>
        </w:numPr>
        <w:adjustRightInd w:val="0"/>
        <w:snapToGrid w:val="0"/>
        <w:spacing w:line="560" w:lineRule="exact"/>
        <w:ind w:firstLine="632" w:firstLineChars="200"/>
        <w:rPr>
          <w:rFonts w:eastAsia="黑体"/>
          <w:szCs w:val="32"/>
        </w:rPr>
      </w:pPr>
      <w:r>
        <w:rPr>
          <w:rFonts w:eastAsia="黑体"/>
          <w:szCs w:val="32"/>
        </w:rPr>
        <w:t>项目概况</w:t>
      </w:r>
    </w:p>
    <w:p>
      <w:pPr>
        <w:pStyle w:val="2"/>
        <w:spacing w:after="0" w:line="560" w:lineRule="exact"/>
        <w:ind w:firstLine="632" w:firstLineChars="200"/>
        <w:rPr>
          <w:rFonts w:ascii="仿宋_GB2312" w:hAnsi="仿宋_GB2312" w:cs="仿宋_GB2312"/>
          <w:szCs w:val="32"/>
        </w:rPr>
      </w:pPr>
      <w:r>
        <w:rPr>
          <w:rFonts w:hint="eastAsia" w:ascii="仿宋_GB2312" w:hAnsi="仿宋_GB2312" w:cs="仿宋_GB2312"/>
          <w:szCs w:val="32"/>
        </w:rPr>
        <w:t>社区矫正工作是司法部门承担的一项重要工作，对于维护社会安全稳定有着重要意义。社区矫正是针对被判处管制、宣告缓刑、裁定假释、暂予监外执行这四类犯罪行为较轻的对象所实施的非监禁性矫正刑罚。社区矫正的目的是为了通过政府、社会以及爱心人士的帮助，使矫正对象改正恶习，并帮助他们重新回归社会。完成2022年度社区矫正工作任务，使罪犯顺利回归社会，预防犯罪，维护社会稳定，确保不出事故。</w:t>
      </w:r>
    </w:p>
    <w:p>
      <w:pPr>
        <w:adjustRightInd w:val="0"/>
        <w:snapToGrid w:val="0"/>
        <w:spacing w:line="560" w:lineRule="exact"/>
        <w:ind w:left="632" w:leftChars="200" w:firstLine="158" w:firstLineChars="50"/>
        <w:rPr>
          <w:rFonts w:hint="eastAsia" w:ascii="仿宋_GB2312" w:hAnsi="方正小标宋_GBK" w:cs="方正小标宋_GBK"/>
          <w:b/>
          <w:bCs/>
          <w:szCs w:val="32"/>
        </w:rPr>
      </w:pPr>
      <w:r>
        <w:rPr>
          <w:rFonts w:hint="eastAsia" w:eastAsia="黑体"/>
          <w:szCs w:val="32"/>
        </w:rPr>
        <w:t>二、绩效自评工作开展情况</w:t>
      </w:r>
    </w:p>
    <w:p>
      <w:pPr>
        <w:pStyle w:val="2"/>
        <w:spacing w:after="0" w:line="560" w:lineRule="exact"/>
        <w:ind w:firstLine="632" w:firstLineChars="200"/>
        <w:rPr>
          <w:rFonts w:hint="eastAsia" w:ascii="仿宋_GB2312" w:hAnsi="仿宋_GB2312" w:cs="仿宋_GB2312"/>
          <w:szCs w:val="32"/>
        </w:rPr>
      </w:pPr>
      <w:r>
        <w:rPr>
          <w:rFonts w:hint="eastAsia" w:ascii="仿宋_GB2312" w:hAnsi="仿宋_GB2312" w:cs="仿宋_GB2312"/>
          <w:szCs w:val="32"/>
        </w:rPr>
        <w:t>（一）开展重点人员安全隐患排查工作共20余次，其中排查出重点社区</w:t>
      </w:r>
    </w:p>
    <w:p>
      <w:pPr>
        <w:pStyle w:val="2"/>
        <w:spacing w:after="0" w:line="560" w:lineRule="exact"/>
        <w:ind w:firstLine="632" w:firstLineChars="200"/>
        <w:rPr>
          <w:rFonts w:hint="eastAsia" w:ascii="仿宋_GB2312" w:hAnsi="仿宋_GB2312" w:cs="仿宋_GB2312"/>
          <w:szCs w:val="32"/>
        </w:rPr>
      </w:pPr>
      <w:r>
        <w:rPr>
          <w:rFonts w:hint="eastAsia" w:ascii="仿宋_GB2312" w:hAnsi="仿宋_GB2312" w:cs="仿宋_GB2312"/>
          <w:szCs w:val="32"/>
        </w:rPr>
        <w:t>正对象18名，涉“七类”重点安置帮教对象39名，对排查出的重点对象要求司法所重点管控，逐一建档立册，完善帮教方案，确定帮教措施，建立帮教联系，做到重点人员底数清、情况明。</w:t>
      </w:r>
    </w:p>
    <w:p>
      <w:pPr>
        <w:pStyle w:val="2"/>
        <w:spacing w:after="0" w:line="560" w:lineRule="exact"/>
        <w:ind w:firstLine="632" w:firstLineChars="200"/>
        <w:rPr>
          <w:rFonts w:hint="eastAsia" w:ascii="仿宋_GB2312" w:hAnsi="仿宋_GB2312" w:cs="仿宋_GB2312"/>
          <w:szCs w:val="32"/>
        </w:rPr>
      </w:pPr>
      <w:r>
        <w:rPr>
          <w:rFonts w:hint="eastAsia" w:ascii="仿宋_GB2312" w:hAnsi="仿宋_GB2312" w:cs="仿宋_GB2312"/>
          <w:szCs w:val="32"/>
        </w:rPr>
        <w:t>（二）与“云生活”购买“在矫通”260个、“矫务通”24个，运用监控预警、工作提醒、异常轨迹预警等功能，对社区矫正对象未完成教育、社区服务、未签到、越界等情况实现智能预测预警。</w:t>
      </w:r>
    </w:p>
    <w:p>
      <w:pPr>
        <w:pStyle w:val="2"/>
        <w:spacing w:after="0" w:line="560" w:lineRule="exact"/>
        <w:ind w:firstLine="632" w:firstLineChars="200"/>
        <w:rPr>
          <w:rFonts w:hint="eastAsia" w:ascii="仿宋_GB2312" w:hAnsi="仿宋_GB2312" w:cs="仿宋_GB2312"/>
          <w:szCs w:val="32"/>
        </w:rPr>
      </w:pPr>
      <w:r>
        <w:rPr>
          <w:rFonts w:hint="eastAsia" w:ascii="仿宋_GB2312" w:hAnsi="仿宋_GB2312" w:cs="仿宋_GB2312"/>
          <w:szCs w:val="32"/>
        </w:rPr>
        <w:t>（三）2022年以来共发现违反信息化核查、未经请假私自外出、安装虚拟定位软件等违规行为40余次，对35人进行了训诫、警告处理，保持对违规行为“零容忍”的高压态势。</w:t>
      </w:r>
    </w:p>
    <w:p>
      <w:pPr>
        <w:pStyle w:val="2"/>
        <w:spacing w:after="0" w:line="560" w:lineRule="exact"/>
        <w:ind w:firstLine="632" w:firstLineChars="200"/>
        <w:rPr>
          <w:rFonts w:ascii="仿宋_GB2312" w:hAnsi="仿宋_GB2312" w:cs="仿宋_GB2312"/>
          <w:szCs w:val="32"/>
        </w:rPr>
      </w:pPr>
      <w:r>
        <w:rPr>
          <w:rFonts w:hint="eastAsia" w:ascii="仿宋_GB2312" w:hAnsi="仿宋_GB2312" w:cs="仿宋_GB2312"/>
          <w:szCs w:val="32"/>
        </w:rPr>
        <w:t>（四）近几年来我区社区矫正对象人数总体呈下降趋势，从2020年的299人到2021年的238人再到今年的201人，实现了“人防+技防”双管齐下，筑牢了社区矫正安全防线。</w:t>
      </w:r>
    </w:p>
    <w:p>
      <w:pPr>
        <w:pStyle w:val="2"/>
        <w:spacing w:after="0" w:line="560" w:lineRule="exact"/>
        <w:ind w:firstLine="632" w:firstLineChars="200"/>
        <w:rPr>
          <w:rFonts w:hint="eastAsia" w:ascii="仿宋_GB2312" w:hAnsi="仿宋_GB2312" w:cs="仿宋_GB2312"/>
          <w:szCs w:val="32"/>
        </w:rPr>
      </w:pPr>
      <w:r>
        <w:rPr>
          <w:rFonts w:hint="eastAsia" w:ascii="仿宋_GB2312" w:hAnsi="仿宋_GB2312" w:cs="仿宋_GB2312"/>
          <w:szCs w:val="32"/>
        </w:rPr>
        <w:t>（五）对却有困难的社区矫正对象及其未成年子女进行开展节假日走访慰问，累计帮扶达68人次，不断加大帮扶覆盖面，激发社区矫正对象改造积极性，更好地促进监管安全稳定。</w:t>
      </w:r>
    </w:p>
    <w:p>
      <w:pPr>
        <w:pStyle w:val="2"/>
        <w:spacing w:after="0" w:line="560" w:lineRule="exact"/>
        <w:ind w:firstLine="632" w:firstLineChars="200"/>
        <w:rPr>
          <w:rFonts w:hint="eastAsia" w:ascii="仿宋_GB2312" w:hAnsi="仿宋_GB2312" w:cs="仿宋_GB2312"/>
          <w:szCs w:val="32"/>
        </w:rPr>
      </w:pPr>
      <w:r>
        <w:rPr>
          <w:rFonts w:hint="eastAsia" w:ascii="仿宋_GB2312" w:hAnsi="仿宋_GB2312" w:cs="仿宋_GB2312"/>
          <w:szCs w:val="32"/>
        </w:rPr>
        <w:t>（六）积极对接人力资源</w:t>
      </w:r>
      <w:r>
        <w:rPr>
          <w:rFonts w:hint="eastAsia" w:ascii="仿宋_GB2312" w:hAnsi="仿宋_GB2312" w:cs="仿宋_GB2312"/>
          <w:szCs w:val="32"/>
          <w:lang w:val="en-US" w:eastAsia="zh-CN"/>
        </w:rPr>
        <w:t>和</w:t>
      </w:r>
      <w:bookmarkStart w:id="0" w:name="_GoBack"/>
      <w:bookmarkEnd w:id="0"/>
      <w:r>
        <w:rPr>
          <w:rFonts w:hint="eastAsia" w:ascii="仿宋_GB2312" w:hAnsi="仿宋_GB2312" w:cs="仿宋_GB2312"/>
          <w:szCs w:val="32"/>
        </w:rPr>
        <w:t>社会保障局，对有创业就业需求的社区矫正对象、安置帮教对象开展免费的职业技能培训，提供学习的平台和政策保障，帮助他们开阔工作思路，激发创业就业热情，增强他们适应社会的信息和能力，今年共有35名矫正对象参加并顺利结业。</w:t>
      </w:r>
    </w:p>
    <w:p>
      <w:pPr>
        <w:adjustRightInd w:val="0"/>
        <w:snapToGrid w:val="0"/>
        <w:spacing w:line="560" w:lineRule="exact"/>
        <w:ind w:left="632"/>
        <w:rPr>
          <w:rFonts w:hint="eastAsia" w:eastAsia="黑体"/>
          <w:szCs w:val="32"/>
        </w:rPr>
      </w:pPr>
      <w:r>
        <w:rPr>
          <w:rFonts w:hint="eastAsia" w:eastAsia="黑体"/>
          <w:szCs w:val="32"/>
        </w:rPr>
        <w:t>三、综合评价结论</w:t>
      </w:r>
    </w:p>
    <w:p>
      <w:pPr>
        <w:spacing w:line="560" w:lineRule="exact"/>
        <w:ind w:firstLine="632" w:firstLineChars="200"/>
        <w:rPr>
          <w:rFonts w:hint="eastAsia" w:ascii="仿宋_GB2312" w:hAnsi="仿宋_GB2312" w:cs="仿宋_GB2312"/>
          <w:szCs w:val="32"/>
        </w:rPr>
      </w:pPr>
      <w:r>
        <w:rPr>
          <w:rFonts w:hint="eastAsia" w:ascii="仿宋_GB2312" w:hAnsi="仿宋_GB2312" w:cs="仿宋_GB2312"/>
          <w:szCs w:val="32"/>
        </w:rPr>
        <w:t>本项目自评得分</w:t>
      </w:r>
      <w:r>
        <w:rPr>
          <w:rFonts w:hint="eastAsia" w:ascii="仿宋_GB2312" w:hAnsi="仿宋_GB2312" w:cs="仿宋_GB2312"/>
          <w:szCs w:val="32"/>
          <w:lang w:val="en-US" w:eastAsia="zh-CN"/>
        </w:rPr>
        <w:t>99</w:t>
      </w:r>
      <w:r>
        <w:rPr>
          <w:rFonts w:hint="eastAsia" w:ascii="仿宋_GB2312" w:hAnsi="仿宋_GB2312" w:cs="仿宋_GB2312"/>
          <w:szCs w:val="32"/>
        </w:rPr>
        <w:t>分</w:t>
      </w:r>
      <w:r>
        <w:rPr>
          <w:rFonts w:hint="eastAsia" w:ascii="仿宋_GB2312" w:hAnsi="仿宋_GB2312" w:cs="仿宋_GB2312"/>
          <w:szCs w:val="32"/>
          <w:lang w:val="en-US" w:eastAsia="zh-CN"/>
        </w:rPr>
        <w:t>(</w:t>
      </w:r>
      <w:r>
        <w:rPr>
          <w:rFonts w:hint="eastAsia"/>
          <w:szCs w:val="32"/>
        </w:rPr>
        <w:t>智慧矫正建设因新办公地点未按期搬迁腾空，加上疫情原因今年未能动工</w:t>
      </w:r>
      <w:r>
        <w:rPr>
          <w:rFonts w:hint="eastAsia"/>
          <w:szCs w:val="32"/>
          <w:lang w:eastAsia="zh-CN"/>
        </w:rPr>
        <w:t>，</w:t>
      </w:r>
      <w:r>
        <w:rPr>
          <w:rFonts w:hint="eastAsia"/>
          <w:szCs w:val="32"/>
        </w:rPr>
        <w:t>明年加快进度完成搬迁工作</w:t>
      </w:r>
      <w:r>
        <w:rPr>
          <w:rFonts w:hint="eastAsia"/>
          <w:szCs w:val="32"/>
          <w:lang w:eastAsia="zh-CN"/>
        </w:rPr>
        <w:t>）。</w:t>
      </w:r>
      <w:r>
        <w:rPr>
          <w:rFonts w:hint="eastAsia" w:ascii="仿宋_GB2312" w:hAnsi="仿宋_GB2312" w:cs="仿宋_GB2312"/>
          <w:szCs w:val="32"/>
        </w:rPr>
        <w:t>自评结论优秀，达到预期绩效目标。</w:t>
      </w:r>
    </w:p>
    <w:p>
      <w:pPr>
        <w:adjustRightInd w:val="0"/>
        <w:snapToGrid w:val="0"/>
        <w:spacing w:line="560" w:lineRule="exact"/>
        <w:ind w:left="632"/>
        <w:rPr>
          <w:rFonts w:hint="eastAsia" w:eastAsia="黑体"/>
          <w:szCs w:val="32"/>
        </w:rPr>
      </w:pPr>
      <w:r>
        <w:rPr>
          <w:rFonts w:hint="eastAsia" w:eastAsia="黑体"/>
          <w:szCs w:val="32"/>
        </w:rPr>
        <w:t>四、绩效目标实现情况分析</w:t>
      </w:r>
    </w:p>
    <w:p>
      <w:pPr>
        <w:widowControl/>
        <w:spacing w:line="560" w:lineRule="exact"/>
        <w:ind w:firstLine="632" w:firstLineChars="200"/>
        <w:rPr>
          <w:rFonts w:hint="eastAsia" w:ascii="楷体_GB2312" w:eastAsia="楷体_GB2312"/>
          <w:b/>
          <w:szCs w:val="32"/>
        </w:rPr>
      </w:pPr>
      <w:r>
        <w:rPr>
          <w:rFonts w:hint="eastAsia" w:ascii="楷体_GB2312" w:eastAsia="楷体_GB2312"/>
          <w:b/>
          <w:szCs w:val="32"/>
        </w:rPr>
        <w:t>（一）项目资金使用及管理情况</w:t>
      </w:r>
    </w:p>
    <w:p>
      <w:pPr>
        <w:adjustRightInd w:val="0"/>
        <w:snapToGrid w:val="0"/>
        <w:spacing w:line="560" w:lineRule="exact"/>
        <w:ind w:firstLine="632" w:firstLineChars="200"/>
        <w:rPr>
          <w:b/>
          <w:szCs w:val="32"/>
        </w:rPr>
      </w:pPr>
      <w:r>
        <w:rPr>
          <w:rFonts w:hint="eastAsia"/>
          <w:b/>
          <w:szCs w:val="32"/>
        </w:rPr>
        <w:t>1、</w:t>
      </w:r>
      <w:r>
        <w:rPr>
          <w:b/>
          <w:szCs w:val="32"/>
        </w:rPr>
        <w:t>项目资金安排落实、总投入等情况分析</w:t>
      </w:r>
    </w:p>
    <w:p>
      <w:pPr>
        <w:pStyle w:val="2"/>
        <w:spacing w:after="0" w:line="560" w:lineRule="exact"/>
        <w:ind w:firstLine="632" w:firstLineChars="200"/>
        <w:rPr>
          <w:rFonts w:hint="eastAsia"/>
          <w:szCs w:val="32"/>
        </w:rPr>
      </w:pPr>
      <w:r>
        <w:rPr>
          <w:rFonts w:hint="eastAsia"/>
          <w:szCs w:val="32"/>
        </w:rPr>
        <w:t>2022年资阳区财政安排社区矫正项目资金38万元，资金到位率100%。</w:t>
      </w:r>
    </w:p>
    <w:p>
      <w:pPr>
        <w:pStyle w:val="2"/>
        <w:spacing w:after="0" w:line="560" w:lineRule="exact"/>
        <w:ind w:firstLine="632" w:firstLineChars="200"/>
        <w:rPr>
          <w:b/>
          <w:szCs w:val="32"/>
        </w:rPr>
      </w:pPr>
      <w:r>
        <w:rPr>
          <w:rFonts w:hint="eastAsia"/>
          <w:b/>
          <w:szCs w:val="32"/>
        </w:rPr>
        <w:t>2、</w:t>
      </w:r>
      <w:r>
        <w:rPr>
          <w:b/>
          <w:szCs w:val="32"/>
        </w:rPr>
        <w:t>项目资金实际使用情况分析</w:t>
      </w:r>
    </w:p>
    <w:p>
      <w:pPr>
        <w:pStyle w:val="2"/>
        <w:spacing w:after="0" w:line="560" w:lineRule="exact"/>
        <w:ind w:firstLine="632" w:firstLineChars="200"/>
      </w:pPr>
      <w:r>
        <w:rPr>
          <w:rFonts w:hint="eastAsia"/>
          <w:szCs w:val="32"/>
        </w:rPr>
        <w:t>截至2022年12月该项目资金支出19.62万元，结余18.38万（结余原因：智慧矫正建设因新办公地点未按期搬迁腾空，加上疫情原因今年未能动工</w:t>
      </w:r>
      <w:r>
        <w:rPr>
          <w:rFonts w:hint="eastAsia"/>
          <w:szCs w:val="32"/>
          <w:lang w:eastAsia="zh-CN"/>
        </w:rPr>
        <w:t>，</w:t>
      </w:r>
      <w:r>
        <w:rPr>
          <w:rFonts w:hint="eastAsia"/>
          <w:szCs w:val="32"/>
        </w:rPr>
        <w:t>明年加快进度完成搬迁工作）。</w:t>
      </w:r>
    </w:p>
    <w:p>
      <w:pPr>
        <w:pStyle w:val="2"/>
        <w:spacing w:after="0" w:line="560" w:lineRule="exact"/>
        <w:ind w:firstLine="632" w:firstLineChars="200"/>
        <w:rPr>
          <w:rFonts w:hint="eastAsia" w:ascii="仿宋_GB2312" w:hAnsi="仿宋" w:cs="仿宋"/>
          <w:b/>
          <w:szCs w:val="32"/>
        </w:rPr>
      </w:pPr>
      <w:r>
        <w:rPr>
          <w:rFonts w:hint="eastAsia" w:ascii="仿宋_GB2312" w:hAnsi="仿宋" w:cs="仿宋"/>
          <w:b/>
          <w:szCs w:val="32"/>
        </w:rPr>
        <w:t>3、项目资金管理情况分析</w:t>
      </w:r>
    </w:p>
    <w:p>
      <w:pPr>
        <w:pStyle w:val="2"/>
        <w:spacing w:after="0" w:line="560" w:lineRule="exact"/>
        <w:ind w:firstLine="632" w:firstLineChars="200"/>
        <w:rPr>
          <w:rFonts w:hint="eastAsia" w:ascii="仿宋_GB2312" w:hAnsi="仿宋" w:cs="仿宋"/>
          <w:szCs w:val="32"/>
        </w:rPr>
      </w:pPr>
      <w:r>
        <w:rPr>
          <w:rFonts w:hint="eastAsia" w:ascii="仿宋_GB2312" w:hAnsi="仿宋" w:cs="仿宋"/>
          <w:szCs w:val="32"/>
        </w:rPr>
        <w:t>我单位资金全部进入财政预算一体化系统，严格按预算管理一体化                资金支付管理办法执行，资金支付全流程电子化管理，通过预算一体化系统办理业务，对项目资金做到了精准运用，精准管理，不存在截留、挤占、挪用、虚列支出等情况。</w:t>
      </w:r>
    </w:p>
    <w:p>
      <w:pPr>
        <w:widowControl/>
        <w:spacing w:line="560" w:lineRule="exact"/>
        <w:ind w:left="632" w:leftChars="200"/>
        <w:rPr>
          <w:rFonts w:hint="eastAsia" w:ascii="楷体_GB2312" w:eastAsia="楷体_GB2312"/>
          <w:b/>
          <w:szCs w:val="32"/>
        </w:rPr>
      </w:pPr>
      <w:r>
        <w:rPr>
          <w:rFonts w:hint="eastAsia" w:ascii="楷体_GB2312" w:eastAsia="楷体_GB2312"/>
          <w:b/>
          <w:szCs w:val="32"/>
        </w:rPr>
        <w:t>（二）总体绩效目标完成情况分析</w:t>
      </w:r>
    </w:p>
    <w:p>
      <w:pPr>
        <w:pStyle w:val="2"/>
        <w:spacing w:after="0" w:line="560" w:lineRule="exact"/>
        <w:ind w:firstLine="632" w:firstLineChars="200"/>
        <w:rPr>
          <w:rFonts w:hint="eastAsia" w:ascii="仿宋" w:hAnsi="仿宋" w:eastAsia="仿宋" w:cs="仿宋"/>
          <w:szCs w:val="32"/>
        </w:rPr>
      </w:pPr>
      <w:r>
        <w:rPr>
          <w:rFonts w:hint="eastAsia"/>
        </w:rPr>
        <w:t>2022年全年能较好地完成项目任务。</w:t>
      </w:r>
      <w:r>
        <w:rPr>
          <w:rFonts w:hint="eastAsia" w:ascii="仿宋" w:hAnsi="仿宋" w:eastAsia="仿宋" w:cs="仿宋"/>
          <w:szCs w:val="32"/>
        </w:rPr>
        <w:t>开展重点人员安全隐患排查工作共20余次，其中排查出重点社区矫正对象18名，涉“七类”重点安置帮教对象39名；</w:t>
      </w:r>
      <w:r>
        <w:rPr>
          <w:rFonts w:hint="eastAsia" w:ascii="仿宋_GB2312" w:hAnsi="仿宋_GB2312" w:cs="仿宋_GB2312"/>
          <w:szCs w:val="32"/>
        </w:rPr>
        <w:t>与“云生活”购买“在矫通”260个、“矫务通”24个，运用监控预警、工作提醒、异常轨迹预警等功能，对社区矫正对象未完成教育、社区服务、未签到、越界等情况实现智能预测预警；</w:t>
      </w:r>
      <w:r>
        <w:rPr>
          <w:rFonts w:hint="eastAsia" w:ascii="仿宋" w:hAnsi="仿宋" w:eastAsia="仿宋" w:cs="仿宋"/>
          <w:szCs w:val="32"/>
        </w:rPr>
        <w:t>对却有困难的</w:t>
      </w:r>
      <w:r>
        <w:rPr>
          <w:rFonts w:ascii="仿宋" w:hAnsi="仿宋" w:eastAsia="仿宋"/>
          <w:szCs w:val="32"/>
        </w:rPr>
        <w:t>社区矫正对象</w:t>
      </w:r>
      <w:r>
        <w:rPr>
          <w:rFonts w:hint="eastAsia" w:ascii="仿宋" w:hAnsi="仿宋" w:eastAsia="仿宋"/>
          <w:szCs w:val="32"/>
        </w:rPr>
        <w:t>及其</w:t>
      </w:r>
      <w:r>
        <w:rPr>
          <w:rFonts w:ascii="仿宋" w:hAnsi="仿宋" w:eastAsia="仿宋"/>
          <w:szCs w:val="32"/>
        </w:rPr>
        <w:t>未成年子女进行</w:t>
      </w:r>
      <w:r>
        <w:rPr>
          <w:rFonts w:hint="eastAsia" w:ascii="仿宋" w:hAnsi="仿宋" w:eastAsia="仿宋"/>
          <w:szCs w:val="32"/>
        </w:rPr>
        <w:t>开展节假日走访慰问，累计帮扶达68人次；今年共有35名矫正对象参加了免费的职业技能培训并顺利结业。</w:t>
      </w:r>
    </w:p>
    <w:p>
      <w:pPr>
        <w:widowControl/>
        <w:spacing w:line="560" w:lineRule="exact"/>
        <w:ind w:firstLine="632" w:firstLineChars="200"/>
        <w:rPr>
          <w:rFonts w:ascii="楷体_GB2312" w:eastAsia="楷体_GB2312"/>
          <w:b/>
          <w:szCs w:val="32"/>
        </w:rPr>
      </w:pPr>
      <w:r>
        <w:rPr>
          <w:rFonts w:hint="eastAsia" w:ascii="楷体_GB2312" w:eastAsia="楷体_GB2312"/>
          <w:b/>
          <w:szCs w:val="32"/>
        </w:rPr>
        <w:t>（三）绩效指标完成情况分析</w:t>
      </w:r>
    </w:p>
    <w:p>
      <w:pPr>
        <w:spacing w:line="560" w:lineRule="exact"/>
        <w:ind w:firstLine="632" w:firstLineChars="200"/>
        <w:rPr>
          <w:rFonts w:ascii="仿宋_GB2312" w:hAnsi="仿宋_GB2312" w:cs="仿宋_GB2312"/>
          <w:szCs w:val="32"/>
        </w:rPr>
      </w:pPr>
      <w:r>
        <w:rPr>
          <w:rFonts w:ascii="仿宋_GB2312" w:hAnsi="仿宋_GB2312" w:cs="仿宋_GB2312"/>
          <w:szCs w:val="32"/>
        </w:rPr>
        <w:t>数量指标</w:t>
      </w:r>
      <w:r>
        <w:rPr>
          <w:rFonts w:hint="eastAsia" w:ascii="仿宋_GB2312" w:hAnsi="仿宋_GB2312" w:cs="仿宋_GB2312"/>
          <w:szCs w:val="32"/>
        </w:rPr>
        <w:t>共接受有关部门</w:t>
      </w:r>
      <w:r>
        <w:rPr>
          <w:rFonts w:hint="eastAsia" w:ascii="仿宋" w:hAnsi="仿宋" w:eastAsia="仿宋" w:cs="仿宋"/>
          <w:kern w:val="0"/>
          <w:szCs w:val="32"/>
          <w:lang w:val="zh-CN"/>
        </w:rPr>
        <w:t>委托开展适用社区矫正调查评</w:t>
      </w:r>
      <w:r>
        <w:rPr>
          <w:rFonts w:hint="eastAsia" w:ascii="仿宋" w:hAnsi="仿宋" w:eastAsia="仿宋" w:cs="仿宋"/>
          <w:szCs w:val="32"/>
          <w:lang w:val="zh-CN"/>
        </w:rPr>
        <w:t>估</w:t>
      </w:r>
      <w:r>
        <w:rPr>
          <w:rFonts w:hint="eastAsia" w:ascii="仿宋" w:hAnsi="仿宋" w:eastAsia="仿宋" w:cs="仿宋"/>
          <w:szCs w:val="32"/>
        </w:rPr>
        <w:t>278例，接收164名社区矫正对象，解除社区矫正对象202人，终止社区矫正4人，迁出矫正对象8人，安置帮教对象共计1351人，2022年智慧矫正一体化平台在全省均名列前茅。</w:t>
      </w:r>
      <w:r>
        <w:rPr>
          <w:rFonts w:ascii="仿宋_GB2312" w:hAnsi="仿宋_GB2312" w:cs="仿宋_GB2312"/>
          <w:szCs w:val="32"/>
        </w:rPr>
        <w:t>质量指标项目验收合格率100％；时效指标项目计划完成及时率100％；成本指标实际完成投资控制在概算内的比例100％、年度资金预算执行率100％；社会效益指标</w:t>
      </w:r>
      <w:r>
        <w:rPr>
          <w:rFonts w:hint="eastAsia" w:ascii="仿宋" w:hAnsi="仿宋" w:eastAsia="仿宋" w:cs="仿宋"/>
          <w:szCs w:val="32"/>
        </w:rPr>
        <w:t>有效维护了本辖区的安全稳定，特殊人员的健康回归。</w:t>
      </w:r>
      <w:r>
        <w:rPr>
          <w:rFonts w:hint="eastAsia" w:ascii="仿宋_GB2312" w:hAnsi="仿宋_GB2312" w:cs="仿宋_GB2312"/>
          <w:szCs w:val="32"/>
        </w:rPr>
        <w:t>提高了城市居民和</w:t>
      </w:r>
      <w:r>
        <w:rPr>
          <w:rFonts w:ascii="仿宋_GB2312" w:hAnsi="仿宋_GB2312" w:cs="仿宋_GB2312"/>
          <w:szCs w:val="32"/>
        </w:rPr>
        <w:t>农村</w:t>
      </w:r>
      <w:r>
        <w:rPr>
          <w:rFonts w:hint="eastAsia" w:ascii="仿宋_GB2312" w:hAnsi="仿宋_GB2312" w:cs="仿宋_GB2312"/>
          <w:szCs w:val="32"/>
        </w:rPr>
        <w:t>居民的</w:t>
      </w:r>
      <w:r>
        <w:rPr>
          <w:rFonts w:ascii="仿宋_GB2312" w:hAnsi="仿宋_GB2312" w:cs="仿宋_GB2312"/>
          <w:szCs w:val="32"/>
        </w:rPr>
        <w:t>居住环境；</w:t>
      </w:r>
      <w:r>
        <w:rPr>
          <w:rFonts w:hint="eastAsia" w:ascii="仿宋_GB2312" w:hAnsi="仿宋_GB2312" w:cs="仿宋_GB2312"/>
          <w:szCs w:val="32"/>
        </w:rPr>
        <w:t>城市居民满意度95</w:t>
      </w:r>
      <w:r>
        <w:rPr>
          <w:rFonts w:ascii="仿宋_GB2312" w:hAnsi="仿宋_GB2312" w:cs="仿宋_GB2312"/>
          <w:szCs w:val="32"/>
        </w:rPr>
        <w:t>％；</w:t>
      </w:r>
      <w:r>
        <w:rPr>
          <w:rFonts w:hint="eastAsia" w:ascii="仿宋_GB2312" w:hAnsi="仿宋_GB2312" w:cs="仿宋_GB2312"/>
          <w:szCs w:val="32"/>
        </w:rPr>
        <w:t>提高市民参与度</w:t>
      </w:r>
      <w:r>
        <w:rPr>
          <w:rFonts w:ascii="仿宋_GB2312" w:hAnsi="仿宋_GB2312" w:cs="仿宋_GB2312"/>
          <w:szCs w:val="32"/>
        </w:rPr>
        <w:t>95％。</w:t>
      </w:r>
    </w:p>
    <w:p>
      <w:pPr>
        <w:adjustRightInd w:val="0"/>
        <w:snapToGrid w:val="0"/>
        <w:spacing w:line="560" w:lineRule="exact"/>
        <w:ind w:left="632"/>
        <w:rPr>
          <w:rFonts w:hint="eastAsia" w:eastAsia="黑体"/>
          <w:szCs w:val="32"/>
        </w:rPr>
      </w:pPr>
      <w:r>
        <w:rPr>
          <w:rFonts w:hint="eastAsia" w:eastAsia="黑体"/>
          <w:szCs w:val="32"/>
        </w:rPr>
        <w:t>五、存在的问题和改进措施</w:t>
      </w:r>
    </w:p>
    <w:p>
      <w:pPr>
        <w:adjustRightInd w:val="0"/>
        <w:snapToGrid w:val="0"/>
        <w:spacing w:line="560" w:lineRule="exact"/>
        <w:ind w:firstLine="632" w:firstLineChars="200"/>
        <w:rPr>
          <w:rFonts w:hint="eastAsia"/>
          <w:szCs w:val="32"/>
        </w:rPr>
      </w:pPr>
      <w:r>
        <w:rPr>
          <w:rFonts w:hint="eastAsia"/>
          <w:szCs w:val="32"/>
        </w:rPr>
        <w:t>绩效管理的经验不足，项目的部分成果无法用指标形式来表示；在绩效考评指标的设计上，有待完善。</w:t>
      </w:r>
    </w:p>
    <w:p>
      <w:pPr>
        <w:adjustRightInd w:val="0"/>
        <w:snapToGrid w:val="0"/>
        <w:spacing w:line="560" w:lineRule="exact"/>
        <w:ind w:firstLine="632" w:firstLineChars="200"/>
        <w:rPr>
          <w:rFonts w:hint="eastAsia" w:eastAsia="黑体"/>
          <w:szCs w:val="32"/>
        </w:rPr>
      </w:pPr>
      <w:r>
        <w:rPr>
          <w:rFonts w:hint="eastAsia" w:eastAsia="黑体"/>
          <w:szCs w:val="32"/>
        </w:rPr>
        <w:t>六、绩效自评结果拟应用和公开情况</w:t>
      </w:r>
    </w:p>
    <w:p>
      <w:pPr>
        <w:adjustRightInd w:val="0"/>
        <w:snapToGrid w:val="0"/>
        <w:spacing w:line="560" w:lineRule="exact"/>
        <w:ind w:firstLine="632" w:firstLineChars="200"/>
        <w:rPr>
          <w:rFonts w:hint="eastAsia"/>
          <w:szCs w:val="32"/>
        </w:rPr>
      </w:pPr>
      <w:r>
        <w:rPr>
          <w:rFonts w:hint="eastAsia"/>
          <w:szCs w:val="32"/>
        </w:rPr>
        <w:t>绩效自评结果将在资阳区人民政府公众信息网站上进行公开公示，广泛接受群众监督。</w:t>
      </w:r>
    </w:p>
    <w:p>
      <w:pPr>
        <w:adjustRightInd w:val="0"/>
        <w:snapToGrid w:val="0"/>
        <w:spacing w:line="560" w:lineRule="exact"/>
        <w:ind w:left="632" w:leftChars="200"/>
        <w:rPr>
          <w:rFonts w:hint="eastAsia" w:eastAsia="黑体"/>
          <w:szCs w:val="32"/>
        </w:rPr>
      </w:pPr>
      <w:r>
        <w:rPr>
          <w:rFonts w:hint="eastAsia" w:eastAsia="黑体"/>
          <w:szCs w:val="32"/>
        </w:rPr>
        <w:t>七、其他需要说明的问题</w:t>
      </w:r>
    </w:p>
    <w:p>
      <w:pPr>
        <w:widowControl/>
        <w:spacing w:line="560" w:lineRule="exact"/>
        <w:ind w:firstLine="632" w:firstLineChars="200"/>
        <w:rPr>
          <w:rFonts w:hint="eastAsia"/>
          <w:szCs w:val="32"/>
        </w:rPr>
      </w:pPr>
      <w:r>
        <w:rPr>
          <w:rFonts w:hint="eastAsia"/>
          <w:szCs w:val="32"/>
        </w:rPr>
        <w:t>其他说明问题无。</w:t>
      </w:r>
    </w:p>
    <w:p>
      <w:pPr>
        <w:pStyle w:val="2"/>
        <w:spacing w:after="0" w:line="560" w:lineRule="exact"/>
        <w:rPr>
          <w:rFonts w:hint="eastAsia"/>
        </w:rPr>
      </w:pPr>
    </w:p>
    <w:p>
      <w:pPr>
        <w:widowControl/>
        <w:spacing w:line="560" w:lineRule="exact"/>
        <w:ind w:firstLine="645"/>
        <w:rPr>
          <w:szCs w:val="32"/>
        </w:rPr>
      </w:pPr>
      <w:r>
        <w:rPr>
          <w:rFonts w:hint="eastAsia"/>
          <w:szCs w:val="32"/>
        </w:rPr>
        <w:t>附件</w:t>
      </w:r>
      <w:r>
        <w:rPr>
          <w:szCs w:val="32"/>
        </w:rPr>
        <w:t>：项目支出绩效自评表</w:t>
      </w:r>
    </w:p>
    <w:p>
      <w:pPr>
        <w:widowControl/>
        <w:spacing w:line="560" w:lineRule="exact"/>
        <w:ind w:firstLine="645"/>
        <w:rPr>
          <w:szCs w:val="32"/>
        </w:rPr>
      </w:pPr>
    </w:p>
    <w:p>
      <w:pPr>
        <w:widowControl/>
        <w:spacing w:line="600" w:lineRule="exact"/>
        <w:ind w:firstLine="645"/>
        <w:jc w:val="left"/>
        <w:rPr>
          <w:rFonts w:hint="eastAsia"/>
          <w:szCs w:val="32"/>
        </w:rPr>
      </w:pPr>
    </w:p>
    <w:p>
      <w:pPr>
        <w:pStyle w:val="2"/>
      </w:pPr>
    </w:p>
    <w:p>
      <w:pPr>
        <w:widowControl/>
        <w:spacing w:line="600" w:lineRule="exact"/>
        <w:ind w:firstLine="645"/>
        <w:jc w:val="left"/>
        <w:rPr>
          <w:szCs w:val="32"/>
        </w:rPr>
      </w:pPr>
    </w:p>
    <w:p>
      <w:pPr>
        <w:widowControl/>
        <w:jc w:val="left"/>
        <w:rPr>
          <w:rFonts w:hint="eastAsia" w:eastAsia="黑体"/>
          <w:szCs w:val="32"/>
        </w:rPr>
      </w:pPr>
      <w:r>
        <w:rPr>
          <w:rFonts w:eastAsia="黑体"/>
          <w:szCs w:val="32"/>
        </w:rPr>
        <w:t>附件</w:t>
      </w:r>
    </w:p>
    <w:p>
      <w:pPr>
        <w:widowControl/>
        <w:spacing w:line="400" w:lineRule="exact"/>
        <w:jc w:val="center"/>
        <w:rPr>
          <w:rFonts w:eastAsia="方正小标宋_GBK"/>
          <w:color w:val="000000"/>
          <w:kern w:val="0"/>
          <w:sz w:val="36"/>
          <w:szCs w:val="36"/>
        </w:rPr>
      </w:pPr>
      <w:r>
        <w:rPr>
          <w:rFonts w:eastAsia="方正小标宋_GBK"/>
          <w:color w:val="000000"/>
          <w:kern w:val="0"/>
          <w:sz w:val="36"/>
          <w:szCs w:val="36"/>
        </w:rPr>
        <w:t>202</w:t>
      </w:r>
      <w:r>
        <w:rPr>
          <w:rFonts w:hint="eastAsia" w:eastAsia="方正小标宋_GBK"/>
          <w:color w:val="000000"/>
          <w:kern w:val="0"/>
          <w:sz w:val="36"/>
          <w:szCs w:val="36"/>
        </w:rPr>
        <w:t>2</w:t>
      </w:r>
      <w:r>
        <w:rPr>
          <w:rFonts w:eastAsia="方正小标宋_GBK"/>
          <w:color w:val="000000"/>
          <w:kern w:val="0"/>
          <w:sz w:val="36"/>
          <w:szCs w:val="36"/>
        </w:rPr>
        <w:t>年度项目支出绩效自评表</w:t>
      </w:r>
    </w:p>
    <w:tbl>
      <w:tblPr>
        <w:tblStyle w:val="8"/>
        <w:tblW w:w="9851" w:type="dxa"/>
        <w:jc w:val="center"/>
        <w:tblLayout w:type="autofit"/>
        <w:tblCellMar>
          <w:top w:w="0" w:type="dxa"/>
          <w:left w:w="108" w:type="dxa"/>
          <w:bottom w:w="0" w:type="dxa"/>
          <w:right w:w="108" w:type="dxa"/>
        </w:tblCellMar>
      </w:tblPr>
      <w:tblGrid>
        <w:gridCol w:w="1047"/>
        <w:gridCol w:w="1047"/>
        <w:gridCol w:w="1344"/>
        <w:gridCol w:w="1196"/>
        <w:gridCol w:w="1103"/>
        <w:gridCol w:w="1023"/>
        <w:gridCol w:w="886"/>
        <w:gridCol w:w="860"/>
        <w:gridCol w:w="1345"/>
      </w:tblGrid>
      <w:tr>
        <w:tblPrEx>
          <w:tblCellMar>
            <w:top w:w="0" w:type="dxa"/>
            <w:left w:w="108" w:type="dxa"/>
            <w:bottom w:w="0" w:type="dxa"/>
            <w:right w:w="108" w:type="dxa"/>
          </w:tblCellMar>
        </w:tblPrEx>
        <w:trPr>
          <w:trHeight w:val="350"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color w:val="000000"/>
                <w:kern w:val="0"/>
                <w:sz w:val="21"/>
                <w:szCs w:val="21"/>
              </w:rPr>
            </w:pPr>
            <w:r>
              <w:rPr>
                <w:color w:val="000000"/>
                <w:kern w:val="0"/>
                <w:sz w:val="21"/>
                <w:szCs w:val="21"/>
              </w:rPr>
              <w:t>项目名称</w:t>
            </w:r>
          </w:p>
        </w:tc>
        <w:tc>
          <w:tcPr>
            <w:tcW w:w="8804" w:type="dxa"/>
            <w:gridSpan w:val="8"/>
            <w:tcBorders>
              <w:top w:val="single" w:color="auto" w:sz="4" w:space="0"/>
              <w:left w:val="nil"/>
              <w:bottom w:val="single" w:color="auto" w:sz="4" w:space="0"/>
              <w:right w:val="single" w:color="auto" w:sz="4" w:space="0"/>
            </w:tcBorders>
            <w:vAlign w:val="center"/>
          </w:tcPr>
          <w:p>
            <w:pPr>
              <w:widowControl/>
              <w:jc w:val="center"/>
              <w:rPr>
                <w:rFonts w:hint="eastAsia"/>
                <w:color w:val="000000"/>
                <w:kern w:val="0"/>
                <w:sz w:val="21"/>
                <w:szCs w:val="21"/>
              </w:rPr>
            </w:pPr>
            <w:r>
              <w:rPr>
                <w:rFonts w:hint="eastAsia"/>
                <w:color w:val="000000"/>
                <w:kern w:val="0"/>
                <w:sz w:val="21"/>
                <w:szCs w:val="21"/>
              </w:rPr>
              <w:t>社区矫正</w:t>
            </w:r>
          </w:p>
        </w:tc>
      </w:tr>
      <w:tr>
        <w:tblPrEx>
          <w:tblCellMar>
            <w:top w:w="0" w:type="dxa"/>
            <w:left w:w="108" w:type="dxa"/>
            <w:bottom w:w="0" w:type="dxa"/>
            <w:right w:w="108" w:type="dxa"/>
          </w:tblCellMar>
        </w:tblPrEx>
        <w:trPr>
          <w:jc w:val="center"/>
        </w:trPr>
        <w:tc>
          <w:tcPr>
            <w:tcW w:w="1047" w:type="dxa"/>
            <w:tcBorders>
              <w:top w:val="nil"/>
              <w:left w:val="single" w:color="auto" w:sz="4" w:space="0"/>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主管部门</w:t>
            </w:r>
          </w:p>
        </w:tc>
        <w:tc>
          <w:tcPr>
            <w:tcW w:w="4690" w:type="dxa"/>
            <w:gridSpan w:val="4"/>
            <w:tcBorders>
              <w:top w:val="single" w:color="auto" w:sz="4" w:space="0"/>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p>
        </w:tc>
        <w:tc>
          <w:tcPr>
            <w:tcW w:w="1023" w:type="dxa"/>
            <w:tcBorders>
              <w:top w:val="single" w:color="auto" w:sz="4" w:space="0"/>
              <w:left w:val="nil"/>
              <w:bottom w:val="single" w:color="auto" w:sz="4" w:space="0"/>
              <w:right w:val="single" w:color="000000" w:sz="4" w:space="0"/>
            </w:tcBorders>
            <w:vAlign w:val="center"/>
          </w:tcPr>
          <w:p>
            <w:pPr>
              <w:widowControl/>
              <w:jc w:val="center"/>
              <w:rPr>
                <w:color w:val="000000"/>
                <w:kern w:val="0"/>
                <w:sz w:val="21"/>
                <w:szCs w:val="21"/>
              </w:rPr>
            </w:pPr>
            <w:r>
              <w:rPr>
                <w:color w:val="000000"/>
                <w:kern w:val="0"/>
                <w:sz w:val="21"/>
                <w:szCs w:val="21"/>
              </w:rPr>
              <w:t>实施单位</w:t>
            </w:r>
          </w:p>
        </w:tc>
        <w:tc>
          <w:tcPr>
            <w:tcW w:w="3091" w:type="dxa"/>
            <w:gridSpan w:val="3"/>
            <w:tcBorders>
              <w:top w:val="single" w:color="auto" w:sz="4" w:space="0"/>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益阳市资阳区司法局</w:t>
            </w:r>
          </w:p>
        </w:tc>
      </w:tr>
      <w:tr>
        <w:tblPrEx>
          <w:tblCellMar>
            <w:top w:w="0" w:type="dxa"/>
            <w:left w:w="108" w:type="dxa"/>
            <w:bottom w:w="0" w:type="dxa"/>
            <w:right w:w="108" w:type="dxa"/>
          </w:tblCellMar>
        </w:tblPrEx>
        <w:trPr>
          <w:jc w:val="center"/>
        </w:trPr>
        <w:tc>
          <w:tcPr>
            <w:tcW w:w="1047" w:type="dxa"/>
            <w:vMerge w:val="restart"/>
            <w:tcBorders>
              <w:top w:val="nil"/>
              <w:left w:val="single" w:color="auto" w:sz="4" w:space="0"/>
              <w:bottom w:val="single" w:color="000000" w:sz="4" w:space="0"/>
              <w:right w:val="single" w:color="auto" w:sz="4" w:space="0"/>
            </w:tcBorders>
            <w:vAlign w:val="center"/>
          </w:tcPr>
          <w:p>
            <w:pPr>
              <w:widowControl/>
              <w:jc w:val="center"/>
              <w:rPr>
                <w:color w:val="000000"/>
                <w:kern w:val="0"/>
                <w:sz w:val="21"/>
                <w:szCs w:val="21"/>
              </w:rPr>
            </w:pPr>
            <w:r>
              <w:rPr>
                <w:color w:val="000000"/>
                <w:kern w:val="0"/>
                <w:sz w:val="21"/>
                <w:szCs w:val="21"/>
              </w:rPr>
              <w:t>项目资金</w:t>
            </w:r>
            <w:r>
              <w:rPr>
                <w:color w:val="000000"/>
                <w:kern w:val="0"/>
                <w:sz w:val="21"/>
                <w:szCs w:val="21"/>
              </w:rPr>
              <w:br w:type="textWrapping"/>
            </w:r>
            <w:r>
              <w:rPr>
                <w:color w:val="000000"/>
                <w:kern w:val="0"/>
                <w:sz w:val="21"/>
                <w:szCs w:val="21"/>
              </w:rPr>
              <w:t>（万元）</w:t>
            </w:r>
          </w:p>
        </w:tc>
        <w:tc>
          <w:tcPr>
            <w:tcW w:w="2391" w:type="dxa"/>
            <w:gridSpan w:val="2"/>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196"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年初</w:t>
            </w:r>
          </w:p>
          <w:p>
            <w:pPr>
              <w:widowControl/>
              <w:jc w:val="center"/>
              <w:rPr>
                <w:color w:val="000000"/>
                <w:kern w:val="0"/>
                <w:sz w:val="21"/>
                <w:szCs w:val="21"/>
              </w:rPr>
            </w:pPr>
            <w:r>
              <w:rPr>
                <w:color w:val="000000"/>
                <w:kern w:val="0"/>
                <w:sz w:val="21"/>
                <w:szCs w:val="21"/>
              </w:rPr>
              <w:t>预算数</w:t>
            </w:r>
          </w:p>
        </w:tc>
        <w:tc>
          <w:tcPr>
            <w:tcW w:w="110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全年</w:t>
            </w:r>
          </w:p>
          <w:p>
            <w:pPr>
              <w:widowControl/>
              <w:jc w:val="center"/>
              <w:rPr>
                <w:color w:val="000000"/>
                <w:kern w:val="0"/>
                <w:sz w:val="21"/>
                <w:szCs w:val="21"/>
              </w:rPr>
            </w:pPr>
            <w:r>
              <w:rPr>
                <w:color w:val="000000"/>
                <w:kern w:val="0"/>
                <w:sz w:val="21"/>
                <w:szCs w:val="21"/>
              </w:rPr>
              <w:t>预算数</w:t>
            </w:r>
          </w:p>
        </w:tc>
        <w:tc>
          <w:tcPr>
            <w:tcW w:w="1023" w:type="dxa"/>
            <w:tcBorders>
              <w:top w:val="nil"/>
              <w:left w:val="nil"/>
              <w:bottom w:val="single" w:color="auto" w:sz="4" w:space="0"/>
              <w:right w:val="single" w:color="auto" w:sz="4" w:space="0"/>
            </w:tcBorders>
            <w:vAlign w:val="center"/>
          </w:tcPr>
          <w:p>
            <w:pPr>
              <w:jc w:val="center"/>
              <w:rPr>
                <w:sz w:val="21"/>
                <w:szCs w:val="21"/>
              </w:rPr>
            </w:pPr>
            <w:r>
              <w:rPr>
                <w:sz w:val="21"/>
                <w:szCs w:val="21"/>
              </w:rPr>
              <w:t>全年</w:t>
            </w:r>
          </w:p>
          <w:p>
            <w:pPr>
              <w:jc w:val="center"/>
              <w:rPr>
                <w:sz w:val="21"/>
                <w:szCs w:val="21"/>
              </w:rPr>
            </w:pPr>
            <w:r>
              <w:rPr>
                <w:sz w:val="21"/>
                <w:szCs w:val="21"/>
              </w:rPr>
              <w:t>执行数</w:t>
            </w:r>
          </w:p>
        </w:tc>
        <w:tc>
          <w:tcPr>
            <w:tcW w:w="886" w:type="dxa"/>
            <w:tcBorders>
              <w:top w:val="nil"/>
              <w:left w:val="nil"/>
              <w:bottom w:val="single" w:color="auto" w:sz="4" w:space="0"/>
              <w:right w:val="single" w:color="auto" w:sz="4" w:space="0"/>
            </w:tcBorders>
            <w:vAlign w:val="center"/>
          </w:tcPr>
          <w:p>
            <w:pPr>
              <w:jc w:val="center"/>
              <w:rPr>
                <w:sz w:val="21"/>
                <w:szCs w:val="21"/>
              </w:rPr>
            </w:pPr>
            <w:r>
              <w:rPr>
                <w:sz w:val="21"/>
                <w:szCs w:val="21"/>
              </w:rPr>
              <w:t>分值</w:t>
            </w:r>
          </w:p>
        </w:tc>
        <w:tc>
          <w:tcPr>
            <w:tcW w:w="860" w:type="dxa"/>
            <w:tcBorders>
              <w:top w:val="nil"/>
              <w:left w:val="nil"/>
              <w:bottom w:val="single" w:color="auto" w:sz="4" w:space="0"/>
              <w:right w:val="single" w:color="auto" w:sz="4" w:space="0"/>
            </w:tcBorders>
            <w:vAlign w:val="center"/>
          </w:tcPr>
          <w:p>
            <w:pPr>
              <w:jc w:val="center"/>
              <w:rPr>
                <w:sz w:val="21"/>
                <w:szCs w:val="21"/>
              </w:rPr>
            </w:pPr>
            <w:r>
              <w:rPr>
                <w:sz w:val="21"/>
                <w:szCs w:val="21"/>
              </w:rPr>
              <w:t>执行率</w:t>
            </w:r>
          </w:p>
        </w:tc>
        <w:tc>
          <w:tcPr>
            <w:tcW w:w="1345" w:type="dxa"/>
            <w:tcBorders>
              <w:top w:val="nil"/>
              <w:left w:val="nil"/>
              <w:bottom w:val="single" w:color="auto" w:sz="4" w:space="0"/>
              <w:right w:val="single" w:color="auto" w:sz="4" w:space="0"/>
            </w:tcBorders>
            <w:vAlign w:val="center"/>
          </w:tcPr>
          <w:p>
            <w:pPr>
              <w:jc w:val="center"/>
              <w:rPr>
                <w:sz w:val="21"/>
                <w:szCs w:val="21"/>
              </w:rPr>
            </w:pPr>
            <w:r>
              <w:rPr>
                <w:sz w:val="21"/>
                <w:szCs w:val="21"/>
              </w:rPr>
              <w:t>得分</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1"/>
                <w:szCs w:val="21"/>
              </w:rPr>
            </w:pPr>
          </w:p>
        </w:tc>
        <w:tc>
          <w:tcPr>
            <w:tcW w:w="2391" w:type="dxa"/>
            <w:gridSpan w:val="2"/>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年度资金总额　</w:t>
            </w:r>
          </w:p>
        </w:tc>
        <w:tc>
          <w:tcPr>
            <w:tcW w:w="1196"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38</w:t>
            </w:r>
          </w:p>
        </w:tc>
        <w:tc>
          <w:tcPr>
            <w:tcW w:w="110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38</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19.62</w:t>
            </w:r>
          </w:p>
        </w:tc>
        <w:tc>
          <w:tcPr>
            <w:tcW w:w="886" w:type="dxa"/>
            <w:tcBorders>
              <w:top w:val="nil"/>
              <w:left w:val="nil"/>
              <w:bottom w:val="single" w:color="auto" w:sz="4" w:space="0"/>
              <w:right w:val="single" w:color="auto" w:sz="4" w:space="0"/>
            </w:tcBorders>
            <w:vAlign w:val="center"/>
          </w:tcPr>
          <w:p>
            <w:pPr>
              <w:widowControl/>
              <w:ind w:firstLine="206" w:firstLineChars="100"/>
              <w:jc w:val="left"/>
              <w:rPr>
                <w:rFonts w:hint="eastAsia"/>
                <w:color w:val="000000"/>
                <w:kern w:val="0"/>
                <w:sz w:val="21"/>
                <w:szCs w:val="21"/>
              </w:rPr>
            </w:pPr>
            <w:r>
              <w:rPr>
                <w:color w:val="000000"/>
                <w:kern w:val="0"/>
                <w:sz w:val="21"/>
                <w:szCs w:val="21"/>
              </w:rPr>
              <w:t>1</w:t>
            </w:r>
            <w:r>
              <w:rPr>
                <w:rFonts w:hint="eastAsia"/>
                <w:color w:val="000000"/>
                <w:kern w:val="0"/>
                <w:sz w:val="21"/>
                <w:szCs w:val="21"/>
              </w:rPr>
              <w:t>0分</w:t>
            </w:r>
          </w:p>
        </w:tc>
        <w:tc>
          <w:tcPr>
            <w:tcW w:w="860"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51.63%</w:t>
            </w:r>
          </w:p>
        </w:tc>
        <w:tc>
          <w:tcPr>
            <w:tcW w:w="1345"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 w:val="21"/>
                <w:szCs w:val="21"/>
                <w:lang w:eastAsia="zh-CN"/>
              </w:rPr>
            </w:pPr>
            <w:r>
              <w:rPr>
                <w:color w:val="000000"/>
                <w:kern w:val="0"/>
                <w:sz w:val="21"/>
                <w:szCs w:val="21"/>
              </w:rPr>
              <w:t>　</w:t>
            </w:r>
            <w:r>
              <w:rPr>
                <w:rFonts w:hint="eastAsia"/>
                <w:color w:val="000000"/>
                <w:kern w:val="0"/>
                <w:sz w:val="21"/>
                <w:szCs w:val="21"/>
                <w:lang w:val="en-US" w:eastAsia="zh-CN"/>
              </w:rPr>
              <w:t>9</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1"/>
                <w:szCs w:val="21"/>
              </w:rPr>
            </w:pPr>
          </w:p>
        </w:tc>
        <w:tc>
          <w:tcPr>
            <w:tcW w:w="2391" w:type="dxa"/>
            <w:gridSpan w:val="2"/>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其中：当年财政拨款　</w:t>
            </w:r>
          </w:p>
        </w:tc>
        <w:tc>
          <w:tcPr>
            <w:tcW w:w="1196"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38</w:t>
            </w:r>
          </w:p>
        </w:tc>
        <w:tc>
          <w:tcPr>
            <w:tcW w:w="110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38</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19.62</w:t>
            </w:r>
          </w:p>
        </w:tc>
        <w:tc>
          <w:tcPr>
            <w:tcW w:w="88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860"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1"/>
                <w:szCs w:val="21"/>
              </w:rPr>
            </w:pPr>
          </w:p>
        </w:tc>
        <w:tc>
          <w:tcPr>
            <w:tcW w:w="2391" w:type="dxa"/>
            <w:gridSpan w:val="2"/>
            <w:tcBorders>
              <w:top w:val="nil"/>
              <w:left w:val="nil"/>
              <w:bottom w:val="single" w:color="auto" w:sz="4" w:space="0"/>
              <w:right w:val="single" w:color="auto" w:sz="4" w:space="0"/>
            </w:tcBorders>
            <w:vAlign w:val="center"/>
          </w:tcPr>
          <w:p>
            <w:pPr>
              <w:widowControl/>
              <w:ind w:firstLine="618" w:firstLineChars="300"/>
              <w:jc w:val="left"/>
              <w:rPr>
                <w:color w:val="000000"/>
                <w:kern w:val="0"/>
                <w:sz w:val="21"/>
                <w:szCs w:val="21"/>
              </w:rPr>
            </w:pPr>
            <w:r>
              <w:rPr>
                <w:color w:val="000000"/>
                <w:kern w:val="0"/>
                <w:sz w:val="21"/>
                <w:szCs w:val="21"/>
              </w:rPr>
              <w:t>上年结转资金　</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88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860"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1"/>
                <w:szCs w:val="21"/>
              </w:rPr>
            </w:pPr>
          </w:p>
        </w:tc>
        <w:tc>
          <w:tcPr>
            <w:tcW w:w="2391" w:type="dxa"/>
            <w:gridSpan w:val="2"/>
            <w:tcBorders>
              <w:top w:val="nil"/>
              <w:left w:val="nil"/>
              <w:bottom w:val="single" w:color="auto" w:sz="4" w:space="0"/>
              <w:right w:val="single" w:color="auto" w:sz="4" w:space="0"/>
            </w:tcBorders>
            <w:vAlign w:val="center"/>
          </w:tcPr>
          <w:p>
            <w:pPr>
              <w:widowControl/>
              <w:ind w:firstLine="618" w:firstLineChars="300"/>
              <w:jc w:val="left"/>
              <w:rPr>
                <w:color w:val="000000"/>
                <w:kern w:val="0"/>
                <w:sz w:val="21"/>
                <w:szCs w:val="21"/>
              </w:rPr>
            </w:pPr>
            <w:r>
              <w:rPr>
                <w:color w:val="000000"/>
                <w:kern w:val="0"/>
                <w:sz w:val="21"/>
                <w:szCs w:val="21"/>
              </w:rPr>
              <w:t>其他资金</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88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860"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restart"/>
            <w:tcBorders>
              <w:top w:val="nil"/>
              <w:left w:val="single" w:color="auto" w:sz="4" w:space="0"/>
              <w:bottom w:val="single" w:color="000000" w:sz="4" w:space="0"/>
              <w:right w:val="single" w:color="auto" w:sz="4" w:space="0"/>
            </w:tcBorders>
            <w:vAlign w:val="center"/>
          </w:tcPr>
          <w:p>
            <w:pPr>
              <w:widowControl/>
              <w:jc w:val="center"/>
              <w:rPr>
                <w:color w:val="000000"/>
                <w:kern w:val="0"/>
                <w:sz w:val="21"/>
                <w:szCs w:val="21"/>
              </w:rPr>
            </w:pPr>
            <w:r>
              <w:rPr>
                <w:color w:val="000000"/>
                <w:kern w:val="0"/>
                <w:sz w:val="21"/>
                <w:szCs w:val="21"/>
              </w:rPr>
              <w:t>年度总体目标</w:t>
            </w:r>
          </w:p>
        </w:tc>
        <w:tc>
          <w:tcPr>
            <w:tcW w:w="4690" w:type="dxa"/>
            <w:gridSpan w:val="4"/>
            <w:tcBorders>
              <w:top w:val="single" w:color="auto" w:sz="4" w:space="0"/>
              <w:left w:val="nil"/>
              <w:bottom w:val="single" w:color="auto" w:sz="4" w:space="0"/>
              <w:right w:val="single" w:color="000000" w:sz="4" w:space="0"/>
            </w:tcBorders>
            <w:vAlign w:val="center"/>
          </w:tcPr>
          <w:p>
            <w:pPr>
              <w:widowControl/>
              <w:jc w:val="center"/>
              <w:rPr>
                <w:color w:val="000000"/>
                <w:kern w:val="0"/>
                <w:sz w:val="21"/>
                <w:szCs w:val="21"/>
              </w:rPr>
            </w:pPr>
            <w:r>
              <w:rPr>
                <w:color w:val="000000"/>
                <w:kern w:val="0"/>
                <w:sz w:val="21"/>
                <w:szCs w:val="21"/>
              </w:rPr>
              <w:t>预期目标</w:t>
            </w:r>
          </w:p>
        </w:tc>
        <w:tc>
          <w:tcPr>
            <w:tcW w:w="4114" w:type="dxa"/>
            <w:gridSpan w:val="4"/>
            <w:tcBorders>
              <w:top w:val="single" w:color="auto" w:sz="4" w:space="0"/>
              <w:left w:val="nil"/>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实际完成情况　</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1"/>
                <w:szCs w:val="21"/>
              </w:rPr>
            </w:pPr>
          </w:p>
        </w:tc>
        <w:tc>
          <w:tcPr>
            <w:tcW w:w="4690" w:type="dxa"/>
            <w:gridSpan w:val="4"/>
            <w:tcBorders>
              <w:top w:val="single" w:color="auto" w:sz="4" w:space="0"/>
              <w:left w:val="nil"/>
              <w:bottom w:val="single" w:color="auto" w:sz="4" w:space="0"/>
              <w:right w:val="single" w:color="000000" w:sz="4" w:space="0"/>
            </w:tcBorders>
            <w:vAlign w:val="center"/>
          </w:tcPr>
          <w:p>
            <w:pPr>
              <w:widowControl/>
              <w:jc w:val="center"/>
              <w:rPr>
                <w:color w:val="000000"/>
                <w:kern w:val="0"/>
                <w:sz w:val="21"/>
                <w:szCs w:val="21"/>
              </w:rPr>
            </w:pPr>
            <w:r>
              <w:rPr>
                <w:rFonts w:hint="eastAsia"/>
                <w:color w:val="000000"/>
                <w:kern w:val="0"/>
                <w:sz w:val="21"/>
                <w:szCs w:val="21"/>
              </w:rPr>
              <w:t>完成2022年度社区矫正工作任务。使罪犯顺利回归社会，预防犯罪，维护社会稳定，确保不出事故。加强社区矫正日常督察工作、做好针对服刑人员的教育帮教工作。</w:t>
            </w:r>
          </w:p>
        </w:tc>
        <w:tc>
          <w:tcPr>
            <w:tcW w:w="4114" w:type="dxa"/>
            <w:gridSpan w:val="4"/>
            <w:tcBorders>
              <w:top w:val="single" w:color="auto" w:sz="4" w:space="0"/>
              <w:left w:val="nil"/>
              <w:bottom w:val="single" w:color="auto" w:sz="4" w:space="0"/>
              <w:right w:val="single" w:color="auto" w:sz="4" w:space="0"/>
            </w:tcBorders>
            <w:vAlign w:val="center"/>
          </w:tcPr>
          <w:p>
            <w:pPr>
              <w:ind w:firstLine="412" w:firstLineChars="200"/>
              <w:rPr>
                <w:color w:val="000000"/>
                <w:kern w:val="0"/>
                <w:sz w:val="21"/>
                <w:szCs w:val="21"/>
              </w:rPr>
            </w:pPr>
            <w:r>
              <w:rPr>
                <w:color w:val="000000"/>
                <w:kern w:val="0"/>
                <w:sz w:val="21"/>
                <w:szCs w:val="21"/>
              </w:rPr>
              <w:t>　</w:t>
            </w:r>
            <w:r>
              <w:rPr>
                <w:rFonts w:hint="eastAsia"/>
                <w:color w:val="000000"/>
                <w:kern w:val="0"/>
                <w:sz w:val="21"/>
                <w:szCs w:val="21"/>
              </w:rPr>
              <w:t>2022年，共接受有关部门</w:t>
            </w:r>
            <w:r>
              <w:rPr>
                <w:rFonts w:hint="eastAsia"/>
                <w:color w:val="000000"/>
                <w:kern w:val="0"/>
                <w:sz w:val="21"/>
                <w:szCs w:val="21"/>
                <w:lang w:val="zh-CN"/>
              </w:rPr>
              <w:t>委托开展适用社区矫正调查评估</w:t>
            </w:r>
            <w:r>
              <w:rPr>
                <w:rFonts w:hint="eastAsia"/>
                <w:color w:val="000000"/>
                <w:kern w:val="0"/>
                <w:sz w:val="21"/>
                <w:szCs w:val="21"/>
              </w:rPr>
              <w:t>278例，接收164名社区矫正对象，解除社区矫正对象202人，终止社区矫正4人，迁出矫正对象8人，安置帮教对象共计1351人，2022年智慧矫正一体化平台在全省均名列前茅。</w:t>
            </w:r>
          </w:p>
          <w:p>
            <w:pPr>
              <w:adjustRightInd w:val="0"/>
              <w:snapToGrid w:val="0"/>
              <w:ind w:firstLine="412" w:firstLineChars="200"/>
              <w:rPr>
                <w:rFonts w:hint="eastAsia"/>
                <w:color w:val="000000"/>
                <w:kern w:val="0"/>
                <w:sz w:val="21"/>
                <w:szCs w:val="21"/>
              </w:rPr>
            </w:pPr>
          </w:p>
          <w:p>
            <w:pPr>
              <w:widowControl/>
              <w:jc w:val="left"/>
              <w:rPr>
                <w:rFonts w:hint="eastAsia"/>
                <w:color w:val="000000"/>
                <w:kern w:val="0"/>
                <w:sz w:val="21"/>
                <w:szCs w:val="21"/>
              </w:rPr>
            </w:pPr>
          </w:p>
        </w:tc>
      </w:tr>
      <w:tr>
        <w:tblPrEx>
          <w:tblCellMar>
            <w:top w:w="0" w:type="dxa"/>
            <w:left w:w="108" w:type="dxa"/>
            <w:bottom w:w="0" w:type="dxa"/>
            <w:right w:w="108" w:type="dxa"/>
          </w:tblCellMar>
        </w:tblPrEx>
        <w:trPr>
          <w:jc w:val="center"/>
        </w:trPr>
        <w:tc>
          <w:tcPr>
            <w:tcW w:w="1047" w:type="dxa"/>
            <w:vMerge w:val="restart"/>
            <w:tcBorders>
              <w:top w:val="nil"/>
              <w:left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绩</w:t>
            </w:r>
          </w:p>
          <w:p>
            <w:pPr>
              <w:widowControl/>
              <w:jc w:val="center"/>
              <w:rPr>
                <w:color w:val="000000"/>
                <w:kern w:val="0"/>
                <w:sz w:val="21"/>
                <w:szCs w:val="21"/>
              </w:rPr>
            </w:pPr>
            <w:r>
              <w:rPr>
                <w:color w:val="000000"/>
                <w:kern w:val="0"/>
                <w:sz w:val="21"/>
                <w:szCs w:val="21"/>
              </w:rPr>
              <w:t>效</w:t>
            </w:r>
          </w:p>
          <w:p>
            <w:pPr>
              <w:widowControl/>
              <w:jc w:val="center"/>
              <w:rPr>
                <w:color w:val="000000"/>
                <w:kern w:val="0"/>
                <w:sz w:val="21"/>
                <w:szCs w:val="21"/>
              </w:rPr>
            </w:pPr>
            <w:r>
              <w:rPr>
                <w:color w:val="000000"/>
                <w:kern w:val="0"/>
                <w:sz w:val="21"/>
                <w:szCs w:val="21"/>
              </w:rPr>
              <w:t>指</w:t>
            </w:r>
          </w:p>
          <w:p>
            <w:pPr>
              <w:widowControl/>
              <w:jc w:val="center"/>
              <w:rPr>
                <w:color w:val="000000"/>
                <w:kern w:val="0"/>
                <w:sz w:val="21"/>
                <w:szCs w:val="21"/>
              </w:rPr>
            </w:pPr>
            <w:r>
              <w:rPr>
                <w:color w:val="000000"/>
                <w:kern w:val="0"/>
                <w:sz w:val="21"/>
                <w:szCs w:val="21"/>
              </w:rPr>
              <w:t>标</w:t>
            </w:r>
          </w:p>
          <w:p>
            <w:pPr>
              <w:widowControl/>
              <w:jc w:val="center"/>
              <w:rPr>
                <w:color w:val="000000"/>
                <w:kern w:val="0"/>
                <w:sz w:val="21"/>
                <w:szCs w:val="21"/>
              </w:rPr>
            </w:pPr>
          </w:p>
        </w:tc>
        <w:tc>
          <w:tcPr>
            <w:tcW w:w="1047"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一级指标</w:t>
            </w:r>
          </w:p>
        </w:tc>
        <w:tc>
          <w:tcPr>
            <w:tcW w:w="1344"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二级指标</w:t>
            </w:r>
          </w:p>
        </w:tc>
        <w:tc>
          <w:tcPr>
            <w:tcW w:w="1196"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三级指标</w:t>
            </w:r>
          </w:p>
        </w:tc>
        <w:tc>
          <w:tcPr>
            <w:tcW w:w="1103"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年度</w:t>
            </w:r>
          </w:p>
          <w:p>
            <w:pPr>
              <w:widowControl/>
              <w:spacing w:line="240" w:lineRule="exact"/>
              <w:jc w:val="center"/>
              <w:rPr>
                <w:color w:val="000000"/>
                <w:kern w:val="0"/>
                <w:sz w:val="21"/>
                <w:szCs w:val="21"/>
              </w:rPr>
            </w:pPr>
            <w:r>
              <w:rPr>
                <w:color w:val="000000"/>
                <w:kern w:val="0"/>
                <w:sz w:val="21"/>
                <w:szCs w:val="21"/>
              </w:rPr>
              <w:t>指标值</w:t>
            </w:r>
          </w:p>
        </w:tc>
        <w:tc>
          <w:tcPr>
            <w:tcW w:w="1023"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实际</w:t>
            </w:r>
          </w:p>
          <w:p>
            <w:pPr>
              <w:widowControl/>
              <w:spacing w:line="240" w:lineRule="exact"/>
              <w:jc w:val="center"/>
              <w:rPr>
                <w:color w:val="000000"/>
                <w:kern w:val="0"/>
                <w:sz w:val="21"/>
                <w:szCs w:val="21"/>
              </w:rPr>
            </w:pPr>
            <w:r>
              <w:rPr>
                <w:color w:val="000000"/>
                <w:kern w:val="0"/>
                <w:sz w:val="21"/>
                <w:szCs w:val="21"/>
              </w:rPr>
              <w:t>完成值</w:t>
            </w:r>
          </w:p>
        </w:tc>
        <w:tc>
          <w:tcPr>
            <w:tcW w:w="886"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分值</w:t>
            </w:r>
          </w:p>
        </w:tc>
        <w:tc>
          <w:tcPr>
            <w:tcW w:w="860"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得分</w:t>
            </w:r>
          </w:p>
        </w:tc>
        <w:tc>
          <w:tcPr>
            <w:tcW w:w="1345"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偏差原因</w:t>
            </w:r>
          </w:p>
          <w:p>
            <w:pPr>
              <w:widowControl/>
              <w:spacing w:line="240" w:lineRule="exact"/>
              <w:jc w:val="center"/>
              <w:rPr>
                <w:color w:val="000000"/>
                <w:kern w:val="0"/>
                <w:sz w:val="21"/>
                <w:szCs w:val="21"/>
              </w:rPr>
            </w:pPr>
            <w:r>
              <w:rPr>
                <w:color w:val="000000"/>
                <w:kern w:val="0"/>
                <w:sz w:val="21"/>
                <w:szCs w:val="21"/>
              </w:rPr>
              <w:t>分析及</w:t>
            </w:r>
          </w:p>
          <w:p>
            <w:pPr>
              <w:widowControl/>
              <w:spacing w:line="240" w:lineRule="exact"/>
              <w:jc w:val="center"/>
              <w:rPr>
                <w:color w:val="000000"/>
                <w:kern w:val="0"/>
                <w:sz w:val="21"/>
                <w:szCs w:val="21"/>
              </w:rPr>
            </w:pPr>
            <w:r>
              <w:rPr>
                <w:color w:val="000000"/>
                <w:kern w:val="0"/>
                <w:sz w:val="21"/>
                <w:szCs w:val="21"/>
              </w:rPr>
              <w:t>改进措施</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restart"/>
            <w:tcBorders>
              <w:top w:val="nil"/>
              <w:left w:val="nil"/>
              <w:right w:val="single" w:color="auto" w:sz="4" w:space="0"/>
            </w:tcBorders>
            <w:vAlign w:val="center"/>
          </w:tcPr>
          <w:p>
            <w:pPr>
              <w:widowControl/>
              <w:jc w:val="center"/>
              <w:rPr>
                <w:color w:val="000000"/>
                <w:kern w:val="0"/>
                <w:sz w:val="21"/>
                <w:szCs w:val="21"/>
              </w:rPr>
            </w:pPr>
            <w:r>
              <w:rPr>
                <w:color w:val="000000"/>
                <w:kern w:val="0"/>
                <w:sz w:val="21"/>
                <w:szCs w:val="21"/>
              </w:rPr>
              <w:t>产出指标</w:t>
            </w:r>
          </w:p>
          <w:p>
            <w:pPr>
              <w:widowControl/>
              <w:jc w:val="center"/>
              <w:rPr>
                <w:color w:val="000000"/>
                <w:kern w:val="0"/>
                <w:sz w:val="21"/>
                <w:szCs w:val="21"/>
              </w:rPr>
            </w:pPr>
          </w:p>
          <w:p>
            <w:pPr>
              <w:widowControl/>
              <w:jc w:val="center"/>
              <w:rPr>
                <w:color w:val="000000"/>
                <w:kern w:val="0"/>
                <w:sz w:val="21"/>
                <w:szCs w:val="21"/>
              </w:rPr>
            </w:pPr>
            <w:r>
              <w:rPr>
                <w:color w:val="000000"/>
                <w:kern w:val="0"/>
                <w:sz w:val="21"/>
                <w:szCs w:val="21"/>
              </w:rPr>
              <w:t>(50分)</w:t>
            </w:r>
          </w:p>
        </w:tc>
        <w:tc>
          <w:tcPr>
            <w:tcW w:w="1344" w:type="dxa"/>
            <w:vMerge w:val="restart"/>
            <w:tcBorders>
              <w:top w:val="nil"/>
              <w:left w:val="nil"/>
              <w:right w:val="single" w:color="auto" w:sz="4" w:space="0"/>
            </w:tcBorders>
            <w:vAlign w:val="center"/>
          </w:tcPr>
          <w:p>
            <w:pPr>
              <w:widowControl/>
              <w:jc w:val="center"/>
              <w:rPr>
                <w:color w:val="000000"/>
                <w:kern w:val="0"/>
                <w:sz w:val="21"/>
                <w:szCs w:val="21"/>
              </w:rPr>
            </w:pPr>
            <w:r>
              <w:rPr>
                <w:color w:val="000000"/>
                <w:kern w:val="0"/>
                <w:sz w:val="21"/>
                <w:szCs w:val="21"/>
              </w:rPr>
              <w:t>数量指标</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1.接收社区矫正对象</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164人</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164人</w:t>
            </w:r>
          </w:p>
        </w:tc>
        <w:tc>
          <w:tcPr>
            <w:tcW w:w="886"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15</w:t>
            </w:r>
          </w:p>
        </w:tc>
        <w:tc>
          <w:tcPr>
            <w:tcW w:w="860"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15</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left w:val="nil"/>
              <w:right w:val="single" w:color="auto" w:sz="4" w:space="0"/>
            </w:tcBorders>
            <w:vAlign w:val="center"/>
          </w:tcPr>
          <w:p>
            <w:pPr>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2.解除社区矫正对象</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202人</w:t>
            </w:r>
          </w:p>
        </w:tc>
        <w:tc>
          <w:tcPr>
            <w:tcW w:w="102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202人</w:t>
            </w:r>
          </w:p>
        </w:tc>
        <w:tc>
          <w:tcPr>
            <w:tcW w:w="886" w:type="dxa"/>
            <w:vMerge w:val="continue"/>
            <w:tcBorders>
              <w:left w:val="nil"/>
              <w:right w:val="single" w:color="auto" w:sz="4" w:space="0"/>
            </w:tcBorders>
            <w:vAlign w:val="center"/>
          </w:tcPr>
          <w:p>
            <w:pPr>
              <w:widowControl/>
              <w:jc w:val="left"/>
              <w:rPr>
                <w:color w:val="000000"/>
                <w:kern w:val="0"/>
                <w:sz w:val="21"/>
                <w:szCs w:val="21"/>
              </w:rPr>
            </w:pPr>
          </w:p>
        </w:tc>
        <w:tc>
          <w:tcPr>
            <w:tcW w:w="860" w:type="dxa"/>
            <w:vMerge w:val="continue"/>
            <w:tcBorders>
              <w:left w:val="nil"/>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left w:val="nil"/>
              <w:bottom w:val="single" w:color="auto" w:sz="4" w:space="0"/>
              <w:right w:val="single" w:color="auto" w:sz="4" w:space="0"/>
            </w:tcBorders>
            <w:vAlign w:val="center"/>
          </w:tcPr>
          <w:p>
            <w:pPr>
              <w:widowControl/>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3.安置帮教对象</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1351人</w:t>
            </w:r>
          </w:p>
        </w:tc>
        <w:tc>
          <w:tcPr>
            <w:tcW w:w="102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1351人</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restart"/>
            <w:tcBorders>
              <w:top w:val="nil"/>
              <w:left w:val="nil"/>
              <w:right w:val="single" w:color="auto" w:sz="4" w:space="0"/>
            </w:tcBorders>
            <w:vAlign w:val="center"/>
          </w:tcPr>
          <w:p>
            <w:pPr>
              <w:widowControl/>
              <w:jc w:val="center"/>
              <w:rPr>
                <w:color w:val="000000"/>
                <w:kern w:val="0"/>
                <w:sz w:val="21"/>
                <w:szCs w:val="21"/>
              </w:rPr>
            </w:pPr>
            <w:r>
              <w:rPr>
                <w:color w:val="000000"/>
                <w:kern w:val="0"/>
                <w:sz w:val="21"/>
                <w:szCs w:val="21"/>
              </w:rPr>
              <w:t>质量指标</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1.开展适用社区矫正调查评估</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 xml:space="preserve">270例 </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278例</w:t>
            </w:r>
          </w:p>
        </w:tc>
        <w:tc>
          <w:tcPr>
            <w:tcW w:w="886"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15</w:t>
            </w:r>
          </w:p>
          <w:p>
            <w:pPr>
              <w:widowControl/>
              <w:jc w:val="left"/>
              <w:rPr>
                <w:color w:val="000000"/>
                <w:kern w:val="0"/>
                <w:sz w:val="21"/>
                <w:szCs w:val="21"/>
              </w:rPr>
            </w:pPr>
            <w:r>
              <w:rPr>
                <w:color w:val="000000"/>
                <w:kern w:val="0"/>
                <w:sz w:val="21"/>
                <w:szCs w:val="21"/>
              </w:rPr>
              <w:t>　</w:t>
            </w:r>
          </w:p>
        </w:tc>
        <w:tc>
          <w:tcPr>
            <w:tcW w:w="860" w:type="dxa"/>
            <w:vMerge w:val="restart"/>
            <w:tcBorders>
              <w:top w:val="nil"/>
              <w:left w:val="nil"/>
              <w:right w:val="single" w:color="auto" w:sz="4" w:space="0"/>
            </w:tcBorders>
            <w:vAlign w:val="center"/>
          </w:tcPr>
          <w:p>
            <w:pPr>
              <w:widowControl/>
              <w:jc w:val="left"/>
              <w:rPr>
                <w:color w:val="000000"/>
                <w:kern w:val="0"/>
                <w:sz w:val="21"/>
                <w:szCs w:val="21"/>
              </w:rPr>
            </w:pPr>
          </w:p>
          <w:p>
            <w:pPr>
              <w:widowControl/>
              <w:jc w:val="left"/>
              <w:rPr>
                <w:color w:val="000000"/>
                <w:kern w:val="0"/>
                <w:sz w:val="21"/>
                <w:szCs w:val="21"/>
              </w:rPr>
            </w:pPr>
            <w:r>
              <w:rPr>
                <w:color w:val="000000"/>
                <w:kern w:val="0"/>
                <w:sz w:val="21"/>
                <w:szCs w:val="21"/>
              </w:rPr>
              <w:t>　</w:t>
            </w:r>
            <w:r>
              <w:rPr>
                <w:rFonts w:hint="eastAsia"/>
                <w:color w:val="000000"/>
                <w:kern w:val="0"/>
                <w:sz w:val="21"/>
                <w:szCs w:val="21"/>
              </w:rPr>
              <w:t>15</w:t>
            </w:r>
          </w:p>
          <w:p>
            <w:pPr>
              <w:widowControl/>
              <w:jc w:val="left"/>
              <w:rPr>
                <w:color w:val="000000"/>
                <w:kern w:val="0"/>
                <w:sz w:val="21"/>
                <w:szCs w:val="21"/>
              </w:rPr>
            </w:pPr>
            <w:r>
              <w:rPr>
                <w:color w:val="000000"/>
                <w:kern w:val="0"/>
                <w:sz w:val="21"/>
                <w:szCs w:val="21"/>
              </w:rPr>
              <w:t>　</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left w:val="nil"/>
              <w:right w:val="single" w:color="auto" w:sz="4" w:space="0"/>
            </w:tcBorders>
            <w:vAlign w:val="center"/>
          </w:tcPr>
          <w:p>
            <w:pPr>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pStyle w:val="2"/>
              <w:spacing w:after="0"/>
              <w:jc w:val="left"/>
              <w:rPr>
                <w:rFonts w:ascii="仿宋_GB2312" w:hAnsi="仿宋_GB2312" w:cs="仿宋_GB2312"/>
                <w:szCs w:val="32"/>
              </w:rPr>
            </w:pPr>
            <w:r>
              <w:rPr>
                <w:rFonts w:hint="eastAsia"/>
                <w:color w:val="000000"/>
                <w:kern w:val="0"/>
                <w:sz w:val="21"/>
                <w:szCs w:val="21"/>
              </w:rPr>
              <w:t>2.筑牢社区矫正安全防线。</w:t>
            </w:r>
          </w:p>
          <w:p>
            <w:pPr>
              <w:widowControl/>
              <w:jc w:val="left"/>
              <w:rPr>
                <w:color w:val="000000"/>
                <w:kern w:val="0"/>
                <w:sz w:val="21"/>
                <w:szCs w:val="21"/>
              </w:rPr>
            </w:pPr>
          </w:p>
        </w:tc>
        <w:tc>
          <w:tcPr>
            <w:tcW w:w="110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达标</w:t>
            </w:r>
          </w:p>
        </w:tc>
        <w:tc>
          <w:tcPr>
            <w:tcW w:w="102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达标</w:t>
            </w:r>
          </w:p>
        </w:tc>
        <w:tc>
          <w:tcPr>
            <w:tcW w:w="886" w:type="dxa"/>
            <w:vMerge w:val="continue"/>
            <w:tcBorders>
              <w:left w:val="nil"/>
              <w:right w:val="single" w:color="auto" w:sz="4" w:space="0"/>
            </w:tcBorders>
            <w:vAlign w:val="center"/>
          </w:tcPr>
          <w:p>
            <w:pPr>
              <w:widowControl/>
              <w:jc w:val="left"/>
              <w:rPr>
                <w:color w:val="000000"/>
                <w:kern w:val="0"/>
                <w:sz w:val="21"/>
                <w:szCs w:val="21"/>
              </w:rPr>
            </w:pPr>
          </w:p>
        </w:tc>
        <w:tc>
          <w:tcPr>
            <w:tcW w:w="860" w:type="dxa"/>
            <w:vMerge w:val="continue"/>
            <w:tcBorders>
              <w:left w:val="nil"/>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left w:val="nil"/>
              <w:bottom w:val="single" w:color="auto" w:sz="4" w:space="0"/>
              <w:right w:val="single" w:color="auto" w:sz="4" w:space="0"/>
            </w:tcBorders>
            <w:vAlign w:val="center"/>
          </w:tcPr>
          <w:p>
            <w:pPr>
              <w:widowControl/>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3.加强社区矫正人员法律法规讲解,提高法纪意识</w:t>
            </w:r>
          </w:p>
        </w:tc>
        <w:tc>
          <w:tcPr>
            <w:tcW w:w="110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达标</w:t>
            </w:r>
          </w:p>
        </w:tc>
        <w:tc>
          <w:tcPr>
            <w:tcW w:w="102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达标</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时效指标</w:t>
            </w:r>
          </w:p>
        </w:tc>
        <w:tc>
          <w:tcPr>
            <w:tcW w:w="1196"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rFonts w:hint="eastAsia"/>
                <w:color w:val="000000"/>
                <w:kern w:val="0"/>
                <w:sz w:val="21"/>
                <w:szCs w:val="21"/>
              </w:rPr>
              <w:t>1.项目经费支出进度</w:t>
            </w:r>
          </w:p>
        </w:tc>
        <w:tc>
          <w:tcPr>
            <w:tcW w:w="110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完成</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完成</w:t>
            </w:r>
          </w:p>
        </w:tc>
        <w:tc>
          <w:tcPr>
            <w:tcW w:w="886"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860"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2</w:t>
            </w:r>
            <w:r>
              <w:rPr>
                <w:rFonts w:hint="eastAsia"/>
                <w:color w:val="000000"/>
                <w:kern w:val="0"/>
                <w:sz w:val="21"/>
                <w:szCs w:val="21"/>
              </w:rPr>
              <w:t>.社区矫正个案矫正率</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100%</w:t>
            </w:r>
          </w:p>
        </w:tc>
        <w:tc>
          <w:tcPr>
            <w:tcW w:w="102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100%</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restart"/>
            <w:tcBorders>
              <w:top w:val="single" w:color="auto" w:sz="4" w:space="0"/>
              <w:left w:val="nil"/>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成本指标</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1</w:t>
            </w:r>
            <w:r>
              <w:rPr>
                <w:rFonts w:hint="eastAsia"/>
                <w:color w:val="000000"/>
                <w:kern w:val="0"/>
                <w:sz w:val="21"/>
                <w:szCs w:val="21"/>
              </w:rPr>
              <w:t>.社区矫正经费</w:t>
            </w:r>
          </w:p>
        </w:tc>
        <w:tc>
          <w:tcPr>
            <w:tcW w:w="110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38万元</w:t>
            </w:r>
          </w:p>
        </w:tc>
        <w:tc>
          <w:tcPr>
            <w:tcW w:w="102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19.62万元</w:t>
            </w:r>
          </w:p>
        </w:tc>
        <w:tc>
          <w:tcPr>
            <w:tcW w:w="886" w:type="dxa"/>
            <w:vMerge w:val="restart"/>
            <w:tcBorders>
              <w:top w:val="nil"/>
              <w:left w:val="nil"/>
              <w:right w:val="single" w:color="auto" w:sz="4" w:space="0"/>
            </w:tcBorders>
            <w:vAlign w:val="center"/>
          </w:tcPr>
          <w:p>
            <w:pPr>
              <w:widowControl/>
              <w:jc w:val="center"/>
              <w:rPr>
                <w:color w:val="000000"/>
                <w:kern w:val="0"/>
                <w:sz w:val="21"/>
                <w:szCs w:val="21"/>
              </w:rPr>
            </w:pP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860" w:type="dxa"/>
            <w:vMerge w:val="restart"/>
            <w:tcBorders>
              <w:top w:val="nil"/>
              <w:left w:val="nil"/>
              <w:right w:val="single" w:color="auto" w:sz="4" w:space="0"/>
            </w:tcBorders>
            <w:vAlign w:val="center"/>
          </w:tcPr>
          <w:p>
            <w:pPr>
              <w:widowControl/>
              <w:jc w:val="center"/>
              <w:rPr>
                <w:color w:val="000000"/>
                <w:kern w:val="0"/>
                <w:sz w:val="21"/>
                <w:szCs w:val="21"/>
              </w:rPr>
            </w:pPr>
            <w:r>
              <w:rPr>
                <w:rFonts w:hint="eastAsia"/>
                <w:color w:val="000000"/>
                <w:kern w:val="0"/>
                <w:sz w:val="21"/>
                <w:szCs w:val="21"/>
              </w:rPr>
              <w:t>9</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sz w:val="16"/>
                <w:szCs w:val="16"/>
              </w:rPr>
              <w:t>智慧矫正建设因新办公地点未按期搬迁腾空，加上疫情原因今年未能动工。明年加快进度完成搬迁工作</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bottom w:val="single" w:color="auto" w:sz="4" w:space="0"/>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nil"/>
              <w:bottom w:val="single" w:color="auto" w:sz="4" w:space="0"/>
              <w:right w:val="single" w:color="auto" w:sz="4" w:space="0"/>
            </w:tcBorders>
            <w:vAlign w:val="center"/>
          </w:tcPr>
          <w:p>
            <w:pPr>
              <w:jc w:val="left"/>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2.财政资金足额到位率</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100%</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100%</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745" w:hRule="atLeast"/>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restart"/>
            <w:tcBorders>
              <w:top w:val="single" w:color="auto" w:sz="4" w:space="0"/>
              <w:left w:val="nil"/>
              <w:right w:val="single" w:color="auto" w:sz="4" w:space="0"/>
            </w:tcBorders>
            <w:vAlign w:val="center"/>
          </w:tcPr>
          <w:p>
            <w:pPr>
              <w:widowControl/>
              <w:jc w:val="left"/>
              <w:rPr>
                <w:color w:val="000000"/>
                <w:kern w:val="0"/>
                <w:sz w:val="21"/>
                <w:szCs w:val="21"/>
              </w:rPr>
            </w:pPr>
            <w:r>
              <w:rPr>
                <w:color w:val="000000"/>
                <w:kern w:val="0"/>
                <w:sz w:val="21"/>
                <w:szCs w:val="21"/>
              </w:rPr>
              <w:t>效益指标</w:t>
            </w:r>
          </w:p>
          <w:p>
            <w:pPr>
              <w:widowControl/>
              <w:jc w:val="left"/>
              <w:rPr>
                <w:color w:val="000000"/>
                <w:kern w:val="0"/>
                <w:sz w:val="21"/>
                <w:szCs w:val="21"/>
              </w:rPr>
            </w:pPr>
          </w:p>
          <w:p>
            <w:pPr>
              <w:widowControl/>
              <w:jc w:val="left"/>
              <w:rPr>
                <w:color w:val="000000"/>
                <w:kern w:val="0"/>
                <w:sz w:val="21"/>
                <w:szCs w:val="21"/>
              </w:rPr>
            </w:pPr>
            <w:r>
              <w:rPr>
                <w:color w:val="000000"/>
                <w:kern w:val="0"/>
                <w:sz w:val="21"/>
                <w:szCs w:val="21"/>
              </w:rPr>
              <w:t>（</w:t>
            </w:r>
            <w:r>
              <w:rPr>
                <w:rFonts w:hint="eastAsia"/>
                <w:color w:val="000000"/>
                <w:kern w:val="0"/>
                <w:sz w:val="21"/>
                <w:szCs w:val="21"/>
              </w:rPr>
              <w:t>4</w:t>
            </w:r>
            <w:r>
              <w:rPr>
                <w:color w:val="000000"/>
                <w:kern w:val="0"/>
                <w:sz w:val="21"/>
                <w:szCs w:val="21"/>
              </w:rPr>
              <w:t>0分）</w:t>
            </w:r>
          </w:p>
          <w:p>
            <w:pPr>
              <w:widowControl/>
              <w:jc w:val="left"/>
              <w:rPr>
                <w:color w:val="000000"/>
                <w:kern w:val="0"/>
                <w:sz w:val="21"/>
                <w:szCs w:val="21"/>
              </w:rPr>
            </w:pPr>
            <w:r>
              <w:rPr>
                <w:color w:val="000000"/>
                <w:kern w:val="0"/>
                <w:sz w:val="21"/>
                <w:szCs w:val="21"/>
              </w:rPr>
              <w:t>　</w:t>
            </w:r>
          </w:p>
          <w:p>
            <w:pPr>
              <w:widowControl/>
              <w:jc w:val="center"/>
              <w:rPr>
                <w:color w:val="000000"/>
                <w:kern w:val="0"/>
                <w:sz w:val="21"/>
                <w:szCs w:val="21"/>
              </w:rPr>
            </w:pPr>
          </w:p>
        </w:tc>
        <w:tc>
          <w:tcPr>
            <w:tcW w:w="1344" w:type="dxa"/>
            <w:vMerge w:val="restart"/>
            <w:tcBorders>
              <w:top w:val="single" w:color="auto" w:sz="4" w:space="0"/>
              <w:left w:val="nil"/>
              <w:bottom w:val="nil"/>
              <w:right w:val="single" w:color="auto" w:sz="4" w:space="0"/>
            </w:tcBorders>
            <w:vAlign w:val="center"/>
          </w:tcPr>
          <w:p>
            <w:pPr>
              <w:widowControl/>
              <w:jc w:val="center"/>
              <w:rPr>
                <w:color w:val="000000"/>
                <w:kern w:val="0"/>
                <w:sz w:val="21"/>
                <w:szCs w:val="21"/>
              </w:rPr>
            </w:pPr>
            <w:r>
              <w:rPr>
                <w:color w:val="000000"/>
                <w:kern w:val="0"/>
                <w:sz w:val="21"/>
                <w:szCs w:val="21"/>
              </w:rPr>
              <w:t>经济效</w:t>
            </w:r>
          </w:p>
          <w:p>
            <w:pPr>
              <w:widowControl/>
              <w:jc w:val="center"/>
              <w:rPr>
                <w:color w:val="000000"/>
                <w:kern w:val="0"/>
                <w:sz w:val="21"/>
                <w:szCs w:val="21"/>
              </w:rPr>
            </w:pPr>
            <w:r>
              <w:rPr>
                <w:color w:val="000000"/>
                <w:kern w:val="0"/>
                <w:sz w:val="21"/>
                <w:szCs w:val="21"/>
              </w:rPr>
              <w:t>益指标</w:t>
            </w:r>
          </w:p>
        </w:tc>
        <w:tc>
          <w:tcPr>
            <w:tcW w:w="1196" w:type="dxa"/>
            <w:tcBorders>
              <w:top w:val="single" w:color="auto" w:sz="4" w:space="0"/>
              <w:left w:val="nil"/>
              <w:bottom w:val="nil"/>
              <w:right w:val="single" w:color="auto" w:sz="4" w:space="0"/>
            </w:tcBorders>
            <w:vAlign w:val="center"/>
          </w:tcPr>
          <w:p>
            <w:pPr>
              <w:widowControl/>
              <w:jc w:val="left"/>
              <w:rPr>
                <w:color w:val="000000"/>
                <w:kern w:val="0"/>
                <w:sz w:val="21"/>
                <w:szCs w:val="21"/>
              </w:rPr>
            </w:pPr>
            <w:r>
              <w:rPr>
                <w:rFonts w:hint="eastAsia"/>
                <w:color w:val="000000"/>
                <w:kern w:val="0"/>
                <w:sz w:val="21"/>
                <w:szCs w:val="21"/>
              </w:rPr>
              <w:t>1.社区矫正对象违纪率</w:t>
            </w:r>
          </w:p>
        </w:tc>
        <w:tc>
          <w:tcPr>
            <w:tcW w:w="1103" w:type="dxa"/>
            <w:tcBorders>
              <w:top w:val="single" w:color="auto" w:sz="4" w:space="0"/>
              <w:left w:val="nil"/>
              <w:bottom w:val="nil"/>
              <w:right w:val="single" w:color="auto" w:sz="4" w:space="0"/>
            </w:tcBorders>
            <w:vAlign w:val="center"/>
          </w:tcPr>
          <w:p>
            <w:pPr>
              <w:widowControl/>
              <w:jc w:val="center"/>
              <w:rPr>
                <w:color w:val="000000"/>
                <w:kern w:val="0"/>
                <w:sz w:val="21"/>
                <w:szCs w:val="21"/>
              </w:rPr>
            </w:pPr>
            <w:r>
              <w:rPr>
                <w:rFonts w:ascii="Arial" w:hAnsi="Arial" w:cs="Arial"/>
                <w:color w:val="000000"/>
                <w:kern w:val="0"/>
                <w:sz w:val="21"/>
                <w:szCs w:val="21"/>
              </w:rPr>
              <w:t>≤</w:t>
            </w:r>
            <w:r>
              <w:rPr>
                <w:rFonts w:hint="eastAsia"/>
                <w:color w:val="000000"/>
                <w:kern w:val="0"/>
                <w:sz w:val="21"/>
                <w:szCs w:val="21"/>
              </w:rPr>
              <w:t>1%</w:t>
            </w:r>
          </w:p>
        </w:tc>
        <w:tc>
          <w:tcPr>
            <w:tcW w:w="1023" w:type="dxa"/>
            <w:tcBorders>
              <w:top w:val="single" w:color="auto" w:sz="4" w:space="0"/>
              <w:left w:val="nil"/>
              <w:bottom w:val="nil"/>
              <w:right w:val="single" w:color="auto" w:sz="4" w:space="0"/>
            </w:tcBorders>
            <w:vAlign w:val="center"/>
          </w:tcPr>
          <w:p>
            <w:pPr>
              <w:widowControl/>
              <w:jc w:val="center"/>
              <w:rPr>
                <w:rFonts w:hint="eastAsia"/>
                <w:color w:val="000000"/>
                <w:kern w:val="0"/>
                <w:sz w:val="21"/>
                <w:szCs w:val="21"/>
              </w:rPr>
            </w:pPr>
            <w:r>
              <w:rPr>
                <w:rFonts w:ascii="Arial" w:hAnsi="Arial" w:cs="Arial"/>
                <w:color w:val="000000"/>
                <w:kern w:val="0"/>
                <w:sz w:val="21"/>
                <w:szCs w:val="21"/>
              </w:rPr>
              <w:t>≤</w:t>
            </w:r>
            <w:r>
              <w:rPr>
                <w:rFonts w:hint="eastAsia"/>
                <w:color w:val="000000"/>
                <w:kern w:val="0"/>
                <w:sz w:val="21"/>
                <w:szCs w:val="21"/>
              </w:rPr>
              <w:t>1%</w:t>
            </w:r>
          </w:p>
        </w:tc>
        <w:tc>
          <w:tcPr>
            <w:tcW w:w="886" w:type="dxa"/>
            <w:vMerge w:val="restart"/>
            <w:tcBorders>
              <w:top w:val="single" w:color="auto" w:sz="4" w:space="0"/>
              <w:left w:val="nil"/>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860" w:type="dxa"/>
            <w:vMerge w:val="restart"/>
            <w:tcBorders>
              <w:top w:val="single" w:color="auto" w:sz="4" w:space="0"/>
              <w:left w:val="nil"/>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1345" w:type="dxa"/>
            <w:tcBorders>
              <w:top w:val="single" w:color="auto" w:sz="4" w:space="0"/>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nil"/>
              <w:bottom w:val="single" w:color="auto" w:sz="4" w:space="0"/>
              <w:right w:val="single" w:color="auto" w:sz="4" w:space="0"/>
            </w:tcBorders>
            <w:vAlign w:val="center"/>
          </w:tcPr>
          <w:p>
            <w:pPr>
              <w:jc w:val="center"/>
              <w:rPr>
                <w:color w:val="000000"/>
                <w:kern w:val="0"/>
                <w:sz w:val="21"/>
                <w:szCs w:val="21"/>
              </w:rPr>
            </w:pPr>
          </w:p>
        </w:tc>
        <w:tc>
          <w:tcPr>
            <w:tcW w:w="1196" w:type="dxa"/>
            <w:tcBorders>
              <w:top w:val="single" w:color="auto" w:sz="4" w:space="0"/>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2.维护社会稳定，减少社区矫正对象再犯罪</w:t>
            </w:r>
          </w:p>
        </w:tc>
        <w:tc>
          <w:tcPr>
            <w:tcW w:w="1103" w:type="dxa"/>
            <w:tcBorders>
              <w:top w:val="single" w:color="auto" w:sz="4" w:space="0"/>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ascii="Arial" w:hAnsi="Arial" w:cs="Arial"/>
                <w:color w:val="000000"/>
                <w:kern w:val="0"/>
                <w:sz w:val="21"/>
                <w:szCs w:val="21"/>
              </w:rPr>
              <w:t>0.2</w:t>
            </w:r>
            <w:r>
              <w:rPr>
                <w:rFonts w:hint="eastAsia"/>
                <w:color w:val="000000"/>
                <w:kern w:val="0"/>
                <w:sz w:val="21"/>
                <w:szCs w:val="21"/>
              </w:rPr>
              <w:t>%</w:t>
            </w:r>
          </w:p>
        </w:tc>
        <w:tc>
          <w:tcPr>
            <w:tcW w:w="1023" w:type="dxa"/>
            <w:tcBorders>
              <w:top w:val="single" w:color="auto" w:sz="4" w:space="0"/>
              <w:left w:val="nil"/>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ascii="Arial" w:hAnsi="Arial" w:cs="Arial"/>
                <w:color w:val="000000"/>
                <w:kern w:val="0"/>
                <w:sz w:val="21"/>
                <w:szCs w:val="21"/>
              </w:rPr>
              <w:t>0.2</w:t>
            </w:r>
            <w:r>
              <w:rPr>
                <w:rFonts w:hint="eastAsia"/>
                <w:color w:val="000000"/>
                <w:kern w:val="0"/>
                <w:sz w:val="21"/>
                <w:szCs w:val="21"/>
              </w:rPr>
              <w:t>%</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社会效</w:t>
            </w:r>
          </w:p>
          <w:p>
            <w:pPr>
              <w:widowControl/>
              <w:jc w:val="center"/>
              <w:rPr>
                <w:color w:val="000000"/>
                <w:kern w:val="0"/>
                <w:sz w:val="21"/>
                <w:szCs w:val="21"/>
              </w:rPr>
            </w:pPr>
            <w:r>
              <w:rPr>
                <w:color w:val="000000"/>
                <w:kern w:val="0"/>
                <w:sz w:val="21"/>
                <w:szCs w:val="21"/>
              </w:rPr>
              <w:t>益指标</w:t>
            </w:r>
          </w:p>
        </w:tc>
        <w:tc>
          <w:tcPr>
            <w:tcW w:w="1196"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1</w:t>
            </w:r>
            <w:r>
              <w:rPr>
                <w:rFonts w:hint="eastAsia"/>
                <w:color w:val="000000"/>
                <w:kern w:val="0"/>
                <w:sz w:val="21"/>
                <w:szCs w:val="21"/>
              </w:rPr>
              <w:t>.开展社区矫正工作，维护辖区和谐稳定</w:t>
            </w:r>
          </w:p>
        </w:tc>
        <w:tc>
          <w:tcPr>
            <w:tcW w:w="110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达标</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达标</w:t>
            </w:r>
            <w:r>
              <w:rPr>
                <w:color w:val="000000"/>
                <w:kern w:val="0"/>
                <w:sz w:val="21"/>
                <w:szCs w:val="21"/>
              </w:rPr>
              <w:t>　</w:t>
            </w:r>
          </w:p>
        </w:tc>
        <w:tc>
          <w:tcPr>
            <w:tcW w:w="886"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860"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2.通过法律宣传、法治建设、法律援助增强人民的法律意识</w:t>
            </w:r>
          </w:p>
        </w:tc>
        <w:tc>
          <w:tcPr>
            <w:tcW w:w="110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达标</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达标</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restart"/>
            <w:tcBorders>
              <w:top w:val="single" w:color="auto" w:sz="4" w:space="0"/>
              <w:left w:val="nil"/>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生态效</w:t>
            </w:r>
          </w:p>
          <w:p>
            <w:pPr>
              <w:widowControl/>
              <w:jc w:val="center"/>
              <w:rPr>
                <w:color w:val="000000"/>
                <w:kern w:val="0"/>
                <w:sz w:val="21"/>
                <w:szCs w:val="21"/>
              </w:rPr>
            </w:pPr>
            <w:r>
              <w:rPr>
                <w:color w:val="000000"/>
                <w:kern w:val="0"/>
                <w:sz w:val="21"/>
                <w:szCs w:val="21"/>
              </w:rPr>
              <w:t>益指标</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1.促进司法公正良性循环影响程度</w:t>
            </w:r>
          </w:p>
        </w:tc>
        <w:tc>
          <w:tcPr>
            <w:tcW w:w="110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rFonts w:hint="eastAsia"/>
                <w:color w:val="000000"/>
                <w:kern w:val="0"/>
                <w:sz w:val="21"/>
                <w:szCs w:val="21"/>
              </w:rPr>
              <w:t>　较高</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较高</w:t>
            </w:r>
          </w:p>
        </w:tc>
        <w:tc>
          <w:tcPr>
            <w:tcW w:w="886"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860"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nil"/>
              <w:bottom w:val="single" w:color="auto" w:sz="4" w:space="0"/>
              <w:right w:val="single" w:color="auto" w:sz="4" w:space="0"/>
            </w:tcBorders>
            <w:vAlign w:val="center"/>
          </w:tcPr>
          <w:p>
            <w:pPr>
              <w:widowControl/>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2.管理社矫对象到位率</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100%</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100%</w:t>
            </w:r>
          </w:p>
        </w:tc>
        <w:tc>
          <w:tcPr>
            <w:tcW w:w="886" w:type="dxa"/>
            <w:vMerge w:val="continue"/>
            <w:tcBorders>
              <w:left w:val="nil"/>
              <w:right w:val="single" w:color="auto" w:sz="4" w:space="0"/>
            </w:tcBorders>
            <w:vAlign w:val="center"/>
          </w:tcPr>
          <w:p>
            <w:pPr>
              <w:widowControl/>
              <w:jc w:val="left"/>
              <w:rPr>
                <w:color w:val="000000"/>
                <w:kern w:val="0"/>
                <w:sz w:val="21"/>
                <w:szCs w:val="21"/>
              </w:rPr>
            </w:pPr>
          </w:p>
        </w:tc>
        <w:tc>
          <w:tcPr>
            <w:tcW w:w="860" w:type="dxa"/>
            <w:vMerge w:val="continue"/>
            <w:tcBorders>
              <w:left w:val="nil"/>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p>
        </w:tc>
      </w:tr>
      <w:tr>
        <w:tblPrEx>
          <w:tblCellMar>
            <w:top w:w="0" w:type="dxa"/>
            <w:left w:w="108" w:type="dxa"/>
            <w:bottom w:w="0" w:type="dxa"/>
            <w:right w:w="108" w:type="dxa"/>
          </w:tblCellMar>
        </w:tblPrEx>
        <w:trPr>
          <w:trHeight w:val="1467" w:hRule="atLeast"/>
          <w:jc w:val="center"/>
        </w:trPr>
        <w:tc>
          <w:tcPr>
            <w:tcW w:w="1047" w:type="dxa"/>
            <w:vMerge w:val="continue"/>
            <w:tcBorders>
              <w:left w:val="single" w:color="auto" w:sz="4" w:space="0"/>
              <w:right w:val="single" w:color="auto" w:sz="4" w:space="0"/>
            </w:tcBorders>
            <w:vAlign w:val="center"/>
          </w:tcPr>
          <w:p>
            <w:pPr>
              <w:widowControl/>
              <w:jc w:val="center"/>
              <w:rPr>
                <w:color w:val="000000"/>
                <w:kern w:val="0"/>
                <w:sz w:val="21"/>
                <w:szCs w:val="21"/>
              </w:rPr>
            </w:pPr>
          </w:p>
        </w:tc>
        <w:tc>
          <w:tcPr>
            <w:tcW w:w="1047" w:type="dxa"/>
            <w:vMerge w:val="continue"/>
            <w:tcBorders>
              <w:left w:val="nil"/>
              <w:right w:val="single" w:color="auto" w:sz="4" w:space="0"/>
            </w:tcBorders>
            <w:vAlign w:val="center"/>
          </w:tcPr>
          <w:p>
            <w:pPr>
              <w:widowControl/>
              <w:jc w:val="left"/>
              <w:rPr>
                <w:color w:val="000000"/>
                <w:kern w:val="0"/>
                <w:sz w:val="21"/>
                <w:szCs w:val="21"/>
              </w:rPr>
            </w:pP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可持续影响指标</w:t>
            </w:r>
          </w:p>
        </w:tc>
        <w:tc>
          <w:tcPr>
            <w:tcW w:w="1196"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1</w:t>
            </w:r>
            <w:r>
              <w:rPr>
                <w:rFonts w:hint="eastAsia"/>
                <w:color w:val="000000"/>
                <w:kern w:val="0"/>
                <w:sz w:val="21"/>
                <w:szCs w:val="21"/>
              </w:rPr>
              <w:t>.维护当事人合法权益、维护法律正确实施率</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97%</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98%</w:t>
            </w:r>
          </w:p>
        </w:tc>
        <w:tc>
          <w:tcPr>
            <w:tcW w:w="886" w:type="dxa"/>
            <w:vMerge w:val="restart"/>
            <w:tcBorders>
              <w:top w:val="single" w:color="auto" w:sz="4" w:space="0"/>
              <w:left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860" w:type="dxa"/>
            <w:vMerge w:val="restart"/>
            <w:tcBorders>
              <w:top w:val="single" w:color="auto" w:sz="4" w:space="0"/>
              <w:left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bottom w:val="single" w:color="auto" w:sz="4" w:space="0"/>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000000"/>
                <w:kern w:val="0"/>
                <w:sz w:val="21"/>
                <w:szCs w:val="21"/>
              </w:rPr>
            </w:pPr>
          </w:p>
        </w:tc>
        <w:tc>
          <w:tcPr>
            <w:tcW w:w="1196" w:type="dxa"/>
            <w:tcBorders>
              <w:top w:val="single" w:color="auto" w:sz="4" w:space="0"/>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2</w:t>
            </w:r>
            <w:r>
              <w:rPr>
                <w:rFonts w:hint="eastAsia"/>
                <w:color w:val="000000"/>
                <w:kern w:val="0"/>
                <w:sz w:val="21"/>
                <w:szCs w:val="21"/>
              </w:rPr>
              <w:t>.基层司法行政工作影响力</w:t>
            </w:r>
          </w:p>
        </w:tc>
        <w:tc>
          <w:tcPr>
            <w:tcW w:w="1103" w:type="dxa"/>
            <w:tcBorders>
              <w:top w:val="single" w:color="auto" w:sz="4" w:space="0"/>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提升</w:t>
            </w:r>
          </w:p>
        </w:tc>
        <w:tc>
          <w:tcPr>
            <w:tcW w:w="1023" w:type="dxa"/>
            <w:tcBorders>
              <w:top w:val="single" w:color="auto" w:sz="4" w:space="0"/>
              <w:left w:val="nil"/>
              <w:bottom w:val="single" w:color="auto" w:sz="4" w:space="0"/>
              <w:right w:val="single" w:color="auto" w:sz="4" w:space="0"/>
            </w:tcBorders>
            <w:vAlign w:val="center"/>
          </w:tcPr>
          <w:p>
            <w:pPr>
              <w:widowControl/>
              <w:jc w:val="left"/>
              <w:rPr>
                <w:rFonts w:hint="eastAsia"/>
                <w:color w:val="000000"/>
                <w:kern w:val="0"/>
                <w:sz w:val="21"/>
                <w:szCs w:val="21"/>
              </w:rPr>
            </w:pPr>
            <w:r>
              <w:rPr>
                <w:rFonts w:hint="eastAsia"/>
                <w:color w:val="000000"/>
                <w:kern w:val="0"/>
                <w:sz w:val="21"/>
                <w:szCs w:val="21"/>
              </w:rPr>
              <w:t>提升</w:t>
            </w:r>
          </w:p>
        </w:tc>
        <w:tc>
          <w:tcPr>
            <w:tcW w:w="886" w:type="dxa"/>
            <w:vMerge w:val="continue"/>
            <w:tcBorders>
              <w:left w:val="single" w:color="auto" w:sz="4" w:space="0"/>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single" w:color="auto" w:sz="4" w:space="0"/>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single" w:color="auto" w:sz="4" w:space="0"/>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restart"/>
            <w:tcBorders>
              <w:top w:val="single" w:color="auto" w:sz="4" w:space="0"/>
              <w:left w:val="nil"/>
              <w:right w:val="single" w:color="auto" w:sz="4" w:space="0"/>
            </w:tcBorders>
            <w:vAlign w:val="center"/>
          </w:tcPr>
          <w:p>
            <w:pPr>
              <w:widowControl/>
              <w:jc w:val="center"/>
              <w:rPr>
                <w:color w:val="000000"/>
                <w:kern w:val="0"/>
                <w:sz w:val="21"/>
                <w:szCs w:val="21"/>
              </w:rPr>
            </w:pPr>
            <w:r>
              <w:rPr>
                <w:rFonts w:hint="eastAsia"/>
                <w:color w:val="000000"/>
                <w:kern w:val="0"/>
                <w:sz w:val="21"/>
                <w:szCs w:val="21"/>
              </w:rPr>
              <w:t>满意度指标（10分）</w:t>
            </w:r>
          </w:p>
        </w:tc>
        <w:tc>
          <w:tcPr>
            <w:tcW w:w="1344" w:type="dxa"/>
            <w:vMerge w:val="restart"/>
            <w:tcBorders>
              <w:top w:val="single" w:color="auto" w:sz="4" w:space="0"/>
              <w:left w:val="nil"/>
              <w:bottom w:val="single" w:color="auto" w:sz="4" w:space="0"/>
              <w:right w:val="single" w:color="auto" w:sz="4" w:space="0"/>
            </w:tcBorders>
            <w:vAlign w:val="center"/>
          </w:tcPr>
          <w:tbl>
            <w:tblPr>
              <w:tblStyle w:val="9"/>
              <w:tblpPr w:leftFromText="180" w:rightFromText="180" w:vertAnchor="text" w:tblpX="-1072" w:tblpY="-421"/>
              <w:tblOverlap w:val="never"/>
              <w:tblW w:w="1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1118" w:type="dxa"/>
                  <w:tcBorders>
                    <w:bottom w:val="nil"/>
                    <w:right w:val="nil"/>
                  </w:tcBorders>
                </w:tcPr>
                <w:p>
                  <w:pPr>
                    <w:widowControl/>
                    <w:jc w:val="center"/>
                    <w:rPr>
                      <w:color w:val="000000"/>
                      <w:kern w:val="0"/>
                      <w:sz w:val="21"/>
                      <w:szCs w:val="21"/>
                    </w:rPr>
                  </w:pPr>
                </w:p>
              </w:tc>
            </w:tr>
          </w:tbl>
          <w:p>
            <w:pPr>
              <w:widowControl/>
              <w:jc w:val="center"/>
              <w:rPr>
                <w:color w:val="000000"/>
                <w:kern w:val="0"/>
                <w:sz w:val="21"/>
                <w:szCs w:val="21"/>
              </w:rPr>
            </w:pPr>
            <w:r>
              <w:rPr>
                <w:color w:val="000000"/>
                <w:kern w:val="0"/>
                <w:sz w:val="21"/>
                <w:szCs w:val="21"/>
              </w:rPr>
              <w:t>服务对象满意度指标</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1</w:t>
            </w:r>
            <w:r>
              <w:rPr>
                <w:rFonts w:hint="eastAsia"/>
                <w:color w:val="000000"/>
                <w:kern w:val="0"/>
                <w:sz w:val="21"/>
                <w:szCs w:val="21"/>
              </w:rPr>
              <w:t>.法律援助工作满意率</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98%</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98%</w:t>
            </w:r>
          </w:p>
        </w:tc>
        <w:tc>
          <w:tcPr>
            <w:tcW w:w="886"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860"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nil"/>
              <w:bottom w:val="single" w:color="auto" w:sz="4" w:space="0"/>
              <w:right w:val="single" w:color="auto" w:sz="4" w:space="0"/>
            </w:tcBorders>
            <w:vAlign w:val="center"/>
          </w:tcPr>
          <w:p>
            <w:pPr>
              <w:jc w:val="left"/>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2</w:t>
            </w:r>
            <w:r>
              <w:rPr>
                <w:rFonts w:hint="eastAsia"/>
                <w:color w:val="000000"/>
                <w:kern w:val="0"/>
                <w:sz w:val="21"/>
                <w:szCs w:val="21"/>
              </w:rPr>
              <w:t>.社区矫正对象满意率</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95%</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96%</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6760"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color w:val="000000"/>
                <w:kern w:val="0"/>
                <w:sz w:val="21"/>
                <w:szCs w:val="21"/>
              </w:rPr>
            </w:pPr>
            <w:r>
              <w:rPr>
                <w:color w:val="000000"/>
                <w:kern w:val="0"/>
                <w:sz w:val="21"/>
                <w:szCs w:val="21"/>
              </w:rPr>
              <w:t>总分</w:t>
            </w:r>
          </w:p>
        </w:tc>
        <w:tc>
          <w:tcPr>
            <w:tcW w:w="886" w:type="dxa"/>
            <w:tcBorders>
              <w:top w:val="nil"/>
              <w:left w:val="nil"/>
              <w:bottom w:val="single" w:color="auto" w:sz="4" w:space="0"/>
              <w:right w:val="single" w:color="auto" w:sz="4" w:space="0"/>
            </w:tcBorders>
            <w:vAlign w:val="center"/>
          </w:tcPr>
          <w:p>
            <w:pPr>
              <w:widowControl/>
              <w:jc w:val="center"/>
              <w:rPr>
                <w:rFonts w:hint="eastAsia"/>
                <w:color w:val="000000"/>
                <w:kern w:val="0"/>
                <w:sz w:val="21"/>
                <w:szCs w:val="21"/>
              </w:rPr>
            </w:pPr>
            <w:r>
              <w:rPr>
                <w:color w:val="000000"/>
                <w:kern w:val="0"/>
                <w:sz w:val="21"/>
                <w:szCs w:val="21"/>
              </w:rPr>
              <w:t>100</w:t>
            </w:r>
            <w:r>
              <w:rPr>
                <w:rFonts w:hint="eastAsia"/>
                <w:color w:val="000000"/>
                <w:kern w:val="0"/>
                <w:sz w:val="21"/>
                <w:szCs w:val="21"/>
              </w:rPr>
              <w:t>分</w:t>
            </w:r>
          </w:p>
        </w:tc>
        <w:tc>
          <w:tcPr>
            <w:tcW w:w="860"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99分</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bl>
    <w:p>
      <w:pPr>
        <w:widowControl/>
        <w:spacing w:line="560" w:lineRule="exact"/>
        <w:ind w:firstLine="412" w:firstLineChars="200"/>
        <w:rPr>
          <w:rFonts w:hint="eastAsia"/>
          <w:szCs w:val="32"/>
        </w:rPr>
      </w:pPr>
      <w:r>
        <w:rPr>
          <w:kern w:val="0"/>
          <w:sz w:val="21"/>
          <w:szCs w:val="21"/>
        </w:rPr>
        <w:t xml:space="preserve">填表人： </w:t>
      </w:r>
      <w:r>
        <w:rPr>
          <w:rFonts w:hint="eastAsia"/>
          <w:kern w:val="0"/>
          <w:sz w:val="21"/>
          <w:szCs w:val="21"/>
        </w:rPr>
        <w:t>周科先</w:t>
      </w:r>
      <w:r>
        <w:rPr>
          <w:kern w:val="0"/>
          <w:sz w:val="21"/>
          <w:szCs w:val="21"/>
        </w:rPr>
        <w:t xml:space="preserve">    填报日期：</w:t>
      </w:r>
      <w:r>
        <w:rPr>
          <w:rFonts w:hint="eastAsia"/>
          <w:kern w:val="0"/>
          <w:sz w:val="21"/>
          <w:szCs w:val="21"/>
        </w:rPr>
        <w:t>2023.4.25</w:t>
      </w:r>
      <w:r>
        <w:rPr>
          <w:kern w:val="0"/>
          <w:sz w:val="21"/>
          <w:szCs w:val="21"/>
        </w:rPr>
        <w:t xml:space="preserve">    联系电话：</w:t>
      </w:r>
      <w:r>
        <w:rPr>
          <w:rFonts w:hint="eastAsia"/>
          <w:kern w:val="0"/>
          <w:sz w:val="21"/>
          <w:szCs w:val="21"/>
        </w:rPr>
        <w:t>13873712365</w:t>
      </w:r>
      <w:r>
        <w:rPr>
          <w:kern w:val="0"/>
          <w:sz w:val="21"/>
          <w:szCs w:val="21"/>
        </w:rPr>
        <w:t xml:space="preserve">    单位负责人签字：</w:t>
      </w:r>
    </w:p>
    <w:p>
      <w:pPr>
        <w:pStyle w:val="2"/>
        <w:spacing w:after="0" w:line="560" w:lineRule="exact"/>
        <w:rPr>
          <w:rFonts w:hint="eastAsia"/>
        </w:rPr>
      </w:pPr>
    </w:p>
    <w:p>
      <w:pPr>
        <w:widowControl/>
        <w:spacing w:line="600" w:lineRule="exact"/>
        <w:ind w:firstLine="645"/>
        <w:jc w:val="left"/>
        <w:rPr>
          <w:szCs w:val="32"/>
        </w:rPr>
      </w:pPr>
    </w:p>
    <w:p>
      <w:pPr>
        <w:widowControl/>
        <w:spacing w:line="600" w:lineRule="exact"/>
        <w:ind w:firstLine="645"/>
        <w:jc w:val="left"/>
        <w:rPr>
          <w:szCs w:val="32"/>
        </w:rPr>
      </w:pPr>
    </w:p>
    <w:p>
      <w:pPr>
        <w:widowControl/>
        <w:spacing w:line="600" w:lineRule="exact"/>
        <w:jc w:val="left"/>
        <w:rPr>
          <w:rFonts w:hint="eastAsia"/>
          <w:szCs w:val="32"/>
        </w:rPr>
      </w:pPr>
    </w:p>
    <w:sectPr>
      <w:footerReference r:id="rId3" w:type="default"/>
      <w:footerReference r:id="rId4" w:type="even"/>
      <w:pgSz w:w="11907" w:h="16840"/>
      <w:pgMar w:top="493" w:right="493" w:bottom="437" w:left="493"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700813"/>
      <w:docPartObj>
        <w:docPartGallery w:val="autotext"/>
      </w:docPartObj>
    </w:sdtPr>
    <w:sdtContent>
      <w:p>
        <w:pPr>
          <w:pStyle w:val="5"/>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5"/>
      <w:ind w:right="360" w:firstLine="360"/>
      <w:jc w:val="right"/>
      <w:rPr>
        <w:rFonts w:hint="eastAsia"/>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35"/>
      <w:rPr>
        <w:rStyle w:val="11"/>
        <w:rFonts w:hint="eastAsia" w:ascii="宋体" w:hAnsi="宋体" w:eastAsia="宋体"/>
        <w:sz w:val="28"/>
      </w:rPr>
    </w:pPr>
    <w:r>
      <w:rPr>
        <w:rStyle w:val="11"/>
        <w:rFonts w:hint="eastAsia" w:ascii="宋体" w:hAnsi="宋体" w:eastAsia="宋体"/>
        <w:sz w:val="28"/>
      </w:rPr>
      <w:t>—</w:t>
    </w:r>
    <w:r>
      <w:rPr>
        <w:rFonts w:ascii="宋体" w:hAnsi="宋体" w:eastAsia="宋体"/>
        <w:sz w:val="28"/>
      </w:rPr>
      <w:fldChar w:fldCharType="begin"/>
    </w:r>
    <w:r>
      <w:rPr>
        <w:rStyle w:val="11"/>
        <w:rFonts w:ascii="宋体" w:hAnsi="宋体" w:eastAsia="宋体"/>
        <w:sz w:val="28"/>
      </w:rPr>
      <w:instrText xml:space="preserve">PAGE  </w:instrText>
    </w:r>
    <w:r>
      <w:rPr>
        <w:rFonts w:ascii="宋体" w:hAnsi="宋体" w:eastAsia="宋体"/>
        <w:sz w:val="28"/>
      </w:rPr>
      <w:fldChar w:fldCharType="separate"/>
    </w:r>
    <w:r>
      <w:rPr>
        <w:rStyle w:val="11"/>
        <w:rFonts w:ascii="宋体" w:hAnsi="宋体" w:eastAsia="宋体"/>
        <w:sz w:val="28"/>
      </w:rPr>
      <w:t>12</w:t>
    </w:r>
    <w:r>
      <w:rPr>
        <w:rFonts w:ascii="宋体" w:hAnsi="宋体" w:eastAsia="宋体"/>
        <w:sz w:val="28"/>
      </w:rPr>
      <w:fldChar w:fldCharType="end"/>
    </w:r>
    <w:r>
      <w:rPr>
        <w:rStyle w:val="11"/>
        <w:rFonts w:hint="eastAsia" w:ascii="宋体" w:hAnsi="宋体" w:eastAsia="宋体"/>
        <w:sz w:val="28"/>
      </w:rPr>
      <w:t>—</w:t>
    </w:r>
  </w:p>
  <w:p>
    <w:pPr>
      <w:pStyle w:val="5"/>
      <w:ind w:left="300" w:right="360" w:firstLine="360"/>
      <w:rPr>
        <w:rFonts w:hint="eastAsia"/>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C73F2F"/>
    <w:multiLevelType w:val="multilevel"/>
    <w:tmpl w:val="27C73F2F"/>
    <w:lvl w:ilvl="0" w:tentative="0">
      <w:start w:val="8"/>
      <w:numFmt w:val="japaneseCounting"/>
      <w:lvlText w:val="%1、"/>
      <w:lvlJc w:val="left"/>
      <w:pPr>
        <w:ind w:left="1668" w:hanging="720"/>
      </w:pPr>
      <w:rPr>
        <w:rFonts w:hint="default"/>
      </w:rPr>
    </w:lvl>
    <w:lvl w:ilvl="1" w:tentative="0">
      <w:start w:val="2"/>
      <w:numFmt w:val="japaneseCounting"/>
      <w:lvlText w:val="（%2）"/>
      <w:lvlJc w:val="left"/>
      <w:pPr>
        <w:ind w:left="2448" w:hanging="1080"/>
      </w:pPr>
      <w:rPr>
        <w:rFonts w:hint="default"/>
      </w:rPr>
    </w:lvl>
    <w:lvl w:ilvl="2" w:tentative="0">
      <w:start w:val="1"/>
      <w:numFmt w:val="lowerRoman"/>
      <w:lvlText w:val="%3."/>
      <w:lvlJc w:val="right"/>
      <w:pPr>
        <w:ind w:left="2208" w:hanging="420"/>
      </w:pPr>
    </w:lvl>
    <w:lvl w:ilvl="3" w:tentative="0">
      <w:start w:val="1"/>
      <w:numFmt w:val="decimal"/>
      <w:lvlText w:val="%4."/>
      <w:lvlJc w:val="left"/>
      <w:pPr>
        <w:ind w:left="2628" w:hanging="420"/>
      </w:pPr>
    </w:lvl>
    <w:lvl w:ilvl="4" w:tentative="0">
      <w:start w:val="1"/>
      <w:numFmt w:val="lowerLetter"/>
      <w:lvlText w:val="%5)"/>
      <w:lvlJc w:val="left"/>
      <w:pPr>
        <w:ind w:left="3048" w:hanging="420"/>
      </w:pPr>
    </w:lvl>
    <w:lvl w:ilvl="5" w:tentative="0">
      <w:start w:val="1"/>
      <w:numFmt w:val="lowerRoman"/>
      <w:lvlText w:val="%6."/>
      <w:lvlJc w:val="right"/>
      <w:pPr>
        <w:ind w:left="3468" w:hanging="420"/>
      </w:pPr>
    </w:lvl>
    <w:lvl w:ilvl="6" w:tentative="0">
      <w:start w:val="1"/>
      <w:numFmt w:val="decimal"/>
      <w:lvlText w:val="%7."/>
      <w:lvlJc w:val="left"/>
      <w:pPr>
        <w:ind w:left="3888" w:hanging="420"/>
      </w:pPr>
    </w:lvl>
    <w:lvl w:ilvl="7" w:tentative="0">
      <w:start w:val="1"/>
      <w:numFmt w:val="lowerLetter"/>
      <w:lvlText w:val="%8)"/>
      <w:lvlJc w:val="left"/>
      <w:pPr>
        <w:ind w:left="4308" w:hanging="420"/>
      </w:pPr>
    </w:lvl>
    <w:lvl w:ilvl="8" w:tentative="0">
      <w:start w:val="1"/>
      <w:numFmt w:val="lowerRoman"/>
      <w:lvlText w:val="%9."/>
      <w:lvlJc w:val="right"/>
      <w:pPr>
        <w:ind w:left="4728" w:hanging="420"/>
      </w:pPr>
    </w:lvl>
  </w:abstractNum>
  <w:abstractNum w:abstractNumId="1">
    <w:nsid w:val="496FFF2B"/>
    <w:multiLevelType w:val="singleLevel"/>
    <w:tmpl w:val="496FFF2B"/>
    <w:lvl w:ilvl="0" w:tentative="0">
      <w:start w:val="1"/>
      <w:numFmt w:val="chineseCounting"/>
      <w:suff w:val="nothing"/>
      <w:lvlText w:val="%1、"/>
      <w:lvlJc w:val="left"/>
      <w:rPr>
        <w:rFonts w:hint="eastAsia"/>
      </w:rPr>
    </w:lvl>
  </w:abstractNum>
  <w:abstractNum w:abstractNumId="2">
    <w:nsid w:val="51FC07FC"/>
    <w:multiLevelType w:val="multilevel"/>
    <w:tmpl w:val="51FC07FC"/>
    <w:lvl w:ilvl="0" w:tentative="0">
      <w:start w:val="1"/>
      <w:numFmt w:val="japaneseCounting"/>
      <w:lvlText w:val="（%1）"/>
      <w:lvlJc w:val="left"/>
      <w:pPr>
        <w:ind w:left="2013" w:hanging="1080"/>
      </w:pPr>
      <w:rPr>
        <w:rFonts w:hint="default"/>
      </w:rPr>
    </w:lvl>
    <w:lvl w:ilvl="1" w:tentative="0">
      <w:start w:val="7"/>
      <w:numFmt w:val="japaneseCounting"/>
      <w:lvlText w:val="%2、"/>
      <w:lvlJc w:val="left"/>
      <w:pPr>
        <w:ind w:left="2073" w:hanging="720"/>
      </w:pPr>
      <w:rPr>
        <w:rFonts w:hint="default"/>
      </w:rPr>
    </w:lvl>
    <w:lvl w:ilvl="2" w:tentative="0">
      <w:start w:val="1"/>
      <w:numFmt w:val="lowerRoman"/>
      <w:lvlText w:val="%3."/>
      <w:lvlJc w:val="right"/>
      <w:pPr>
        <w:ind w:left="2193" w:hanging="420"/>
      </w:pPr>
    </w:lvl>
    <w:lvl w:ilvl="3" w:tentative="0">
      <w:start w:val="1"/>
      <w:numFmt w:val="decimal"/>
      <w:lvlText w:val="%4."/>
      <w:lvlJc w:val="left"/>
      <w:pPr>
        <w:ind w:left="2613" w:hanging="420"/>
      </w:pPr>
    </w:lvl>
    <w:lvl w:ilvl="4" w:tentative="0">
      <w:start w:val="1"/>
      <w:numFmt w:val="lowerLetter"/>
      <w:lvlText w:val="%5)"/>
      <w:lvlJc w:val="left"/>
      <w:pPr>
        <w:ind w:left="3033" w:hanging="420"/>
      </w:pPr>
    </w:lvl>
    <w:lvl w:ilvl="5" w:tentative="0">
      <w:start w:val="1"/>
      <w:numFmt w:val="lowerRoman"/>
      <w:lvlText w:val="%6."/>
      <w:lvlJc w:val="right"/>
      <w:pPr>
        <w:ind w:left="3453" w:hanging="420"/>
      </w:pPr>
    </w:lvl>
    <w:lvl w:ilvl="6" w:tentative="0">
      <w:start w:val="1"/>
      <w:numFmt w:val="decimal"/>
      <w:lvlText w:val="%7."/>
      <w:lvlJc w:val="left"/>
      <w:pPr>
        <w:ind w:left="3873" w:hanging="420"/>
      </w:pPr>
    </w:lvl>
    <w:lvl w:ilvl="7" w:tentative="0">
      <w:start w:val="1"/>
      <w:numFmt w:val="lowerLetter"/>
      <w:lvlText w:val="%8)"/>
      <w:lvlJc w:val="left"/>
      <w:pPr>
        <w:ind w:left="4293" w:hanging="420"/>
      </w:pPr>
    </w:lvl>
    <w:lvl w:ilvl="8" w:tentative="0">
      <w:start w:val="1"/>
      <w:numFmt w:val="lowerRoman"/>
      <w:lvlText w:val="%9."/>
      <w:lvlJc w:val="right"/>
      <w:pPr>
        <w:ind w:left="4713" w:hanging="420"/>
      </w:pPr>
    </w:lvl>
  </w:abstractNum>
  <w:abstractNum w:abstractNumId="3">
    <w:nsid w:val="721B3F9B"/>
    <w:multiLevelType w:val="multilevel"/>
    <w:tmpl w:val="721B3F9B"/>
    <w:lvl w:ilvl="0" w:tentative="0">
      <w:start w:val="2"/>
      <w:numFmt w:val="japaneseCounting"/>
      <w:lvlText w:val="%1、"/>
      <w:lvlJc w:val="left"/>
      <w:pPr>
        <w:ind w:left="1826" w:hanging="720"/>
      </w:pPr>
      <w:rPr>
        <w:rFonts w:hint="default"/>
      </w:rPr>
    </w:lvl>
    <w:lvl w:ilvl="1" w:tentative="0">
      <w:start w:val="1"/>
      <w:numFmt w:val="lowerLetter"/>
      <w:lvlText w:val="%2)"/>
      <w:lvlJc w:val="left"/>
      <w:pPr>
        <w:ind w:left="1946" w:hanging="420"/>
      </w:pPr>
    </w:lvl>
    <w:lvl w:ilvl="2" w:tentative="0">
      <w:start w:val="1"/>
      <w:numFmt w:val="lowerRoman"/>
      <w:lvlText w:val="%3."/>
      <w:lvlJc w:val="right"/>
      <w:pPr>
        <w:ind w:left="2366" w:hanging="420"/>
      </w:pPr>
    </w:lvl>
    <w:lvl w:ilvl="3" w:tentative="0">
      <w:start w:val="1"/>
      <w:numFmt w:val="decimal"/>
      <w:lvlText w:val="%4."/>
      <w:lvlJc w:val="left"/>
      <w:pPr>
        <w:ind w:left="2786" w:hanging="420"/>
      </w:pPr>
    </w:lvl>
    <w:lvl w:ilvl="4" w:tentative="0">
      <w:start w:val="1"/>
      <w:numFmt w:val="lowerLetter"/>
      <w:lvlText w:val="%5)"/>
      <w:lvlJc w:val="left"/>
      <w:pPr>
        <w:ind w:left="3206" w:hanging="420"/>
      </w:pPr>
    </w:lvl>
    <w:lvl w:ilvl="5" w:tentative="0">
      <w:start w:val="1"/>
      <w:numFmt w:val="lowerRoman"/>
      <w:lvlText w:val="%6."/>
      <w:lvlJc w:val="right"/>
      <w:pPr>
        <w:ind w:left="3626" w:hanging="420"/>
      </w:pPr>
    </w:lvl>
    <w:lvl w:ilvl="6" w:tentative="0">
      <w:start w:val="1"/>
      <w:numFmt w:val="decimal"/>
      <w:lvlText w:val="%7."/>
      <w:lvlJc w:val="left"/>
      <w:pPr>
        <w:ind w:left="4046" w:hanging="420"/>
      </w:pPr>
    </w:lvl>
    <w:lvl w:ilvl="7" w:tentative="0">
      <w:start w:val="1"/>
      <w:numFmt w:val="lowerLetter"/>
      <w:lvlText w:val="%8)"/>
      <w:lvlJc w:val="left"/>
      <w:pPr>
        <w:ind w:left="4466" w:hanging="420"/>
      </w:pPr>
    </w:lvl>
    <w:lvl w:ilvl="8" w:tentative="0">
      <w:start w:val="1"/>
      <w:numFmt w:val="lowerRoman"/>
      <w:lvlText w:val="%9."/>
      <w:lvlJc w:val="right"/>
      <w:pPr>
        <w:ind w:left="4886"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5"/>
  <w:evenAndOddHeaders w:val="1"/>
  <w:drawingGridHorizontalSpacing w:val="158"/>
  <w:drawingGridVerticalSpacing w:val="587"/>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MWY1NjM3MmJlY2YzNzUzMmU0MjZhMDQzZDFlOGFkZTkifQ=="/>
  </w:docVars>
  <w:rsids>
    <w:rsidRoot w:val="00F44EA5"/>
    <w:rsid w:val="00002A74"/>
    <w:rsid w:val="00005CD9"/>
    <w:rsid w:val="00016127"/>
    <w:rsid w:val="000271EC"/>
    <w:rsid w:val="00033818"/>
    <w:rsid w:val="00047133"/>
    <w:rsid w:val="00061B34"/>
    <w:rsid w:val="000A3272"/>
    <w:rsid w:val="000D0079"/>
    <w:rsid w:val="000D4792"/>
    <w:rsid w:val="000E0A67"/>
    <w:rsid w:val="000F0DDC"/>
    <w:rsid w:val="000F5E43"/>
    <w:rsid w:val="000F645B"/>
    <w:rsid w:val="00102AF6"/>
    <w:rsid w:val="001030FA"/>
    <w:rsid w:val="00105681"/>
    <w:rsid w:val="00107355"/>
    <w:rsid w:val="001117DB"/>
    <w:rsid w:val="00113CD3"/>
    <w:rsid w:val="001212D6"/>
    <w:rsid w:val="001315D9"/>
    <w:rsid w:val="0013625A"/>
    <w:rsid w:val="00137367"/>
    <w:rsid w:val="0013742A"/>
    <w:rsid w:val="00167969"/>
    <w:rsid w:val="00175CB2"/>
    <w:rsid w:val="00183DFF"/>
    <w:rsid w:val="00185A5A"/>
    <w:rsid w:val="001A25BA"/>
    <w:rsid w:val="001A4F31"/>
    <w:rsid w:val="001C2237"/>
    <w:rsid w:val="001D2295"/>
    <w:rsid w:val="001D7B78"/>
    <w:rsid w:val="001D7D03"/>
    <w:rsid w:val="001E1C6A"/>
    <w:rsid w:val="001E3A50"/>
    <w:rsid w:val="002021EA"/>
    <w:rsid w:val="00203210"/>
    <w:rsid w:val="00204858"/>
    <w:rsid w:val="00220D4F"/>
    <w:rsid w:val="00221332"/>
    <w:rsid w:val="002407FB"/>
    <w:rsid w:val="002442C8"/>
    <w:rsid w:val="002541ED"/>
    <w:rsid w:val="002775B2"/>
    <w:rsid w:val="0029640F"/>
    <w:rsid w:val="002B3B93"/>
    <w:rsid w:val="002E67DC"/>
    <w:rsid w:val="002F1A6C"/>
    <w:rsid w:val="00301902"/>
    <w:rsid w:val="0030507A"/>
    <w:rsid w:val="00313E59"/>
    <w:rsid w:val="00341D15"/>
    <w:rsid w:val="00342656"/>
    <w:rsid w:val="00351A19"/>
    <w:rsid w:val="00372D3C"/>
    <w:rsid w:val="00373A63"/>
    <w:rsid w:val="00384C50"/>
    <w:rsid w:val="003929A5"/>
    <w:rsid w:val="00393949"/>
    <w:rsid w:val="00394081"/>
    <w:rsid w:val="003A4DB8"/>
    <w:rsid w:val="003B1550"/>
    <w:rsid w:val="003B455F"/>
    <w:rsid w:val="003B609C"/>
    <w:rsid w:val="003B7AA0"/>
    <w:rsid w:val="003C738B"/>
    <w:rsid w:val="003F15F1"/>
    <w:rsid w:val="003F39CD"/>
    <w:rsid w:val="003F7768"/>
    <w:rsid w:val="00400E56"/>
    <w:rsid w:val="00407BD6"/>
    <w:rsid w:val="004162DB"/>
    <w:rsid w:val="004173AD"/>
    <w:rsid w:val="00424EC9"/>
    <w:rsid w:val="00447EB7"/>
    <w:rsid w:val="00452080"/>
    <w:rsid w:val="00452D0C"/>
    <w:rsid w:val="0045322B"/>
    <w:rsid w:val="00463CBD"/>
    <w:rsid w:val="004A1199"/>
    <w:rsid w:val="004A5B55"/>
    <w:rsid w:val="004E1BB3"/>
    <w:rsid w:val="004F1188"/>
    <w:rsid w:val="0050663B"/>
    <w:rsid w:val="00506C37"/>
    <w:rsid w:val="00506CD2"/>
    <w:rsid w:val="005131E9"/>
    <w:rsid w:val="00532B60"/>
    <w:rsid w:val="005456D8"/>
    <w:rsid w:val="00551163"/>
    <w:rsid w:val="005566A8"/>
    <w:rsid w:val="00596EAF"/>
    <w:rsid w:val="005A3E99"/>
    <w:rsid w:val="005C1E91"/>
    <w:rsid w:val="005C641A"/>
    <w:rsid w:val="005D1F7C"/>
    <w:rsid w:val="005F2263"/>
    <w:rsid w:val="00611E18"/>
    <w:rsid w:val="006360BD"/>
    <w:rsid w:val="006468BC"/>
    <w:rsid w:val="00652329"/>
    <w:rsid w:val="0065262B"/>
    <w:rsid w:val="00663B26"/>
    <w:rsid w:val="0067583F"/>
    <w:rsid w:val="00684F23"/>
    <w:rsid w:val="006A61A6"/>
    <w:rsid w:val="006A6EB6"/>
    <w:rsid w:val="006B11BB"/>
    <w:rsid w:val="006D025B"/>
    <w:rsid w:val="006E5A95"/>
    <w:rsid w:val="006F4C0F"/>
    <w:rsid w:val="0070055E"/>
    <w:rsid w:val="0070331B"/>
    <w:rsid w:val="007347E8"/>
    <w:rsid w:val="00767A70"/>
    <w:rsid w:val="00770B7B"/>
    <w:rsid w:val="00784C58"/>
    <w:rsid w:val="00791487"/>
    <w:rsid w:val="00792407"/>
    <w:rsid w:val="007C5283"/>
    <w:rsid w:val="007D044C"/>
    <w:rsid w:val="007E7BDB"/>
    <w:rsid w:val="00810E64"/>
    <w:rsid w:val="008143ED"/>
    <w:rsid w:val="00814A57"/>
    <w:rsid w:val="00834827"/>
    <w:rsid w:val="00842480"/>
    <w:rsid w:val="008452A9"/>
    <w:rsid w:val="008738E6"/>
    <w:rsid w:val="00882267"/>
    <w:rsid w:val="00884A52"/>
    <w:rsid w:val="00891D4E"/>
    <w:rsid w:val="00892B57"/>
    <w:rsid w:val="008B2297"/>
    <w:rsid w:val="008C4D61"/>
    <w:rsid w:val="008D4DFD"/>
    <w:rsid w:val="008D4E38"/>
    <w:rsid w:val="009072A2"/>
    <w:rsid w:val="009156B6"/>
    <w:rsid w:val="00926E3A"/>
    <w:rsid w:val="009307B5"/>
    <w:rsid w:val="00940BFA"/>
    <w:rsid w:val="009578CA"/>
    <w:rsid w:val="00964D2C"/>
    <w:rsid w:val="00967F11"/>
    <w:rsid w:val="00997C0A"/>
    <w:rsid w:val="00997F62"/>
    <w:rsid w:val="009C2E24"/>
    <w:rsid w:val="009C78C2"/>
    <w:rsid w:val="009D21D0"/>
    <w:rsid w:val="009E40E3"/>
    <w:rsid w:val="00A041E9"/>
    <w:rsid w:val="00A20757"/>
    <w:rsid w:val="00A31F4F"/>
    <w:rsid w:val="00A43319"/>
    <w:rsid w:val="00A449C0"/>
    <w:rsid w:val="00A5141F"/>
    <w:rsid w:val="00A574C3"/>
    <w:rsid w:val="00A65659"/>
    <w:rsid w:val="00A7327E"/>
    <w:rsid w:val="00A85A74"/>
    <w:rsid w:val="00A92028"/>
    <w:rsid w:val="00A953D1"/>
    <w:rsid w:val="00AA73F5"/>
    <w:rsid w:val="00AB373E"/>
    <w:rsid w:val="00AB6099"/>
    <w:rsid w:val="00B1591B"/>
    <w:rsid w:val="00B24FF8"/>
    <w:rsid w:val="00B30086"/>
    <w:rsid w:val="00B33EE3"/>
    <w:rsid w:val="00B3411D"/>
    <w:rsid w:val="00B70394"/>
    <w:rsid w:val="00B71FF9"/>
    <w:rsid w:val="00B77247"/>
    <w:rsid w:val="00B81B8F"/>
    <w:rsid w:val="00B87361"/>
    <w:rsid w:val="00BA1A64"/>
    <w:rsid w:val="00BA3264"/>
    <w:rsid w:val="00BA538A"/>
    <w:rsid w:val="00BD1B59"/>
    <w:rsid w:val="00BD47BE"/>
    <w:rsid w:val="00BF7471"/>
    <w:rsid w:val="00C528C8"/>
    <w:rsid w:val="00C53004"/>
    <w:rsid w:val="00C77979"/>
    <w:rsid w:val="00C86CCC"/>
    <w:rsid w:val="00C92DB0"/>
    <w:rsid w:val="00CA1328"/>
    <w:rsid w:val="00CA4411"/>
    <w:rsid w:val="00CA50B2"/>
    <w:rsid w:val="00CB7EA3"/>
    <w:rsid w:val="00CD62D0"/>
    <w:rsid w:val="00CD630F"/>
    <w:rsid w:val="00D02E22"/>
    <w:rsid w:val="00D20768"/>
    <w:rsid w:val="00D2441F"/>
    <w:rsid w:val="00D34CA0"/>
    <w:rsid w:val="00D35A9F"/>
    <w:rsid w:val="00D4728C"/>
    <w:rsid w:val="00D535B3"/>
    <w:rsid w:val="00D5393D"/>
    <w:rsid w:val="00D54319"/>
    <w:rsid w:val="00D708B0"/>
    <w:rsid w:val="00D70A18"/>
    <w:rsid w:val="00D77134"/>
    <w:rsid w:val="00D80C85"/>
    <w:rsid w:val="00D80DC4"/>
    <w:rsid w:val="00D973F5"/>
    <w:rsid w:val="00DB656B"/>
    <w:rsid w:val="00DB726D"/>
    <w:rsid w:val="00DC0F6D"/>
    <w:rsid w:val="00DD2D2E"/>
    <w:rsid w:val="00DE0361"/>
    <w:rsid w:val="00DE5C4A"/>
    <w:rsid w:val="00DE7AA6"/>
    <w:rsid w:val="00DF0DF3"/>
    <w:rsid w:val="00DF470E"/>
    <w:rsid w:val="00E13A1B"/>
    <w:rsid w:val="00E219E0"/>
    <w:rsid w:val="00E4362B"/>
    <w:rsid w:val="00E44E53"/>
    <w:rsid w:val="00E45DA0"/>
    <w:rsid w:val="00E55483"/>
    <w:rsid w:val="00E60A47"/>
    <w:rsid w:val="00E627D0"/>
    <w:rsid w:val="00E67E03"/>
    <w:rsid w:val="00E7517B"/>
    <w:rsid w:val="00E75F2E"/>
    <w:rsid w:val="00EB1222"/>
    <w:rsid w:val="00EB3D0A"/>
    <w:rsid w:val="00EB5E95"/>
    <w:rsid w:val="00EC7E77"/>
    <w:rsid w:val="00EE3E28"/>
    <w:rsid w:val="00EF01ED"/>
    <w:rsid w:val="00EF77F4"/>
    <w:rsid w:val="00F015E1"/>
    <w:rsid w:val="00F024AB"/>
    <w:rsid w:val="00F1432C"/>
    <w:rsid w:val="00F233D7"/>
    <w:rsid w:val="00F3510B"/>
    <w:rsid w:val="00F40020"/>
    <w:rsid w:val="00F44EA5"/>
    <w:rsid w:val="00F45D1C"/>
    <w:rsid w:val="00F56D8C"/>
    <w:rsid w:val="00F613AB"/>
    <w:rsid w:val="00F807CD"/>
    <w:rsid w:val="00F8179E"/>
    <w:rsid w:val="00FA1AF0"/>
    <w:rsid w:val="00FA6586"/>
    <w:rsid w:val="00FA6B7F"/>
    <w:rsid w:val="00FF505B"/>
    <w:rsid w:val="010E7C77"/>
    <w:rsid w:val="012E59E9"/>
    <w:rsid w:val="01396829"/>
    <w:rsid w:val="014001AC"/>
    <w:rsid w:val="01A324E9"/>
    <w:rsid w:val="01AC3A93"/>
    <w:rsid w:val="01E66FA5"/>
    <w:rsid w:val="026D4B89"/>
    <w:rsid w:val="027564D5"/>
    <w:rsid w:val="02832643"/>
    <w:rsid w:val="02991B40"/>
    <w:rsid w:val="029D45B9"/>
    <w:rsid w:val="02D432A2"/>
    <w:rsid w:val="03146562"/>
    <w:rsid w:val="03196F90"/>
    <w:rsid w:val="0326394E"/>
    <w:rsid w:val="03473787"/>
    <w:rsid w:val="03822B2D"/>
    <w:rsid w:val="038E5CB9"/>
    <w:rsid w:val="03907B1A"/>
    <w:rsid w:val="03DF2594"/>
    <w:rsid w:val="03E07A24"/>
    <w:rsid w:val="03F579ED"/>
    <w:rsid w:val="04001E75"/>
    <w:rsid w:val="04004593"/>
    <w:rsid w:val="04016E0A"/>
    <w:rsid w:val="04060EB1"/>
    <w:rsid w:val="04094CDD"/>
    <w:rsid w:val="046346F6"/>
    <w:rsid w:val="049E57DB"/>
    <w:rsid w:val="04BE2C85"/>
    <w:rsid w:val="04CD5CFB"/>
    <w:rsid w:val="05476F89"/>
    <w:rsid w:val="05F45A09"/>
    <w:rsid w:val="06023B8E"/>
    <w:rsid w:val="0603226F"/>
    <w:rsid w:val="060F639F"/>
    <w:rsid w:val="06360275"/>
    <w:rsid w:val="0659586C"/>
    <w:rsid w:val="065F5A7E"/>
    <w:rsid w:val="069412FF"/>
    <w:rsid w:val="06E465F0"/>
    <w:rsid w:val="06EB3E96"/>
    <w:rsid w:val="06EE583C"/>
    <w:rsid w:val="070A3E03"/>
    <w:rsid w:val="07303348"/>
    <w:rsid w:val="07707311"/>
    <w:rsid w:val="07762B7A"/>
    <w:rsid w:val="07F80643"/>
    <w:rsid w:val="080E2C74"/>
    <w:rsid w:val="082500FC"/>
    <w:rsid w:val="086E58C7"/>
    <w:rsid w:val="08A53DAB"/>
    <w:rsid w:val="08D47BA1"/>
    <w:rsid w:val="08E91129"/>
    <w:rsid w:val="09272B27"/>
    <w:rsid w:val="095226A4"/>
    <w:rsid w:val="09543561"/>
    <w:rsid w:val="095660EC"/>
    <w:rsid w:val="09603C6C"/>
    <w:rsid w:val="09750EA6"/>
    <w:rsid w:val="0A021606"/>
    <w:rsid w:val="0A0B10F1"/>
    <w:rsid w:val="0A0C61CC"/>
    <w:rsid w:val="0A1D6B75"/>
    <w:rsid w:val="0A261078"/>
    <w:rsid w:val="0A2638F3"/>
    <w:rsid w:val="0A3B1FCF"/>
    <w:rsid w:val="0A417EB3"/>
    <w:rsid w:val="0ABD0107"/>
    <w:rsid w:val="0ABD3696"/>
    <w:rsid w:val="0AEC13FF"/>
    <w:rsid w:val="0B552AA6"/>
    <w:rsid w:val="0B574A70"/>
    <w:rsid w:val="0B9A1BCB"/>
    <w:rsid w:val="0BAD4CB6"/>
    <w:rsid w:val="0C0544CC"/>
    <w:rsid w:val="0C083FBC"/>
    <w:rsid w:val="0C1D4B5C"/>
    <w:rsid w:val="0C491A79"/>
    <w:rsid w:val="0C664B5C"/>
    <w:rsid w:val="0CD8573D"/>
    <w:rsid w:val="0CF90CAC"/>
    <w:rsid w:val="0D2252DC"/>
    <w:rsid w:val="0D71793F"/>
    <w:rsid w:val="0D840DB3"/>
    <w:rsid w:val="0DB3748E"/>
    <w:rsid w:val="0DC24706"/>
    <w:rsid w:val="0DCE553E"/>
    <w:rsid w:val="0E223794"/>
    <w:rsid w:val="0E395C1C"/>
    <w:rsid w:val="0E481C6A"/>
    <w:rsid w:val="0E574D87"/>
    <w:rsid w:val="0E8D1678"/>
    <w:rsid w:val="0E990EFC"/>
    <w:rsid w:val="0EE16F7A"/>
    <w:rsid w:val="0EF62377"/>
    <w:rsid w:val="0F490B74"/>
    <w:rsid w:val="0F4C76C5"/>
    <w:rsid w:val="0FA23412"/>
    <w:rsid w:val="0FB85E2B"/>
    <w:rsid w:val="0FD20B69"/>
    <w:rsid w:val="10415F2D"/>
    <w:rsid w:val="10741C20"/>
    <w:rsid w:val="10AF473F"/>
    <w:rsid w:val="10B136C4"/>
    <w:rsid w:val="10B204DB"/>
    <w:rsid w:val="10F334AB"/>
    <w:rsid w:val="112A0531"/>
    <w:rsid w:val="113B65D6"/>
    <w:rsid w:val="116B1D07"/>
    <w:rsid w:val="11717F0E"/>
    <w:rsid w:val="118934A9"/>
    <w:rsid w:val="11894686"/>
    <w:rsid w:val="11906397"/>
    <w:rsid w:val="119E48BA"/>
    <w:rsid w:val="11A7501C"/>
    <w:rsid w:val="11A75C2C"/>
    <w:rsid w:val="11BC387F"/>
    <w:rsid w:val="12023E66"/>
    <w:rsid w:val="124C123D"/>
    <w:rsid w:val="128D3528"/>
    <w:rsid w:val="12906AB9"/>
    <w:rsid w:val="129B4B27"/>
    <w:rsid w:val="12B225D0"/>
    <w:rsid w:val="12CC5D44"/>
    <w:rsid w:val="12DA32EF"/>
    <w:rsid w:val="12F814A0"/>
    <w:rsid w:val="12F84B73"/>
    <w:rsid w:val="130319EB"/>
    <w:rsid w:val="13510469"/>
    <w:rsid w:val="135611CB"/>
    <w:rsid w:val="138008DC"/>
    <w:rsid w:val="13D74FC3"/>
    <w:rsid w:val="13F40D6F"/>
    <w:rsid w:val="141D42D8"/>
    <w:rsid w:val="144B0B25"/>
    <w:rsid w:val="14780F8C"/>
    <w:rsid w:val="14A25A62"/>
    <w:rsid w:val="14D40B28"/>
    <w:rsid w:val="152D05F0"/>
    <w:rsid w:val="15384547"/>
    <w:rsid w:val="154D0C92"/>
    <w:rsid w:val="154E1EF5"/>
    <w:rsid w:val="1555736B"/>
    <w:rsid w:val="155913E5"/>
    <w:rsid w:val="156404B5"/>
    <w:rsid w:val="1568682F"/>
    <w:rsid w:val="157D3325"/>
    <w:rsid w:val="158346B4"/>
    <w:rsid w:val="1592442B"/>
    <w:rsid w:val="15952692"/>
    <w:rsid w:val="15AE7012"/>
    <w:rsid w:val="15B43A47"/>
    <w:rsid w:val="15B742DC"/>
    <w:rsid w:val="15FD2F00"/>
    <w:rsid w:val="1604751C"/>
    <w:rsid w:val="16210196"/>
    <w:rsid w:val="167F4E7B"/>
    <w:rsid w:val="16842491"/>
    <w:rsid w:val="16B2646B"/>
    <w:rsid w:val="16FD7908"/>
    <w:rsid w:val="17027F03"/>
    <w:rsid w:val="171674A5"/>
    <w:rsid w:val="17205F01"/>
    <w:rsid w:val="172250F8"/>
    <w:rsid w:val="17283764"/>
    <w:rsid w:val="172F215D"/>
    <w:rsid w:val="174468C9"/>
    <w:rsid w:val="176357FA"/>
    <w:rsid w:val="17671DD7"/>
    <w:rsid w:val="17997C1D"/>
    <w:rsid w:val="17AD415D"/>
    <w:rsid w:val="17B462C0"/>
    <w:rsid w:val="17DD2CD9"/>
    <w:rsid w:val="17EE71FB"/>
    <w:rsid w:val="181C72E9"/>
    <w:rsid w:val="18285F1D"/>
    <w:rsid w:val="182F0695"/>
    <w:rsid w:val="183B2D07"/>
    <w:rsid w:val="183C17FF"/>
    <w:rsid w:val="189E33E0"/>
    <w:rsid w:val="18A9220D"/>
    <w:rsid w:val="18D11348"/>
    <w:rsid w:val="18DE057F"/>
    <w:rsid w:val="190E3D4E"/>
    <w:rsid w:val="193726FE"/>
    <w:rsid w:val="194B564B"/>
    <w:rsid w:val="19520625"/>
    <w:rsid w:val="197F0845"/>
    <w:rsid w:val="199777B2"/>
    <w:rsid w:val="19CA601A"/>
    <w:rsid w:val="19E77268"/>
    <w:rsid w:val="1A0D716D"/>
    <w:rsid w:val="1A4F1492"/>
    <w:rsid w:val="1A884696"/>
    <w:rsid w:val="1AB073BF"/>
    <w:rsid w:val="1AC57800"/>
    <w:rsid w:val="1AEA79DF"/>
    <w:rsid w:val="1B3D71CC"/>
    <w:rsid w:val="1B5865B3"/>
    <w:rsid w:val="1B781C36"/>
    <w:rsid w:val="1BC73C6D"/>
    <w:rsid w:val="1BCC0B62"/>
    <w:rsid w:val="1BD53965"/>
    <w:rsid w:val="1BD94FE5"/>
    <w:rsid w:val="1BE7599C"/>
    <w:rsid w:val="1BF223F6"/>
    <w:rsid w:val="1C24719B"/>
    <w:rsid w:val="1C4D53CD"/>
    <w:rsid w:val="1C6372F4"/>
    <w:rsid w:val="1C9075C7"/>
    <w:rsid w:val="1C961BE2"/>
    <w:rsid w:val="1D3F3830"/>
    <w:rsid w:val="1D4053A6"/>
    <w:rsid w:val="1D651E9F"/>
    <w:rsid w:val="1DC00FC5"/>
    <w:rsid w:val="1DD94E06"/>
    <w:rsid w:val="1E19568B"/>
    <w:rsid w:val="1E62130A"/>
    <w:rsid w:val="1E79220B"/>
    <w:rsid w:val="1EB01574"/>
    <w:rsid w:val="1ED25B11"/>
    <w:rsid w:val="1EE937D9"/>
    <w:rsid w:val="1EF553F4"/>
    <w:rsid w:val="1EFF2FFD"/>
    <w:rsid w:val="1F3B07A0"/>
    <w:rsid w:val="1F6241D8"/>
    <w:rsid w:val="1F7E03C6"/>
    <w:rsid w:val="1F9359CA"/>
    <w:rsid w:val="1F9E2816"/>
    <w:rsid w:val="1FCC2F8A"/>
    <w:rsid w:val="2026602C"/>
    <w:rsid w:val="20345D19"/>
    <w:rsid w:val="2036055B"/>
    <w:rsid w:val="20947775"/>
    <w:rsid w:val="20CE6948"/>
    <w:rsid w:val="20FA66F6"/>
    <w:rsid w:val="21463C60"/>
    <w:rsid w:val="215075F8"/>
    <w:rsid w:val="216A37B2"/>
    <w:rsid w:val="21A52766"/>
    <w:rsid w:val="21A74854"/>
    <w:rsid w:val="21A812E8"/>
    <w:rsid w:val="21EF33E2"/>
    <w:rsid w:val="22121299"/>
    <w:rsid w:val="221943D6"/>
    <w:rsid w:val="22196141"/>
    <w:rsid w:val="221F2463"/>
    <w:rsid w:val="22360981"/>
    <w:rsid w:val="22724B1A"/>
    <w:rsid w:val="228F4698"/>
    <w:rsid w:val="22B81E40"/>
    <w:rsid w:val="22C00636"/>
    <w:rsid w:val="22F64DD9"/>
    <w:rsid w:val="230828F0"/>
    <w:rsid w:val="231774AE"/>
    <w:rsid w:val="232307FE"/>
    <w:rsid w:val="233A2280"/>
    <w:rsid w:val="2358717F"/>
    <w:rsid w:val="23895199"/>
    <w:rsid w:val="23983979"/>
    <w:rsid w:val="239D6768"/>
    <w:rsid w:val="23D65E2E"/>
    <w:rsid w:val="23E024EB"/>
    <w:rsid w:val="24536AB9"/>
    <w:rsid w:val="245C2C9F"/>
    <w:rsid w:val="24853520"/>
    <w:rsid w:val="248A31B3"/>
    <w:rsid w:val="24BE56AD"/>
    <w:rsid w:val="24D8652C"/>
    <w:rsid w:val="25283888"/>
    <w:rsid w:val="254F010E"/>
    <w:rsid w:val="25853B30"/>
    <w:rsid w:val="25865C4A"/>
    <w:rsid w:val="25A43086"/>
    <w:rsid w:val="25DA6FFE"/>
    <w:rsid w:val="25E70DA0"/>
    <w:rsid w:val="25EC6FF3"/>
    <w:rsid w:val="25F83078"/>
    <w:rsid w:val="261331E6"/>
    <w:rsid w:val="2681079B"/>
    <w:rsid w:val="26834513"/>
    <w:rsid w:val="26AF3CBE"/>
    <w:rsid w:val="26C8226C"/>
    <w:rsid w:val="26DE5141"/>
    <w:rsid w:val="2745751A"/>
    <w:rsid w:val="27975A29"/>
    <w:rsid w:val="27D82163"/>
    <w:rsid w:val="27DA55CD"/>
    <w:rsid w:val="27F326DF"/>
    <w:rsid w:val="27F92735"/>
    <w:rsid w:val="27F93D65"/>
    <w:rsid w:val="27FA6995"/>
    <w:rsid w:val="282A363C"/>
    <w:rsid w:val="282C1AD1"/>
    <w:rsid w:val="282F2330"/>
    <w:rsid w:val="286345FC"/>
    <w:rsid w:val="287B4584"/>
    <w:rsid w:val="294C32E2"/>
    <w:rsid w:val="294F519D"/>
    <w:rsid w:val="295D104C"/>
    <w:rsid w:val="29606395"/>
    <w:rsid w:val="297D1498"/>
    <w:rsid w:val="29A87F48"/>
    <w:rsid w:val="29BB6DAB"/>
    <w:rsid w:val="29D71CDA"/>
    <w:rsid w:val="29DA2824"/>
    <w:rsid w:val="29FE7D4C"/>
    <w:rsid w:val="2A1715EE"/>
    <w:rsid w:val="2A48451A"/>
    <w:rsid w:val="2AE00288"/>
    <w:rsid w:val="2AE4132A"/>
    <w:rsid w:val="2AE5754B"/>
    <w:rsid w:val="2AEF3EAF"/>
    <w:rsid w:val="2B006133"/>
    <w:rsid w:val="2B0653EC"/>
    <w:rsid w:val="2B135733"/>
    <w:rsid w:val="2B4F4D95"/>
    <w:rsid w:val="2BA016C4"/>
    <w:rsid w:val="2BAE60E1"/>
    <w:rsid w:val="2BE45A54"/>
    <w:rsid w:val="2BF6747B"/>
    <w:rsid w:val="2BFD236B"/>
    <w:rsid w:val="2C344210"/>
    <w:rsid w:val="2C362245"/>
    <w:rsid w:val="2C68799C"/>
    <w:rsid w:val="2CA13CF8"/>
    <w:rsid w:val="2CAD4718"/>
    <w:rsid w:val="2D0637A8"/>
    <w:rsid w:val="2D085772"/>
    <w:rsid w:val="2D200D0E"/>
    <w:rsid w:val="2D2E6BA3"/>
    <w:rsid w:val="2D6F604E"/>
    <w:rsid w:val="2D7E68F3"/>
    <w:rsid w:val="2DA140C7"/>
    <w:rsid w:val="2DA27975"/>
    <w:rsid w:val="2DF16206"/>
    <w:rsid w:val="2E23315A"/>
    <w:rsid w:val="2E374561"/>
    <w:rsid w:val="2EAE5EA6"/>
    <w:rsid w:val="2EC31718"/>
    <w:rsid w:val="2EE04960"/>
    <w:rsid w:val="2EF201B5"/>
    <w:rsid w:val="2EF644C3"/>
    <w:rsid w:val="2EF7784D"/>
    <w:rsid w:val="2F6055E3"/>
    <w:rsid w:val="2F9759D3"/>
    <w:rsid w:val="2F9B5F69"/>
    <w:rsid w:val="2FB97EB0"/>
    <w:rsid w:val="2FEE396A"/>
    <w:rsid w:val="300C37CC"/>
    <w:rsid w:val="304149D3"/>
    <w:rsid w:val="30422890"/>
    <w:rsid w:val="30446AC1"/>
    <w:rsid w:val="305D6CE0"/>
    <w:rsid w:val="30930524"/>
    <w:rsid w:val="309A2B85"/>
    <w:rsid w:val="30BA507B"/>
    <w:rsid w:val="30C21F00"/>
    <w:rsid w:val="30CA04CB"/>
    <w:rsid w:val="30DE251B"/>
    <w:rsid w:val="30E169F4"/>
    <w:rsid w:val="31246D64"/>
    <w:rsid w:val="313308E4"/>
    <w:rsid w:val="31450646"/>
    <w:rsid w:val="31C559E0"/>
    <w:rsid w:val="31E77F3D"/>
    <w:rsid w:val="31F04DAA"/>
    <w:rsid w:val="31F608B9"/>
    <w:rsid w:val="32503222"/>
    <w:rsid w:val="326A7D85"/>
    <w:rsid w:val="32B12408"/>
    <w:rsid w:val="32C27746"/>
    <w:rsid w:val="32D014C5"/>
    <w:rsid w:val="32F02F31"/>
    <w:rsid w:val="32FA790B"/>
    <w:rsid w:val="3324748B"/>
    <w:rsid w:val="335D55ED"/>
    <w:rsid w:val="33643B03"/>
    <w:rsid w:val="339764AD"/>
    <w:rsid w:val="339B21DC"/>
    <w:rsid w:val="33A51F6D"/>
    <w:rsid w:val="33A71019"/>
    <w:rsid w:val="33D016B1"/>
    <w:rsid w:val="33DF65DA"/>
    <w:rsid w:val="33EC573A"/>
    <w:rsid w:val="33ED6D95"/>
    <w:rsid w:val="34222D3B"/>
    <w:rsid w:val="34304F6E"/>
    <w:rsid w:val="34693B4D"/>
    <w:rsid w:val="348A2F11"/>
    <w:rsid w:val="349B511E"/>
    <w:rsid w:val="34B42464"/>
    <w:rsid w:val="34BD1177"/>
    <w:rsid w:val="34D0301A"/>
    <w:rsid w:val="34E165EE"/>
    <w:rsid w:val="34E4145D"/>
    <w:rsid w:val="350437F7"/>
    <w:rsid w:val="354710E6"/>
    <w:rsid w:val="354F14A6"/>
    <w:rsid w:val="35714339"/>
    <w:rsid w:val="35762E24"/>
    <w:rsid w:val="357E524C"/>
    <w:rsid w:val="35837883"/>
    <w:rsid w:val="35A73997"/>
    <w:rsid w:val="3605164B"/>
    <w:rsid w:val="363B17C1"/>
    <w:rsid w:val="36424BC7"/>
    <w:rsid w:val="3651018A"/>
    <w:rsid w:val="36997A36"/>
    <w:rsid w:val="370C07C2"/>
    <w:rsid w:val="371840FC"/>
    <w:rsid w:val="37282A33"/>
    <w:rsid w:val="37357C71"/>
    <w:rsid w:val="373F6235"/>
    <w:rsid w:val="375D6328"/>
    <w:rsid w:val="376E6341"/>
    <w:rsid w:val="376E7305"/>
    <w:rsid w:val="376F6EAE"/>
    <w:rsid w:val="378E4206"/>
    <w:rsid w:val="37CB3B91"/>
    <w:rsid w:val="37F011A2"/>
    <w:rsid w:val="38205370"/>
    <w:rsid w:val="38337689"/>
    <w:rsid w:val="38A5783A"/>
    <w:rsid w:val="38E030CC"/>
    <w:rsid w:val="38E41132"/>
    <w:rsid w:val="38EC419A"/>
    <w:rsid w:val="39107218"/>
    <w:rsid w:val="392301E0"/>
    <w:rsid w:val="39241B86"/>
    <w:rsid w:val="392B2074"/>
    <w:rsid w:val="39605843"/>
    <w:rsid w:val="397F3D71"/>
    <w:rsid w:val="39986745"/>
    <w:rsid w:val="39E54025"/>
    <w:rsid w:val="3A0374CF"/>
    <w:rsid w:val="3A2C6370"/>
    <w:rsid w:val="3A30018A"/>
    <w:rsid w:val="3A592FEA"/>
    <w:rsid w:val="3A8E0BF6"/>
    <w:rsid w:val="3A974782"/>
    <w:rsid w:val="3AD76784"/>
    <w:rsid w:val="3AD768B5"/>
    <w:rsid w:val="3AE3337B"/>
    <w:rsid w:val="3B2750CF"/>
    <w:rsid w:val="3B5F316C"/>
    <w:rsid w:val="3B81185E"/>
    <w:rsid w:val="3BA94D4D"/>
    <w:rsid w:val="3BCA731E"/>
    <w:rsid w:val="3BDA5286"/>
    <w:rsid w:val="3C431DE1"/>
    <w:rsid w:val="3C463BC1"/>
    <w:rsid w:val="3CC674F3"/>
    <w:rsid w:val="3CE47553"/>
    <w:rsid w:val="3D712EC0"/>
    <w:rsid w:val="3D7839A1"/>
    <w:rsid w:val="3DFD29A6"/>
    <w:rsid w:val="3E340512"/>
    <w:rsid w:val="3E35213F"/>
    <w:rsid w:val="3E8667F4"/>
    <w:rsid w:val="3EB91AFC"/>
    <w:rsid w:val="3EC54061"/>
    <w:rsid w:val="3ED43706"/>
    <w:rsid w:val="3F132A21"/>
    <w:rsid w:val="3F2E2E7E"/>
    <w:rsid w:val="3F340E0E"/>
    <w:rsid w:val="3F4646BA"/>
    <w:rsid w:val="3F510B1F"/>
    <w:rsid w:val="3F76656C"/>
    <w:rsid w:val="3F9954B4"/>
    <w:rsid w:val="3F9D584C"/>
    <w:rsid w:val="3FD25E21"/>
    <w:rsid w:val="3FD87226"/>
    <w:rsid w:val="3FEC2CD2"/>
    <w:rsid w:val="3FEE6A4A"/>
    <w:rsid w:val="40251FB0"/>
    <w:rsid w:val="40304BF3"/>
    <w:rsid w:val="403A28B2"/>
    <w:rsid w:val="404F11F0"/>
    <w:rsid w:val="40723D23"/>
    <w:rsid w:val="40817278"/>
    <w:rsid w:val="40824CA8"/>
    <w:rsid w:val="409408E9"/>
    <w:rsid w:val="40B90FC5"/>
    <w:rsid w:val="40DA0D24"/>
    <w:rsid w:val="40DD4C23"/>
    <w:rsid w:val="40E67721"/>
    <w:rsid w:val="40E8793D"/>
    <w:rsid w:val="40F40090"/>
    <w:rsid w:val="410F1EE7"/>
    <w:rsid w:val="41552E31"/>
    <w:rsid w:val="417E0D46"/>
    <w:rsid w:val="41A55C0F"/>
    <w:rsid w:val="41B26512"/>
    <w:rsid w:val="41E53E7C"/>
    <w:rsid w:val="4208304A"/>
    <w:rsid w:val="4220134E"/>
    <w:rsid w:val="423626B2"/>
    <w:rsid w:val="425628DC"/>
    <w:rsid w:val="425D3215"/>
    <w:rsid w:val="429C09DF"/>
    <w:rsid w:val="42AB6E74"/>
    <w:rsid w:val="42AC56CD"/>
    <w:rsid w:val="42BE0955"/>
    <w:rsid w:val="42EA279E"/>
    <w:rsid w:val="431D2A0C"/>
    <w:rsid w:val="432D0C62"/>
    <w:rsid w:val="43346E69"/>
    <w:rsid w:val="43903643"/>
    <w:rsid w:val="43AC45DD"/>
    <w:rsid w:val="43BF7DCC"/>
    <w:rsid w:val="43E469A5"/>
    <w:rsid w:val="43E77A38"/>
    <w:rsid w:val="43F51285"/>
    <w:rsid w:val="44037520"/>
    <w:rsid w:val="440E5CC1"/>
    <w:rsid w:val="4486410D"/>
    <w:rsid w:val="44C541C0"/>
    <w:rsid w:val="44D520E5"/>
    <w:rsid w:val="456470F8"/>
    <w:rsid w:val="4573237C"/>
    <w:rsid w:val="457C0654"/>
    <w:rsid w:val="45852B91"/>
    <w:rsid w:val="45C25183"/>
    <w:rsid w:val="46162C6B"/>
    <w:rsid w:val="46203B00"/>
    <w:rsid w:val="463436C2"/>
    <w:rsid w:val="464038DB"/>
    <w:rsid w:val="469519CD"/>
    <w:rsid w:val="46A158F9"/>
    <w:rsid w:val="46BA58D8"/>
    <w:rsid w:val="46D35A5D"/>
    <w:rsid w:val="46D90794"/>
    <w:rsid w:val="46F70479"/>
    <w:rsid w:val="46FF3CB8"/>
    <w:rsid w:val="47280A93"/>
    <w:rsid w:val="476C7567"/>
    <w:rsid w:val="477908C9"/>
    <w:rsid w:val="478D1D67"/>
    <w:rsid w:val="4799373F"/>
    <w:rsid w:val="47AB19BB"/>
    <w:rsid w:val="47E448EF"/>
    <w:rsid w:val="47EA7AF7"/>
    <w:rsid w:val="48374D1C"/>
    <w:rsid w:val="483B2A48"/>
    <w:rsid w:val="4848143D"/>
    <w:rsid w:val="48510A04"/>
    <w:rsid w:val="48545C43"/>
    <w:rsid w:val="48792DEC"/>
    <w:rsid w:val="48A759E8"/>
    <w:rsid w:val="48DA400F"/>
    <w:rsid w:val="48E1539E"/>
    <w:rsid w:val="48EE1869"/>
    <w:rsid w:val="495578FE"/>
    <w:rsid w:val="495A173F"/>
    <w:rsid w:val="49635DB3"/>
    <w:rsid w:val="496D4D42"/>
    <w:rsid w:val="49DC109D"/>
    <w:rsid w:val="49F904C5"/>
    <w:rsid w:val="4A4B7EB3"/>
    <w:rsid w:val="4A5C2C74"/>
    <w:rsid w:val="4A875AD1"/>
    <w:rsid w:val="4ABA40F8"/>
    <w:rsid w:val="4ACF1226"/>
    <w:rsid w:val="4ACF7478"/>
    <w:rsid w:val="4ADE3E57"/>
    <w:rsid w:val="4AE855EF"/>
    <w:rsid w:val="4B223A4B"/>
    <w:rsid w:val="4B553A96"/>
    <w:rsid w:val="4B724394"/>
    <w:rsid w:val="4BB70638"/>
    <w:rsid w:val="4BCE2C7A"/>
    <w:rsid w:val="4C005AC0"/>
    <w:rsid w:val="4C07336D"/>
    <w:rsid w:val="4C36393B"/>
    <w:rsid w:val="4C651EFA"/>
    <w:rsid w:val="4D2604A0"/>
    <w:rsid w:val="4D2756BB"/>
    <w:rsid w:val="4D2A74B1"/>
    <w:rsid w:val="4D8B1D7C"/>
    <w:rsid w:val="4D9D78D7"/>
    <w:rsid w:val="4DCE1855"/>
    <w:rsid w:val="4DCE677A"/>
    <w:rsid w:val="4E170175"/>
    <w:rsid w:val="4E9B5FEF"/>
    <w:rsid w:val="4EA76741"/>
    <w:rsid w:val="4ECE6DC3"/>
    <w:rsid w:val="4ED432AF"/>
    <w:rsid w:val="4ED45DD0"/>
    <w:rsid w:val="4EFA17F5"/>
    <w:rsid w:val="4EFC1FAA"/>
    <w:rsid w:val="4F027E1C"/>
    <w:rsid w:val="4F1C2DC4"/>
    <w:rsid w:val="4F1E24A6"/>
    <w:rsid w:val="4F390B4C"/>
    <w:rsid w:val="4F5D29EF"/>
    <w:rsid w:val="4F711713"/>
    <w:rsid w:val="4F75662D"/>
    <w:rsid w:val="4F786321"/>
    <w:rsid w:val="4F7D3E37"/>
    <w:rsid w:val="4F826F9A"/>
    <w:rsid w:val="4F8338E0"/>
    <w:rsid w:val="4F865E52"/>
    <w:rsid w:val="4F8C6272"/>
    <w:rsid w:val="4F8D29C9"/>
    <w:rsid w:val="4F901795"/>
    <w:rsid w:val="4F975776"/>
    <w:rsid w:val="4FBF3BDB"/>
    <w:rsid w:val="4FE92D8A"/>
    <w:rsid w:val="4FF21C3E"/>
    <w:rsid w:val="500C24FA"/>
    <w:rsid w:val="503F6E4F"/>
    <w:rsid w:val="505E1C29"/>
    <w:rsid w:val="50897CB4"/>
    <w:rsid w:val="508C05C5"/>
    <w:rsid w:val="508D3A02"/>
    <w:rsid w:val="50EC68A2"/>
    <w:rsid w:val="511A58F1"/>
    <w:rsid w:val="51207F04"/>
    <w:rsid w:val="51542485"/>
    <w:rsid w:val="51671414"/>
    <w:rsid w:val="516B39C7"/>
    <w:rsid w:val="51B0293E"/>
    <w:rsid w:val="5218471B"/>
    <w:rsid w:val="52447C09"/>
    <w:rsid w:val="52541BCB"/>
    <w:rsid w:val="52DB52EE"/>
    <w:rsid w:val="530057B4"/>
    <w:rsid w:val="53127E83"/>
    <w:rsid w:val="531D3F16"/>
    <w:rsid w:val="532762B9"/>
    <w:rsid w:val="532D6659"/>
    <w:rsid w:val="539227A8"/>
    <w:rsid w:val="53AF1153"/>
    <w:rsid w:val="53B413A5"/>
    <w:rsid w:val="53C25DCC"/>
    <w:rsid w:val="53E61ABA"/>
    <w:rsid w:val="540006A2"/>
    <w:rsid w:val="54015876"/>
    <w:rsid w:val="54224ABC"/>
    <w:rsid w:val="54532EC8"/>
    <w:rsid w:val="54626400"/>
    <w:rsid w:val="54662778"/>
    <w:rsid w:val="547D6871"/>
    <w:rsid w:val="54857525"/>
    <w:rsid w:val="55040D6E"/>
    <w:rsid w:val="550A6DD0"/>
    <w:rsid w:val="55450589"/>
    <w:rsid w:val="5575204E"/>
    <w:rsid w:val="557E3AB8"/>
    <w:rsid w:val="5583158B"/>
    <w:rsid w:val="558D3544"/>
    <w:rsid w:val="558E3D3F"/>
    <w:rsid w:val="55C24E3B"/>
    <w:rsid w:val="55F81F79"/>
    <w:rsid w:val="564F0FA5"/>
    <w:rsid w:val="567E247E"/>
    <w:rsid w:val="56AB45DA"/>
    <w:rsid w:val="56C36F17"/>
    <w:rsid w:val="56DD7B2E"/>
    <w:rsid w:val="56E2111D"/>
    <w:rsid w:val="56FB54C7"/>
    <w:rsid w:val="57017173"/>
    <w:rsid w:val="5721676A"/>
    <w:rsid w:val="57257AC8"/>
    <w:rsid w:val="57596A47"/>
    <w:rsid w:val="575E22AF"/>
    <w:rsid w:val="57672713"/>
    <w:rsid w:val="577473DD"/>
    <w:rsid w:val="57B15A98"/>
    <w:rsid w:val="57D142CB"/>
    <w:rsid w:val="57EA4CBC"/>
    <w:rsid w:val="581C180F"/>
    <w:rsid w:val="583A23D4"/>
    <w:rsid w:val="585D2567"/>
    <w:rsid w:val="586301E7"/>
    <w:rsid w:val="58814A80"/>
    <w:rsid w:val="588E0972"/>
    <w:rsid w:val="589253DD"/>
    <w:rsid w:val="58B303D9"/>
    <w:rsid w:val="58B660B3"/>
    <w:rsid w:val="58D0627E"/>
    <w:rsid w:val="58D313DF"/>
    <w:rsid w:val="58DE5456"/>
    <w:rsid w:val="58EC4455"/>
    <w:rsid w:val="59034EBC"/>
    <w:rsid w:val="5919023C"/>
    <w:rsid w:val="591F1179"/>
    <w:rsid w:val="59480B21"/>
    <w:rsid w:val="5954396A"/>
    <w:rsid w:val="59701D26"/>
    <w:rsid w:val="59712134"/>
    <w:rsid w:val="597271B7"/>
    <w:rsid w:val="59B931C3"/>
    <w:rsid w:val="59F56F6B"/>
    <w:rsid w:val="59F574FE"/>
    <w:rsid w:val="5A0114F0"/>
    <w:rsid w:val="5A0A227A"/>
    <w:rsid w:val="5A184997"/>
    <w:rsid w:val="5A446F3E"/>
    <w:rsid w:val="5A5B0026"/>
    <w:rsid w:val="5A78384D"/>
    <w:rsid w:val="5A801DBC"/>
    <w:rsid w:val="5A863DA4"/>
    <w:rsid w:val="5A8E30F4"/>
    <w:rsid w:val="5AB83A84"/>
    <w:rsid w:val="5AF57C40"/>
    <w:rsid w:val="5AF76A9C"/>
    <w:rsid w:val="5B33135D"/>
    <w:rsid w:val="5B344458"/>
    <w:rsid w:val="5B3C6463"/>
    <w:rsid w:val="5B540B07"/>
    <w:rsid w:val="5B6D0D13"/>
    <w:rsid w:val="5B771124"/>
    <w:rsid w:val="5B813AC6"/>
    <w:rsid w:val="5B816D58"/>
    <w:rsid w:val="5B995ED5"/>
    <w:rsid w:val="5B9C6C0F"/>
    <w:rsid w:val="5C115B42"/>
    <w:rsid w:val="5C2D04CF"/>
    <w:rsid w:val="5C30520F"/>
    <w:rsid w:val="5C3971AB"/>
    <w:rsid w:val="5CAE615B"/>
    <w:rsid w:val="5CB042E7"/>
    <w:rsid w:val="5CBC0BB0"/>
    <w:rsid w:val="5CD70A20"/>
    <w:rsid w:val="5CDA23D8"/>
    <w:rsid w:val="5CE36BB7"/>
    <w:rsid w:val="5CE96177"/>
    <w:rsid w:val="5CEB6393"/>
    <w:rsid w:val="5D091ED0"/>
    <w:rsid w:val="5D482847"/>
    <w:rsid w:val="5D7C0CDB"/>
    <w:rsid w:val="5D924A61"/>
    <w:rsid w:val="5D9724E6"/>
    <w:rsid w:val="5DA75434"/>
    <w:rsid w:val="5DBB7895"/>
    <w:rsid w:val="5DC43DBE"/>
    <w:rsid w:val="5DCF3856"/>
    <w:rsid w:val="5DE2505B"/>
    <w:rsid w:val="5E052149"/>
    <w:rsid w:val="5E0E0258"/>
    <w:rsid w:val="5E2A30BC"/>
    <w:rsid w:val="5E3B3A4F"/>
    <w:rsid w:val="5E5B4E53"/>
    <w:rsid w:val="5E8C52E5"/>
    <w:rsid w:val="5E9D546B"/>
    <w:rsid w:val="5EB11C86"/>
    <w:rsid w:val="5EBC7BE3"/>
    <w:rsid w:val="5EE017FC"/>
    <w:rsid w:val="5EF87F60"/>
    <w:rsid w:val="5F1C1375"/>
    <w:rsid w:val="5F2D4A41"/>
    <w:rsid w:val="5F6446D8"/>
    <w:rsid w:val="5F7A5AAC"/>
    <w:rsid w:val="5F7B3C04"/>
    <w:rsid w:val="5F9C5723"/>
    <w:rsid w:val="60237F24"/>
    <w:rsid w:val="60402552"/>
    <w:rsid w:val="60CC028A"/>
    <w:rsid w:val="611B3CC7"/>
    <w:rsid w:val="61386D43"/>
    <w:rsid w:val="6142135E"/>
    <w:rsid w:val="616B6B6E"/>
    <w:rsid w:val="61A6003A"/>
    <w:rsid w:val="61D75138"/>
    <w:rsid w:val="61DA5BB5"/>
    <w:rsid w:val="61EB473F"/>
    <w:rsid w:val="61EE2904"/>
    <w:rsid w:val="62314427"/>
    <w:rsid w:val="623936FD"/>
    <w:rsid w:val="623F1033"/>
    <w:rsid w:val="62744DD3"/>
    <w:rsid w:val="62B10D29"/>
    <w:rsid w:val="62CB6496"/>
    <w:rsid w:val="62DA698E"/>
    <w:rsid w:val="63051831"/>
    <w:rsid w:val="6328712F"/>
    <w:rsid w:val="634E4F86"/>
    <w:rsid w:val="63645C52"/>
    <w:rsid w:val="639B540C"/>
    <w:rsid w:val="63BC2837"/>
    <w:rsid w:val="63DA032C"/>
    <w:rsid w:val="6414331E"/>
    <w:rsid w:val="642C5DB8"/>
    <w:rsid w:val="64301344"/>
    <w:rsid w:val="645F77A0"/>
    <w:rsid w:val="646F3406"/>
    <w:rsid w:val="64720968"/>
    <w:rsid w:val="648E32AE"/>
    <w:rsid w:val="64A56C10"/>
    <w:rsid w:val="64FB5EE4"/>
    <w:rsid w:val="651C5530"/>
    <w:rsid w:val="65521F0A"/>
    <w:rsid w:val="657D479F"/>
    <w:rsid w:val="65B21C6C"/>
    <w:rsid w:val="66022930"/>
    <w:rsid w:val="6662218C"/>
    <w:rsid w:val="666F7CC3"/>
    <w:rsid w:val="667B5B69"/>
    <w:rsid w:val="66AF21DF"/>
    <w:rsid w:val="66F77C59"/>
    <w:rsid w:val="66F94BD7"/>
    <w:rsid w:val="67083A40"/>
    <w:rsid w:val="670D6F06"/>
    <w:rsid w:val="67747999"/>
    <w:rsid w:val="67957E65"/>
    <w:rsid w:val="67C95523"/>
    <w:rsid w:val="683A4E8F"/>
    <w:rsid w:val="687A3533"/>
    <w:rsid w:val="68943F9B"/>
    <w:rsid w:val="68964A77"/>
    <w:rsid w:val="68B44124"/>
    <w:rsid w:val="694E2184"/>
    <w:rsid w:val="694E22E1"/>
    <w:rsid w:val="69B356FD"/>
    <w:rsid w:val="69B813AB"/>
    <w:rsid w:val="69CA2F1C"/>
    <w:rsid w:val="69E00902"/>
    <w:rsid w:val="69EB1780"/>
    <w:rsid w:val="69FB0C13"/>
    <w:rsid w:val="6A10568B"/>
    <w:rsid w:val="6A161E4A"/>
    <w:rsid w:val="6A1E4C1B"/>
    <w:rsid w:val="6A58714D"/>
    <w:rsid w:val="6A761B9C"/>
    <w:rsid w:val="6A796D4F"/>
    <w:rsid w:val="6A9E4A45"/>
    <w:rsid w:val="6AB778B5"/>
    <w:rsid w:val="6AE0505D"/>
    <w:rsid w:val="6AF47C9C"/>
    <w:rsid w:val="6B4A6508"/>
    <w:rsid w:val="6B4F5D3F"/>
    <w:rsid w:val="6B724E0D"/>
    <w:rsid w:val="6B735C32"/>
    <w:rsid w:val="6B8567A1"/>
    <w:rsid w:val="6B8E04D1"/>
    <w:rsid w:val="6BCC2210"/>
    <w:rsid w:val="6BFD3B0A"/>
    <w:rsid w:val="6C1036B6"/>
    <w:rsid w:val="6C276CBC"/>
    <w:rsid w:val="6C28338D"/>
    <w:rsid w:val="6C376EFF"/>
    <w:rsid w:val="6CA105BD"/>
    <w:rsid w:val="6CD66551"/>
    <w:rsid w:val="6CEE36D7"/>
    <w:rsid w:val="6D41296A"/>
    <w:rsid w:val="6DA265FA"/>
    <w:rsid w:val="6DD42A72"/>
    <w:rsid w:val="6E0077C5"/>
    <w:rsid w:val="6E061278"/>
    <w:rsid w:val="6E575EEA"/>
    <w:rsid w:val="6E986467"/>
    <w:rsid w:val="6EB270CE"/>
    <w:rsid w:val="6EC92BFA"/>
    <w:rsid w:val="6F0D794D"/>
    <w:rsid w:val="6F174388"/>
    <w:rsid w:val="6F2F1DA8"/>
    <w:rsid w:val="6FD921E3"/>
    <w:rsid w:val="700A5B33"/>
    <w:rsid w:val="700F461E"/>
    <w:rsid w:val="70212171"/>
    <w:rsid w:val="7036571F"/>
    <w:rsid w:val="70700C31"/>
    <w:rsid w:val="70750610"/>
    <w:rsid w:val="7080699B"/>
    <w:rsid w:val="70A42D46"/>
    <w:rsid w:val="70D474D2"/>
    <w:rsid w:val="70F07B85"/>
    <w:rsid w:val="71155335"/>
    <w:rsid w:val="712D2DE9"/>
    <w:rsid w:val="717F33A0"/>
    <w:rsid w:val="718166DC"/>
    <w:rsid w:val="71845997"/>
    <w:rsid w:val="718D01A9"/>
    <w:rsid w:val="71B55135"/>
    <w:rsid w:val="71D23226"/>
    <w:rsid w:val="71D35F3A"/>
    <w:rsid w:val="71D54FB4"/>
    <w:rsid w:val="71E07D06"/>
    <w:rsid w:val="721309FF"/>
    <w:rsid w:val="722F1BBB"/>
    <w:rsid w:val="723D0FE7"/>
    <w:rsid w:val="728F46B1"/>
    <w:rsid w:val="729A7761"/>
    <w:rsid w:val="72CB03A1"/>
    <w:rsid w:val="72DB1F12"/>
    <w:rsid w:val="72E35D09"/>
    <w:rsid w:val="73267CCD"/>
    <w:rsid w:val="732F3B04"/>
    <w:rsid w:val="735334CB"/>
    <w:rsid w:val="735812E0"/>
    <w:rsid w:val="73A80A10"/>
    <w:rsid w:val="73B66785"/>
    <w:rsid w:val="73B74401"/>
    <w:rsid w:val="73BA353C"/>
    <w:rsid w:val="73CE7870"/>
    <w:rsid w:val="73ED4C8A"/>
    <w:rsid w:val="73F6144E"/>
    <w:rsid w:val="74082F2F"/>
    <w:rsid w:val="74424693"/>
    <w:rsid w:val="745154D7"/>
    <w:rsid w:val="745B519B"/>
    <w:rsid w:val="7467234B"/>
    <w:rsid w:val="747D2BA4"/>
    <w:rsid w:val="748137A2"/>
    <w:rsid w:val="7483123D"/>
    <w:rsid w:val="748E5B2A"/>
    <w:rsid w:val="752F139E"/>
    <w:rsid w:val="75530B22"/>
    <w:rsid w:val="75620171"/>
    <w:rsid w:val="75817CCC"/>
    <w:rsid w:val="75D02D1A"/>
    <w:rsid w:val="75DA132A"/>
    <w:rsid w:val="75F220E9"/>
    <w:rsid w:val="761E230A"/>
    <w:rsid w:val="7637596F"/>
    <w:rsid w:val="768C7E47"/>
    <w:rsid w:val="76BB4A15"/>
    <w:rsid w:val="76D17F50"/>
    <w:rsid w:val="775345C1"/>
    <w:rsid w:val="777313C3"/>
    <w:rsid w:val="778B73A3"/>
    <w:rsid w:val="77990326"/>
    <w:rsid w:val="77DC64C7"/>
    <w:rsid w:val="77F90F93"/>
    <w:rsid w:val="78106A27"/>
    <w:rsid w:val="78190EF5"/>
    <w:rsid w:val="782B556E"/>
    <w:rsid w:val="78822412"/>
    <w:rsid w:val="788743CA"/>
    <w:rsid w:val="788F32BA"/>
    <w:rsid w:val="789F2830"/>
    <w:rsid w:val="78C733B9"/>
    <w:rsid w:val="78CF3B22"/>
    <w:rsid w:val="78F90738"/>
    <w:rsid w:val="7949064A"/>
    <w:rsid w:val="79837AAE"/>
    <w:rsid w:val="79862258"/>
    <w:rsid w:val="79876FEC"/>
    <w:rsid w:val="799D2F1F"/>
    <w:rsid w:val="79B564ED"/>
    <w:rsid w:val="79BE3874"/>
    <w:rsid w:val="79DB12C6"/>
    <w:rsid w:val="7A0A4952"/>
    <w:rsid w:val="7A2B5BC9"/>
    <w:rsid w:val="7A41363F"/>
    <w:rsid w:val="7A454EDD"/>
    <w:rsid w:val="7A5336C6"/>
    <w:rsid w:val="7A695F3F"/>
    <w:rsid w:val="7A813A3B"/>
    <w:rsid w:val="7A8552D9"/>
    <w:rsid w:val="7AA61D7D"/>
    <w:rsid w:val="7AA64F29"/>
    <w:rsid w:val="7AEE7323"/>
    <w:rsid w:val="7B292109"/>
    <w:rsid w:val="7B2E771F"/>
    <w:rsid w:val="7B411AEF"/>
    <w:rsid w:val="7B4C5DF7"/>
    <w:rsid w:val="7B9967F5"/>
    <w:rsid w:val="7BF11838"/>
    <w:rsid w:val="7C6929D9"/>
    <w:rsid w:val="7C7057CC"/>
    <w:rsid w:val="7C907F65"/>
    <w:rsid w:val="7C92022A"/>
    <w:rsid w:val="7CB836FA"/>
    <w:rsid w:val="7CDE6F23"/>
    <w:rsid w:val="7D086CD1"/>
    <w:rsid w:val="7D0C7F34"/>
    <w:rsid w:val="7D580A83"/>
    <w:rsid w:val="7D711B45"/>
    <w:rsid w:val="7D7D498E"/>
    <w:rsid w:val="7D8731CA"/>
    <w:rsid w:val="7DAA21AE"/>
    <w:rsid w:val="7DC21507"/>
    <w:rsid w:val="7DD722F0"/>
    <w:rsid w:val="7E0A4E00"/>
    <w:rsid w:val="7E1E7F1F"/>
    <w:rsid w:val="7E232B02"/>
    <w:rsid w:val="7E2B5B64"/>
    <w:rsid w:val="7E5805CC"/>
    <w:rsid w:val="7E6B36D0"/>
    <w:rsid w:val="7E786F03"/>
    <w:rsid w:val="7EAF40AE"/>
    <w:rsid w:val="7EB02B41"/>
    <w:rsid w:val="7EC02D84"/>
    <w:rsid w:val="7F2350C1"/>
    <w:rsid w:val="7F3724AB"/>
    <w:rsid w:val="7F5F4186"/>
    <w:rsid w:val="7F7371A0"/>
    <w:rsid w:val="7F7906C9"/>
    <w:rsid w:val="7F7E2D55"/>
    <w:rsid w:val="7F8E06CB"/>
    <w:rsid w:val="7F96685B"/>
    <w:rsid w:val="7F9A1827"/>
    <w:rsid w:val="7FBC3022"/>
    <w:rsid w:val="7FC12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qFormat/>
    <w:uiPriority w:val="0"/>
    <w:pPr>
      <w:ind w:firstLine="632" w:firstLineChars="200"/>
    </w:pPr>
  </w:style>
  <w:style w:type="paragraph" w:styleId="4">
    <w:name w:val="Date"/>
    <w:basedOn w:val="1"/>
    <w:next w:val="1"/>
    <w:qFormat/>
    <w:uiPriority w:val="0"/>
    <w:pPr>
      <w:ind w:left="100" w:leftChars="2500"/>
    </w:p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列出段落1"/>
    <w:basedOn w:val="1"/>
    <w:qFormat/>
    <w:uiPriority w:val="34"/>
    <w:pPr>
      <w:ind w:firstLine="420" w:firstLineChars="200"/>
    </w:pPr>
  </w:style>
  <w:style w:type="paragraph" w:styleId="14">
    <w:name w:val="List Paragraph"/>
    <w:basedOn w:val="1"/>
    <w:qFormat/>
    <w:uiPriority w:val="99"/>
    <w:pPr>
      <w:ind w:firstLine="420" w:firstLineChars="200"/>
    </w:pPr>
    <w:rPr>
      <w:rFonts w:ascii="Calibri" w:hAnsi="Calibri"/>
      <w:szCs w:val="22"/>
    </w:rPr>
  </w:style>
  <w:style w:type="paragraph" w:customStyle="1" w:styleId="15">
    <w:name w:val="18"/>
    <w:basedOn w:val="1"/>
    <w:qFormat/>
    <w:uiPriority w:val="0"/>
    <w:rPr>
      <w:rFonts w:ascii="等线" w:hAnsi="等线" w:eastAsia="宋体"/>
      <w:szCs w:val="21"/>
    </w:rPr>
  </w:style>
  <w:style w:type="character" w:customStyle="1" w:styleId="16">
    <w:name w:val="15"/>
    <w:basedOn w:val="10"/>
    <w:qFormat/>
    <w:uiPriority w:val="99"/>
    <w:rPr>
      <w:rFonts w:ascii="Calibri" w:hAnsi="Calibri" w:cs="Calibri"/>
    </w:rPr>
  </w:style>
  <w:style w:type="character" w:customStyle="1" w:styleId="17">
    <w:name w:val="页脚 Char"/>
    <w:basedOn w:val="10"/>
    <w:link w:val="5"/>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19968;&#20010;&#21333;&#20301;&#25991;&#20214;&#65288;201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一个单位文件（2016）</Template>
  <Company>家用电脑</Company>
  <Pages>15</Pages>
  <Words>7851</Words>
  <Characters>8642</Characters>
  <Lines>68</Lines>
  <Paragraphs>19</Paragraphs>
  <TotalTime>2</TotalTime>
  <ScaleCrop>false</ScaleCrop>
  <LinksUpToDate>false</LinksUpToDate>
  <CharactersWithSpaces>8950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2023-04-26T09:04:00Z</dcterms:created>
  <dc:creator>xbany</dc:creator>
  <cp:lastModifiedBy>Administrator</cp:lastModifiedBy>
  <cp:lastPrinted>2020-03-24T09:33:00Z</cp:lastPrinted>
  <dcterms:modified xsi:type="dcterms:W3CDTF">2024-06-28T01:02:40Z</dcterms:modified>
  <dc:title>益财会〔2002〕4号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F97727F01D274A1A9D0CC8268EECC585</vt:lpwstr>
  </property>
</Properties>
</file>